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Operator RFP Template</w:t>
      </w:r>
    </w:p>
    <w:p>
      <w:pPr>
        <w:spacing w:after="200"/>
      </w:pPr>
      <w:r>
        <w:rPr>
          <w:i/>
          <w:iCs/>
          <w:color w:val="6B7280"/>
        </w:rPr>
        <w:t xml:space="preserve">Telemetry, SLA, reporting, and reference-check script</w:t>
      </w:r>
    </w:p>
    <w:p>
      <w:pPr>
        <w:spacing w:after="300"/>
      </w:pPr>
      <w:r>
        <w:t xml:space="preserve">Selecting a vending operator is a decision that locks in service quality for 3-5 years and creates 24+ months of switching cost. The four dimensions that predict operator performance are telemetry capability, SLA architecture, reporting cadence, and reference health. This RFP template gives any host — office, hotel, hospital, school, plant, retail — a defensible operator-selection process built on those four dimensions, including a reference-check script that surfaces the issues references won't volunteer.</w:t>
      </w:r>
    </w:p>
    <w:p>
      <w:pPr>
        <w:pStyle w:val="Heading1"/>
        <w:spacing w:after="150" w:before="300"/>
      </w:pPr>
      <w:r>
        <w:t xml:space="preserve">1. Telemetry — capability check</w:t>
      </w:r>
    </w:p>
    <w:p>
      <w:pPr>
        <w:spacing w:after="200"/>
      </w:pPr>
      <w:r>
        <w:t xml:space="preserve">Telemetry is the single biggest predictor of operator performance. Operators without modern telemetry cannot deliver 97%+ uptime, cannot tune planograms quarterly, and cannot support audit-right transparency. This section is pass/fail.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Cellular-modem telemetry on every placed device — vendor (Cantaloupe Seed, Nayax MoMa, 365 Retail Markets, AWM Smart Shelf, USAT Yoke, or comparable) + heartbeat interval (≤ 15 minutes)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Per-machine + per-SKU sales export available daily as CSV or API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Per-machine uptime measurable + reportable to the host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Cold-chain temperature monitoring on refrigerated devices with alert + 4-hour SLA on excursion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Payment ecosystem — EMV chip + contactless (NFC) + mobile wallet (Apple Pay, Google Pay), PCI-DSS v4.0 attested through payment vendor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Audit-right clause permitting host to reconcile reported commission against telemetry data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Live telemetry dashboard accessible to the host's operating-line owner</w:t>
      </w:r>
    </w:p>
    <w:p>
      <w:pPr>
        <w:pStyle w:val="Heading1"/>
        <w:spacing w:after="150" w:before="300"/>
      </w:pPr>
      <w:r>
        <w:t xml:space="preserve">2. SLA — capability check</w:t>
      </w:r>
    </w:p>
    <w:p>
      <w:pPr>
        <w:spacing w:after="200"/>
      </w:pPr>
      <w:r>
        <w:t xml:space="preserve">Aspirational SLA without measurement methodology + monetary remedies is unenforceable. Verify all three components.</w:t>
      </w:r>
    </w:p>
    <w:p>
      <w:pPr>
        <w:spacing w:after="60" w:before="120"/>
      </w:pPr>
      <w:r>
        <w:rPr>
          <w:b/>
          <w:bCs/>
        </w:rPr>
        <w:t xml:space="preserve">1. SLA targets stated as numbers</w:t>
      </w:r>
    </w:p>
    <w:p>
      <w:pPr>
        <w:spacing w:after="120"/>
      </w:pPr>
      <w:r>
        <w:t xml:space="preserve">Per-machine uptime ≥ 97% (98% in healthcare + hotel), tier-1 ticket resolve &lt; 24 hours, refund response &lt; 24 hours cashless.</w:t>
      </w:r>
    </w:p>
    <w:p>
      <w:pPr>
        <w:spacing w:after="60" w:before="120"/>
      </w:pPr>
      <w:r>
        <w:rPr>
          <w:b/>
          <w:bCs/>
        </w:rPr>
        <w:t xml:space="preserve">2. Measurement methodology documented</w:t>
      </w:r>
    </w:p>
    <w:p>
      <w:pPr>
        <w:spacing w:after="120"/>
      </w:pPr>
      <w:r>
        <w:t xml:space="preserve">Telemetry export + CRM ticket export + refund log + cold-chain temperature feed. Self-reported SLA without telemetry support fails verification.</w:t>
      </w:r>
    </w:p>
    <w:p>
      <w:pPr>
        <w:spacing w:after="60" w:before="120"/>
      </w:pPr>
      <w:r>
        <w:rPr>
          <w:b/>
          <w:bCs/>
        </w:rPr>
        <w:t xml:space="preserve">3. Monetary remedies at threshold breach</w:t>
      </w:r>
    </w:p>
    <w:p>
      <w:pPr>
        <w:spacing w:after="120"/>
      </w:pPr>
      <w:r>
        <w:t xml:space="preserve">Commission credit at uptime &lt; 95%; service-improvement plan at 2 consecutive months below threshold; termination right at &lt; 90% × 2 months. Operator commits to remedies in writing.</w:t>
      </w:r>
    </w:p>
    <w:p>
      <w:pPr>
        <w:spacing w:after="60" w:before="120"/>
      </w:pPr>
      <w:r>
        <w:rPr>
          <w:b/>
          <w:bCs/>
        </w:rPr>
        <w:t xml:space="preserve">4. Tier-1 vs tier-2 distinction</w:t>
      </w:r>
    </w:p>
    <w:p>
      <w:pPr>
        <w:spacing w:after="120"/>
      </w:pPr>
      <w:r>
        <w:t xml:space="preserve">Tier-1 (offline, payment failure, cold-chain) has 4-hour acknowledgement + 24-hour resolve. Tier-2 (single SKU stockout, planogram refresh) has 24-hour acknowledgement + 5-business-day resolve.</w:t>
      </w:r>
    </w:p>
    <w:p>
      <w:pPr>
        <w:spacing w:after="60" w:before="120"/>
      </w:pPr>
      <w:r>
        <w:rPr>
          <w:b/>
          <w:bCs/>
        </w:rPr>
        <w:t xml:space="preserve">5. Cold-chain SLA where applicable</w:t>
      </w:r>
    </w:p>
    <w:p>
      <w:pPr>
        <w:spacing w:after="120"/>
      </w:pPr>
      <w:r>
        <w:t xml:space="preserve">Continuous 35-40°F monitoring; 4-hour excursion resolution; spoiled product replaced at operator cost; root-cause memo.</w:t>
      </w:r>
    </w:p>
    <w:p>
      <w:pPr>
        <w:pStyle w:val="Heading1"/>
        <w:spacing w:after="150" w:before="300"/>
      </w:pPr>
      <w:r>
        <w:t xml:space="preserve">3. Reporting — capability check</w:t>
      </w:r>
    </w:p>
    <w:p>
      <w:pPr>
        <w:spacing w:after="200"/>
      </w:pPr>
      <w:r>
        <w:t xml:space="preserve">Reporting cadence is the forum where SLA performance becomes actionable. Operators that don't deliver consistent reporting cannot be held accountable to SLA.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Cadence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Required output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commits</w:t>
            </w:r>
          </w:p>
        </w:tc>
      </w:tr>
      <w:tr>
        <w:tc>
          <w:p>
            <w:r>
              <w:t xml:space="preserve">Monthly statement</w:t>
            </w:r>
          </w:p>
        </w:tc>
        <w:tc>
          <w:p>
            <w:r>
              <w:t xml:space="preserve">Sales + commission + refund + telemetry uptime per machine</w:t>
            </w:r>
          </w:p>
        </w:tc>
        <w:tc>
          <w:p>
            <w:r>
              <w:t xml:space="preserve">By 15th of following month</w:t>
            </w:r>
          </w:p>
        </w:tc>
      </w:tr>
      <w:tr>
        <w:tc>
          <w:p>
            <w:r>
              <w:t xml:space="preserve">Monthly health check</w:t>
            </w:r>
          </w:p>
        </w:tc>
        <w:tc>
          <w:p>
            <w:r>
              <w:t xml:space="preserve">Top + bottom SKUs, stockout incidents, service-ticket log, refund volume</w:t>
            </w:r>
          </w:p>
        </w:tc>
        <w:tc>
          <w:p>
            <w:r>
              <w:t xml:space="preserve">By 25th of following month</w:t>
            </w:r>
          </w:p>
        </w:tc>
      </w:tr>
      <w:tr>
        <w:tc>
          <w:p>
            <w:r>
              <w:t xml:space="preserve">Quarterly business review</w:t>
            </w:r>
          </w:p>
        </w:tc>
        <w:tc>
          <w:p>
            <w:r>
              <w:t xml:space="preserve">Joint review with operations leadership; planogram tuning; SLA scorecard; action items</w:t>
            </w:r>
          </w:p>
        </w:tc>
        <w:tc>
          <w:p>
            <w:r>
              <w:t xml:space="preserve">Per calendar quarter, in person or video</w:t>
            </w:r>
          </w:p>
        </w:tc>
      </w:tr>
      <w:tr>
        <w:tc>
          <w:p>
            <w:r>
              <w:t xml:space="preserve">Annual reconciliation</w:t>
            </w:r>
          </w:p>
        </w:tc>
        <w:tc>
          <w:p>
            <w:r>
              <w:t xml:space="preserve">Full-year commission tie-out + capital + refresh planning</w:t>
            </w:r>
          </w:p>
        </w:tc>
        <w:tc>
          <w:p>
            <w:r>
              <w:t xml:space="preserve">Within 60 days of fiscal year end</w:t>
            </w:r>
          </w:p>
        </w:tc>
      </w:tr>
      <w:tr>
        <w:tc>
          <w:p>
            <w:r>
              <w:t xml:space="preserve">Ad-hoc on demand</w:t>
            </w:r>
          </w:p>
        </w:tc>
        <w:tc>
          <w:p>
            <w:r>
              <w:t xml:space="preserve">Telemetry data export, refund detail, root-cause memo on tier-1 incidents</w:t>
            </w:r>
          </w:p>
        </w:tc>
        <w:tc>
          <w:p>
            <w:r>
              <w:t xml:space="preserve">Within 3 business days of host request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Reference-check script — the questions references won't volunteer</w:t>
      </w:r>
    </w:p>
    <w:p>
      <w:pPr>
        <w:spacing w:after="200"/>
      </w:pPr>
      <w:r>
        <w:t xml:space="preserve">Operators submit polished references. The script below surfaces the issues references will discuss when asked directly. Allot 20-30 minutes per reference call.</w:t>
      </w:r>
    </w:p>
    <w:p>
      <w:pPr>
        <w:spacing w:after="60" w:before="120"/>
      </w:pPr>
      <w:r>
        <w:rPr>
          <w:b/>
          <w:bCs/>
        </w:rPr>
        <w:t xml:space="preserve">1. How long has this operator served your site, and what was the last contract renewal experience?</w:t>
      </w:r>
    </w:p>
    <w:p>
      <w:pPr>
        <w:spacing w:after="120"/>
      </w:pPr>
      <w:r>
        <w:t xml:space="preserve">Surfaces auto-renewal traps, market-rate review experience, and whether the reference would re-sign.</w:t>
      </w:r>
    </w:p>
    <w:p>
      <w:pPr>
        <w:spacing w:after="60" w:before="120"/>
      </w:pPr>
      <w:r>
        <w:rPr>
          <w:b/>
          <w:bCs/>
        </w:rPr>
        <w:t xml:space="preserve">2. What's the current per-machine uptime you measure, and how does the operator report it?</w:t>
      </w:r>
    </w:p>
    <w:p>
      <w:pPr>
        <w:spacing w:after="120"/>
      </w:pPr>
      <w:r>
        <w:t xml:space="preserve">Confirms telemetry capability + uptime in practice, not in operator-reported claims.</w:t>
      </w:r>
    </w:p>
    <w:p>
      <w:pPr>
        <w:spacing w:after="60" w:before="120"/>
      </w:pPr>
      <w:r>
        <w:rPr>
          <w:b/>
          <w:bCs/>
        </w:rPr>
        <w:t xml:space="preserve">3. Walk me through the last tier-1 service ticket you opened — incident, response time, resolution.</w:t>
      </w:r>
    </w:p>
    <w:p>
      <w:pPr>
        <w:spacing w:after="120"/>
      </w:pPr>
      <w:r>
        <w:t xml:space="preserve">Surfaces actual SLA performance versus stated SLA.</w:t>
      </w:r>
    </w:p>
    <w:p>
      <w:pPr>
        <w:spacing w:after="60" w:before="120"/>
      </w:pPr>
      <w:r>
        <w:rPr>
          <w:b/>
          <w:bCs/>
        </w:rPr>
        <w:t xml:space="preserve">4. How does the refund flow work in practice, and what's your refund rate?</w:t>
      </w:r>
    </w:p>
    <w:p>
      <w:pPr>
        <w:spacing w:after="120"/>
      </w:pPr>
      <w:r>
        <w:t xml:space="preserve">Refund rate above 2% indicates planogram or equipment issues; refund rate below 0.5% may indicate users can't access refunds.</w:t>
      </w:r>
    </w:p>
    <w:p>
      <w:pPr>
        <w:spacing w:after="60" w:before="120"/>
      </w:pPr>
      <w:r>
        <w:rPr>
          <w:b/>
          <w:bCs/>
        </w:rPr>
        <w:t xml:space="preserve">5. Have you had a cold-chain incident, and how did the operator handle it?</w:t>
      </w:r>
    </w:p>
    <w:p>
      <w:pPr>
        <w:spacing w:after="120"/>
      </w:pPr>
      <w:r>
        <w:t xml:space="preserve">Tests food-safety SLA in practice.</w:t>
      </w:r>
    </w:p>
    <w:p>
      <w:pPr>
        <w:spacing w:after="60" w:before="120"/>
      </w:pPr>
      <w:r>
        <w:rPr>
          <w:b/>
          <w:bCs/>
        </w:rPr>
        <w:t xml:space="preserve">6. Does your QBR actually happen, and are the action items closed?</w:t>
      </w:r>
    </w:p>
    <w:p>
      <w:pPr>
        <w:spacing w:after="120"/>
      </w:pPr>
      <w:r>
        <w:t xml:space="preserve">Most-broken operator commitment in industry; surface it directly.</w:t>
      </w:r>
    </w:p>
    <w:p>
      <w:pPr>
        <w:spacing w:after="60" w:before="120"/>
      </w:pPr>
      <w:r>
        <w:rPr>
          <w:b/>
          <w:bCs/>
        </w:rPr>
        <w:t xml:space="preserve">7. What's the biggest gap in the operator's service today, and how have they responded when you raised it?</w:t>
      </w:r>
    </w:p>
    <w:p>
      <w:pPr>
        <w:spacing w:after="120"/>
      </w:pPr>
      <w:r>
        <w:t xml:space="preserve">Open-ended question that surfaces the issues the reference won't volunteer in a polished introduction.</w:t>
      </w:r>
    </w:p>
    <w:p>
      <w:pPr>
        <w:spacing w:after="60" w:before="120"/>
      </w:pPr>
      <w:r>
        <w:rPr>
          <w:b/>
          <w:bCs/>
        </w:rPr>
        <w:t xml:space="preserve">8. If you were starting the relationship today, what would you do differently in the contract?</w:t>
      </w:r>
    </w:p>
    <w:p>
      <w:pPr>
        <w:spacing w:after="120"/>
      </w:pPr>
      <w:r>
        <w:t xml:space="preserve">Captures the procurement lessons-learned the reference internalized.</w:t>
      </w:r>
    </w:p>
    <w:p>
      <w:pPr>
        <w:pStyle w:val="Heading1"/>
        <w:spacing w:after="150" w:before="300"/>
      </w:pPr>
      <w:r>
        <w:t xml:space="preserve">5. Capability + compliance attestation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Title III + Section 308 reach-range attestation per device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FALCPA allergen labeling on every SKU + allergen summary signage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Menu Labeling Final Rule (21 CFR 101.8) compliance for any operator with 20+ vending machines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v4.0 attestation through payment vendor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— CGL $2M minimum aggregate, workers' comp, additional-insured endorsement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OFAC + W-9 + state debarment screen clean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Background-check program for service personnel per state code (especially K-12, healthcare, government)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Sector-specific compliance — Smart Snacks for K-12, Schedule H for hospital, brand standards for hotel, FAR for federal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Sustainability — ENERGY STAR fleet share, AIM Act refrigerant compliance, recyclable packaging share</w:t>
      </w:r>
    </w:p>
    <w:p>
      <w:pPr>
        <w:pStyle w:val="Heading1"/>
        <w:spacing w:after="150" w:before="300"/>
      </w:pPr>
      <w:r>
        <w:t xml:space="preserve">6. Scoring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Telemetry capability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Heartbeat, export, audit right, payment ecosystem</w:t>
            </w:r>
          </w:p>
        </w:tc>
      </w:tr>
      <w:tr>
        <w:tc>
          <w:p>
            <w:r>
              <w:t xml:space="preserve">SLA architecture + remedies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Targets + measurement + monetary remedies</w:t>
            </w:r>
          </w:p>
        </w:tc>
      </w:tr>
      <w:tr>
        <w:tc>
          <w:p>
            <w:r>
              <w:t xml:space="preserve">Reporting + transparency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Monthly + QBR + annual + ad-hoc</w:t>
            </w:r>
          </w:p>
        </w:tc>
      </w:tr>
      <w:tr>
        <w:tc>
          <w:p>
            <w:r>
              <w:t xml:space="preserve">Compliance + accessibility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ADA + FALCPA + PCI + insurance + sector-specific</w:t>
            </w:r>
          </w:p>
        </w:tc>
      </w:tr>
      <w:tr>
        <w:tc>
          <w:p>
            <w:r>
              <w:t xml:space="preserve">References + capability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Reachable + endorsed + lessons-learned</w:t>
            </w:r>
          </w:p>
        </w:tc>
      </w:tr>
      <w:tr>
        <w:tc>
          <w:p>
            <w:r>
              <w:t xml:space="preserve">Commission + financial terms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Rate + method + term + audit</w:t>
            </w:r>
          </w:p>
        </w:tc>
      </w:tr>
      <w:tr>
        <w:tc>
          <w:p>
            <w:r>
              <w:t xml:space="preserve">Sustainability + community</w:t>
            </w:r>
          </w:p>
        </w:tc>
        <w:tc>
          <w:p>
            <w:r>
              <w:t xml:space="preserve">5%</w:t>
            </w:r>
          </w:p>
        </w:tc>
        <w:tc>
          <w:p>
            <w:r>
              <w:t xml:space="preserve">ENERGY STAR + refrigerants + packaging + local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Common operator-selection mistakes</w:t>
      </w:r>
    </w:p>
    <w:p>
      <w:pPr>
        <w:spacing w:after="120"/>
      </w:pPr>
      <w:r>
        <w:rPr>
          <w:b/>
          <w:bCs/>
          <w:color w:val="111827"/>
        </w:rPr>
        <w:t xml:space="preserve">Selecting on commission rate: </w:t>
      </w:r>
      <w:r>
        <w:t xml:space="preserve">Commission rate varies 5-10 points between operators; service quality varies 30-50%. Telemetry + SLA + reporting matter more than commission rate for the first 36 months.</w:t>
      </w:r>
    </w:p>
    <w:p>
      <w:pPr>
        <w:spacing w:after="120"/>
      </w:pPr>
      <w:r>
        <w:rPr>
          <w:b/>
          <w:bCs/>
          <w:color w:val="111827"/>
        </w:rPr>
        <w:t xml:space="preserve">Skipping the reference call: </w:t>
      </w:r>
      <w:r>
        <w:t xml:space="preserve">Polished references don't volunteer issues. The script above surfaces actual performance — invest the 90 minutes for 3 references.</w:t>
      </w:r>
    </w:p>
    <w:p>
      <w:pPr>
        <w:spacing w:after="120"/>
      </w:pPr>
      <w:r>
        <w:rPr>
          <w:b/>
          <w:bCs/>
          <w:color w:val="111827"/>
        </w:rPr>
        <w:t xml:space="preserve">Accepting aspirational SLA: </w:t>
      </w:r>
      <w:r>
        <w:t xml:space="preserve">'We aim for 98%' without a commission-credit remedy is operator marketing, not contract. Insist on monetary remedies.</w:t>
      </w:r>
    </w:p>
    <w:p>
      <w:pPr>
        <w:spacing w:after="120"/>
      </w:pPr>
      <w:r>
        <w:rPr>
          <w:b/>
          <w:bCs/>
          <w:color w:val="111827"/>
        </w:rPr>
        <w:t xml:space="preserve">Not verifying telemetry vendor: </w:t>
      </w:r>
      <w:r>
        <w:t xml:space="preserve">Operators sometimes claim telemetry that isn't deployed across the fleet, or that lacks the heartbeat or export capability the host needs. Verify vendor + version + sample export before signing.</w:t>
      </w:r>
    </w:p>
    <w:p>
      <w:pPr>
        <w:spacing w:after="120"/>
      </w:pPr>
      <w:r>
        <w:rPr>
          <w:b/>
          <w:bCs/>
          <w:color w:val="111827"/>
        </w:rPr>
        <w:t xml:space="preserve">Ignoring PCI v4.0: </w:t>
      </w:r>
      <w:r>
        <w:t xml:space="preserve">PCI-DSS v3.2.1 retired March 2024. Operators still attesting to v3.2.1 are non-compliant.</w:t>
      </w:r>
    </w:p>
    <w:p>
      <w:pPr>
        <w:spacing w:after="120"/>
      </w:pPr>
      <w:r>
        <w:rPr>
          <w:b/>
          <w:bCs/>
          <w:color w:val="111827"/>
        </w:rPr>
        <w:t xml:space="preserve">No annual reattestation: </w:t>
      </w:r>
      <w:r>
        <w:t xml:space="preserve">Compliance attestations decay. Require annual reattestation in the contract for ADA + FALCPA + PCI + insurance.</w:t>
      </w:r>
    </w:p>
    <w:p>
      <w:pPr>
        <w:spacing w:before="400"/>
      </w:pPr>
      <w:r>
        <w:rPr>
          <w:i/>
          <w:iCs/>
          <w:color w:val="6B7280"/>
        </w:rPr>
        <w:t xml:space="preserve">This RFP template is a working procurement reference, not legal advice. Final RFP + contract should be reviewed by host counsel and aligned to sector + state requirements. Telemetry + SLA remedies + reporting + reference health together predict 80%+ of operator performance in the first 24 months; pricing predicts the remaining 20%.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Operator RFP Template</dc:title>
  <dc:creator>LetUsVending</dc:creator>
  <dc:description>Telemetry, SLA, reporting, and reference-check script</dc:description>
  <cp:lastModifiedBy>Un-named</cp:lastModifiedBy>
  <cp:revision>1</cp:revision>
  <dcterms:created xsi:type="dcterms:W3CDTF">2026-05-17T13:18:14.409Z</dcterms:created>
  <dcterms:modified xsi:type="dcterms:W3CDTF">2026-05-17T13:18:14.411Z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