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9B213C" w14:textId="40196F4C" w:rsidR="004340DA" w:rsidRPr="004340DA" w:rsidRDefault="004340DA" w:rsidP="004340DA">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4340DA">
        <w:rPr>
          <w:rFonts w:ascii="Times New Roman" w:eastAsia="Times New Roman" w:hAnsi="Times New Roman" w:cs="Times New Roman"/>
          <w:b/>
          <w:bCs/>
          <w:color w:val="000000"/>
          <w:kern w:val="0"/>
          <w:sz w:val="27"/>
          <w:szCs w:val="27"/>
          <w14:ligatures w14:val="none"/>
        </w:rPr>
        <w:t>Mechanistic Analysis of Odorant Antagonism in Drosophila Or56a via Computational Docking and Structural Evaluation</w:t>
      </w:r>
    </w:p>
    <w:p w14:paraId="4456F24F" w14:textId="77777777" w:rsidR="004340DA" w:rsidRPr="004340DA" w:rsidRDefault="004340DA" w:rsidP="004340DA">
      <w:p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sidRPr="004340DA">
        <w:rPr>
          <w:rFonts w:ascii="Times New Roman" w:eastAsia="Times New Roman" w:hAnsi="Times New Roman" w:cs="Times New Roman"/>
          <w:b/>
          <w:bCs/>
          <w:color w:val="000000"/>
          <w:kern w:val="0"/>
          <w14:ligatures w14:val="none"/>
        </w:rPr>
        <w:t>Objective</w:t>
      </w:r>
    </w:p>
    <w:p w14:paraId="569A8FBF" w14:textId="7E23BE6F" w:rsidR="004340DA" w:rsidRDefault="004340DA" w:rsidP="004340DA">
      <w:pPr>
        <w:spacing w:before="100" w:beforeAutospacing="1" w:after="100" w:afterAutospacing="1" w:line="240" w:lineRule="auto"/>
        <w:rPr>
          <w:rFonts w:ascii="Times New Roman" w:eastAsia="Times New Roman" w:hAnsi="Times New Roman" w:cs="Times New Roman"/>
          <w:color w:val="000000"/>
          <w:kern w:val="0"/>
          <w14:ligatures w14:val="none"/>
        </w:rPr>
      </w:pPr>
      <w:r w:rsidRPr="004340DA">
        <w:rPr>
          <w:rFonts w:ascii="Times New Roman" w:eastAsia="Times New Roman" w:hAnsi="Times New Roman" w:cs="Times New Roman"/>
          <w:color w:val="000000"/>
          <w:kern w:val="0"/>
          <w14:ligatures w14:val="none"/>
        </w:rPr>
        <w:t xml:space="preserve">This study aims to computationally elucidate the molecular mechanisms underlying odorant antagonism in the Drosophila melanogaster olfactory receptor Or56a. Specifically, </w:t>
      </w:r>
      <w:r w:rsidR="002140F4">
        <w:rPr>
          <w:rFonts w:ascii="Times New Roman" w:eastAsia="Times New Roman" w:hAnsi="Times New Roman" w:cs="Times New Roman"/>
          <w:color w:val="000000"/>
          <w:kern w:val="0"/>
          <w14:ligatures w14:val="none"/>
        </w:rPr>
        <w:t xml:space="preserve">I </w:t>
      </w:r>
      <w:r w:rsidRPr="004340DA">
        <w:rPr>
          <w:rFonts w:ascii="Times New Roman" w:eastAsia="Times New Roman" w:hAnsi="Times New Roman" w:cs="Times New Roman"/>
          <w:color w:val="000000"/>
          <w:kern w:val="0"/>
          <w14:ligatures w14:val="none"/>
        </w:rPr>
        <w:t>investigated the binding interactions of the known agonist geosmin and the antagonist linalool, integrating rigorous structural predictions, detailed docking analyses, and quantitative pocket evaluations to propose a robust mechanistic hypothesis.</w:t>
      </w:r>
    </w:p>
    <w:p w14:paraId="7194B9EE" w14:textId="77777777" w:rsidR="0037541A" w:rsidRPr="003D4A87" w:rsidRDefault="0037541A" w:rsidP="0037541A">
      <w:pPr>
        <w:spacing w:before="100" w:beforeAutospacing="1" w:after="100" w:afterAutospacing="1" w:line="240" w:lineRule="auto"/>
        <w:outlineLvl w:val="2"/>
        <w:rPr>
          <w:rFonts w:ascii="Times New Roman" w:eastAsia="Times New Roman" w:hAnsi="Times New Roman" w:cs="Times New Roman"/>
          <w:b/>
          <w:bCs/>
          <w:color w:val="000000"/>
          <w:kern w:val="0"/>
          <w:sz w:val="28"/>
          <w:szCs w:val="28"/>
          <w14:ligatures w14:val="none"/>
        </w:rPr>
      </w:pPr>
      <w:r w:rsidRPr="003D4A87">
        <w:rPr>
          <w:rFonts w:ascii="Times New Roman" w:eastAsia="Times New Roman" w:hAnsi="Times New Roman" w:cs="Times New Roman"/>
          <w:b/>
          <w:bCs/>
          <w:color w:val="000000"/>
          <w:kern w:val="0"/>
          <w:sz w:val="28"/>
          <w:szCs w:val="28"/>
          <w14:ligatures w14:val="none"/>
        </w:rPr>
        <w:t>Approach and Thought Process</w:t>
      </w:r>
    </w:p>
    <w:p w14:paraId="71ADCC41" w14:textId="77777777" w:rsidR="0037541A" w:rsidRPr="003D4A87" w:rsidRDefault="0037541A" w:rsidP="0037541A">
      <w:pPr>
        <w:spacing w:before="100" w:beforeAutospacing="1" w:after="100" w:afterAutospacing="1" w:line="240" w:lineRule="auto"/>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My goal was not just to identify the best binding pose, but to </w:t>
      </w:r>
      <w:r w:rsidRPr="003D4A87">
        <w:rPr>
          <w:rFonts w:ascii="Times New Roman" w:eastAsia="Times New Roman" w:hAnsi="Times New Roman" w:cs="Times New Roman"/>
          <w:i/>
          <w:iCs/>
          <w:color w:val="000000"/>
          <w:kern w:val="0"/>
          <w14:ligatures w14:val="none"/>
        </w:rPr>
        <w:t>understand the range of binding possibilities</w:t>
      </w:r>
      <w:r w:rsidRPr="003D4A87">
        <w:rPr>
          <w:rFonts w:ascii="Times New Roman" w:eastAsia="Times New Roman" w:hAnsi="Times New Roman" w:cs="Times New Roman"/>
          <w:color w:val="000000"/>
          <w:kern w:val="0"/>
          <w14:ligatures w14:val="none"/>
        </w:rPr>
        <w:t>, how they relate to receptor activation or inhibition, and how these insights could inform a scalable, real-world discovery pipeline.</w:t>
      </w:r>
    </w:p>
    <w:p w14:paraId="3381CFED" w14:textId="77777777" w:rsidR="0037541A" w:rsidRPr="003D4A87" w:rsidRDefault="0037541A" w:rsidP="0037541A">
      <w:pPr>
        <w:spacing w:before="100" w:beforeAutospacing="1" w:after="100" w:afterAutospacing="1" w:line="240" w:lineRule="auto"/>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I approached the task by replicating a structure-based virtual screening workflow that could plausibly fit into Monarch's early-stage pipeline: combining structure prediction, ligand preparation, docking, and structural analysis.</w:t>
      </w:r>
    </w:p>
    <w:p w14:paraId="161289BF" w14:textId="77777777" w:rsidR="0037541A" w:rsidRPr="00557871" w:rsidRDefault="0037541A" w:rsidP="0037541A">
      <w:pPr>
        <w:spacing w:before="100" w:beforeAutospacing="1" w:after="100" w:afterAutospacing="1" w:line="240" w:lineRule="auto"/>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I was particularly interested in whether linalool and geosmin bind the same pocket, and if not, whether their relative energies and spatial poses could support an </w:t>
      </w:r>
      <w:r w:rsidRPr="00557871">
        <w:rPr>
          <w:rFonts w:ascii="Times New Roman" w:eastAsia="Times New Roman" w:hAnsi="Times New Roman" w:cs="Times New Roman"/>
          <w:color w:val="000000"/>
          <w:kern w:val="0"/>
          <w14:ligatures w14:val="none"/>
        </w:rPr>
        <w:t>allosteric or dual antagonism model. I also wanted to see how pose diversity could inform more robust computational strategies.</w:t>
      </w:r>
    </w:p>
    <w:p w14:paraId="3F0302F1" w14:textId="07554CC5" w:rsidR="0037541A" w:rsidRPr="004340DA" w:rsidRDefault="0037541A" w:rsidP="004340DA">
      <w:pPr>
        <w:spacing w:before="100" w:beforeAutospacing="1" w:after="100" w:afterAutospacing="1" w:line="240" w:lineRule="auto"/>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Additionally, I wanted to assess the plausibility of the Or56a AlphaFold-predicted pocket by comparing it to experimentally resolved insect olfactory receptors, namely 8V02 and 6C70. By aligning Or56a to these known structures, I hoped to evaluate the structural conservation of potential binding sites and further validate the biological interpretation of my docking results.</w:t>
      </w:r>
    </w:p>
    <w:p w14:paraId="70AA34F8" w14:textId="77777777" w:rsidR="004340DA" w:rsidRPr="004340DA" w:rsidRDefault="004340DA" w:rsidP="004340DA">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4340DA">
        <w:rPr>
          <w:rFonts w:ascii="Times New Roman" w:eastAsia="Times New Roman" w:hAnsi="Times New Roman" w:cs="Times New Roman"/>
          <w:b/>
          <w:bCs/>
          <w:color w:val="000000"/>
          <w:kern w:val="0"/>
          <w:sz w:val="27"/>
          <w:szCs w:val="27"/>
          <w14:ligatures w14:val="none"/>
        </w:rPr>
        <w:t>Methodological Framework and Rationale</w:t>
      </w:r>
    </w:p>
    <w:p w14:paraId="4CBEF319" w14:textId="77777777" w:rsidR="004340DA" w:rsidRPr="004340DA" w:rsidRDefault="004340DA" w:rsidP="004340DA">
      <w:pPr>
        <w:spacing w:before="100" w:beforeAutospacing="1" w:after="100" w:afterAutospacing="1" w:line="240" w:lineRule="auto"/>
        <w:rPr>
          <w:rFonts w:ascii="Times New Roman" w:eastAsia="Times New Roman" w:hAnsi="Times New Roman" w:cs="Times New Roman"/>
          <w:color w:val="000000"/>
          <w:kern w:val="0"/>
          <w14:ligatures w14:val="none"/>
        </w:rPr>
      </w:pPr>
      <w:r w:rsidRPr="004340DA">
        <w:rPr>
          <w:rFonts w:ascii="Times New Roman" w:eastAsia="Times New Roman" w:hAnsi="Times New Roman" w:cs="Times New Roman"/>
          <w:color w:val="000000"/>
          <w:kern w:val="0"/>
          <w14:ligatures w14:val="none"/>
        </w:rPr>
        <w:t>The study emphasized structural diversity, receptor-ligand dynamics, and detailed binding-site characterization, aiming to:</w:t>
      </w:r>
    </w:p>
    <w:p w14:paraId="5480F127" w14:textId="77777777" w:rsidR="004340DA" w:rsidRPr="004340DA" w:rsidRDefault="004340DA" w:rsidP="004340DA">
      <w:pPr>
        <w:numPr>
          <w:ilvl w:val="0"/>
          <w:numId w:val="1"/>
        </w:numPr>
        <w:spacing w:before="100" w:beforeAutospacing="1" w:after="100" w:afterAutospacing="1" w:line="240" w:lineRule="auto"/>
        <w:rPr>
          <w:rFonts w:ascii="Times New Roman" w:eastAsia="Times New Roman" w:hAnsi="Times New Roman" w:cs="Times New Roman"/>
          <w:color w:val="000000"/>
          <w:kern w:val="0"/>
          <w14:ligatures w14:val="none"/>
        </w:rPr>
      </w:pPr>
      <w:r w:rsidRPr="004340DA">
        <w:rPr>
          <w:rFonts w:ascii="Times New Roman" w:eastAsia="Times New Roman" w:hAnsi="Times New Roman" w:cs="Times New Roman"/>
          <w:color w:val="000000"/>
          <w:kern w:val="0"/>
          <w14:ligatures w14:val="none"/>
        </w:rPr>
        <w:t>Validate the AlphaFold2-predicted Or56a structure through alignment with experimentally resolved olfactory receptors (8V02 and 6C70).</w:t>
      </w:r>
    </w:p>
    <w:p w14:paraId="71B054A9" w14:textId="77777777" w:rsidR="004340DA" w:rsidRPr="004340DA" w:rsidRDefault="004340DA" w:rsidP="004340DA">
      <w:pPr>
        <w:numPr>
          <w:ilvl w:val="0"/>
          <w:numId w:val="1"/>
        </w:numPr>
        <w:spacing w:before="100" w:beforeAutospacing="1" w:after="100" w:afterAutospacing="1" w:line="240" w:lineRule="auto"/>
        <w:rPr>
          <w:rFonts w:ascii="Times New Roman" w:eastAsia="Times New Roman" w:hAnsi="Times New Roman" w:cs="Times New Roman"/>
          <w:color w:val="000000"/>
          <w:kern w:val="0"/>
          <w14:ligatures w14:val="none"/>
        </w:rPr>
      </w:pPr>
      <w:r w:rsidRPr="004340DA">
        <w:rPr>
          <w:rFonts w:ascii="Times New Roman" w:eastAsia="Times New Roman" w:hAnsi="Times New Roman" w:cs="Times New Roman"/>
          <w:color w:val="000000"/>
          <w:kern w:val="0"/>
          <w14:ligatures w14:val="none"/>
        </w:rPr>
        <w:t xml:space="preserve">Identify potential binding pockets using quantitative </w:t>
      </w:r>
      <w:proofErr w:type="spellStart"/>
      <w:r w:rsidRPr="004340DA">
        <w:rPr>
          <w:rFonts w:ascii="Times New Roman" w:eastAsia="Times New Roman" w:hAnsi="Times New Roman" w:cs="Times New Roman"/>
          <w:color w:val="000000"/>
          <w:kern w:val="0"/>
          <w14:ligatures w14:val="none"/>
        </w:rPr>
        <w:t>fpocket</w:t>
      </w:r>
      <w:proofErr w:type="spellEnd"/>
      <w:r w:rsidRPr="004340DA">
        <w:rPr>
          <w:rFonts w:ascii="Times New Roman" w:eastAsia="Times New Roman" w:hAnsi="Times New Roman" w:cs="Times New Roman"/>
          <w:color w:val="000000"/>
          <w:kern w:val="0"/>
          <w14:ligatures w14:val="none"/>
        </w:rPr>
        <w:t xml:space="preserve"> analyses.</w:t>
      </w:r>
    </w:p>
    <w:p w14:paraId="14ACBC07" w14:textId="433A1038" w:rsidR="004340DA" w:rsidRPr="004340DA" w:rsidRDefault="004340DA" w:rsidP="004340DA">
      <w:pPr>
        <w:numPr>
          <w:ilvl w:val="0"/>
          <w:numId w:val="1"/>
        </w:numPr>
        <w:spacing w:before="100" w:beforeAutospacing="1" w:after="100" w:afterAutospacing="1" w:line="240" w:lineRule="auto"/>
        <w:rPr>
          <w:rFonts w:ascii="Times New Roman" w:eastAsia="Times New Roman" w:hAnsi="Times New Roman" w:cs="Times New Roman"/>
          <w:color w:val="000000"/>
          <w:kern w:val="0"/>
          <w14:ligatures w14:val="none"/>
        </w:rPr>
      </w:pPr>
      <w:r w:rsidRPr="004340DA">
        <w:rPr>
          <w:rFonts w:ascii="Times New Roman" w:eastAsia="Times New Roman" w:hAnsi="Times New Roman" w:cs="Times New Roman"/>
          <w:color w:val="000000"/>
          <w:kern w:val="0"/>
          <w14:ligatures w14:val="none"/>
        </w:rPr>
        <w:t xml:space="preserve">Analyze ligand-receptor interactions using </w:t>
      </w:r>
      <w:proofErr w:type="spellStart"/>
      <w:r w:rsidRPr="004340DA">
        <w:rPr>
          <w:rFonts w:ascii="Times New Roman" w:eastAsia="Times New Roman" w:hAnsi="Times New Roman" w:cs="Times New Roman"/>
          <w:color w:val="000000"/>
          <w:kern w:val="0"/>
          <w14:ligatures w14:val="none"/>
        </w:rPr>
        <w:t>AutoDock</w:t>
      </w:r>
      <w:proofErr w:type="spellEnd"/>
      <w:r w:rsidRPr="004340DA">
        <w:rPr>
          <w:rFonts w:ascii="Times New Roman" w:eastAsia="Times New Roman" w:hAnsi="Times New Roman" w:cs="Times New Roman"/>
          <w:color w:val="000000"/>
          <w:kern w:val="0"/>
          <w14:ligatures w14:val="none"/>
        </w:rPr>
        <w:t xml:space="preserve"> Vina docking with enhanced sampling.</w:t>
      </w:r>
    </w:p>
    <w:p w14:paraId="7FA7711B" w14:textId="2FD60DB4" w:rsidR="004340DA" w:rsidRDefault="004340DA" w:rsidP="004340DA">
      <w:pPr>
        <w:numPr>
          <w:ilvl w:val="0"/>
          <w:numId w:val="1"/>
        </w:numPr>
        <w:spacing w:before="100" w:beforeAutospacing="1" w:after="100" w:afterAutospacing="1" w:line="240" w:lineRule="auto"/>
        <w:rPr>
          <w:rFonts w:ascii="Times New Roman" w:eastAsia="Times New Roman" w:hAnsi="Times New Roman" w:cs="Times New Roman"/>
          <w:color w:val="000000"/>
          <w:kern w:val="0"/>
          <w14:ligatures w14:val="none"/>
        </w:rPr>
      </w:pPr>
      <w:r w:rsidRPr="004340DA">
        <w:rPr>
          <w:rFonts w:ascii="Times New Roman" w:eastAsia="Times New Roman" w:hAnsi="Times New Roman" w:cs="Times New Roman"/>
          <w:color w:val="000000"/>
          <w:kern w:val="0"/>
          <w14:ligatures w14:val="none"/>
        </w:rPr>
        <w:t>Address scalability for practical, high-throughput screening pipelines.</w:t>
      </w:r>
    </w:p>
    <w:p w14:paraId="2A60726D" w14:textId="77777777" w:rsidR="00710DB6" w:rsidRDefault="00710DB6" w:rsidP="00710DB6">
      <w:pPr>
        <w:spacing w:before="100" w:beforeAutospacing="1" w:after="100" w:afterAutospacing="1" w:line="240" w:lineRule="auto"/>
        <w:rPr>
          <w:rFonts w:ascii="Times New Roman" w:eastAsia="Times New Roman" w:hAnsi="Times New Roman" w:cs="Times New Roman"/>
          <w:color w:val="000000"/>
          <w:kern w:val="0"/>
          <w14:ligatures w14:val="none"/>
        </w:rPr>
      </w:pPr>
    </w:p>
    <w:p w14:paraId="0542AEE3" w14:textId="77777777" w:rsidR="00F71462" w:rsidRPr="004340DA" w:rsidRDefault="00F71462" w:rsidP="00710DB6">
      <w:pPr>
        <w:spacing w:before="100" w:beforeAutospacing="1" w:after="100" w:afterAutospacing="1" w:line="240" w:lineRule="auto"/>
        <w:rPr>
          <w:rFonts w:ascii="Times New Roman" w:eastAsia="Times New Roman" w:hAnsi="Times New Roman" w:cs="Times New Roman"/>
          <w:color w:val="000000"/>
          <w:kern w:val="0"/>
          <w14:ligatures w14:val="none"/>
        </w:rPr>
      </w:pPr>
    </w:p>
    <w:p w14:paraId="1FE59A19" w14:textId="77777777" w:rsidR="004340DA" w:rsidRPr="004340DA" w:rsidRDefault="004340DA" w:rsidP="004340DA">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4340DA">
        <w:rPr>
          <w:rFonts w:ascii="Times New Roman" w:eastAsia="Times New Roman" w:hAnsi="Times New Roman" w:cs="Times New Roman"/>
          <w:b/>
          <w:bCs/>
          <w:color w:val="000000"/>
          <w:kern w:val="0"/>
          <w:sz w:val="27"/>
          <w:szCs w:val="27"/>
          <w14:ligatures w14:val="none"/>
        </w:rPr>
        <w:lastRenderedPageBreak/>
        <w:t>Comprehensive Workflow</w:t>
      </w:r>
    </w:p>
    <w:p w14:paraId="46557352" w14:textId="77777777" w:rsidR="004340DA" w:rsidRPr="004340DA" w:rsidRDefault="004340DA" w:rsidP="004340DA">
      <w:p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sidRPr="004340DA">
        <w:rPr>
          <w:rFonts w:ascii="Times New Roman" w:eastAsia="Times New Roman" w:hAnsi="Times New Roman" w:cs="Times New Roman"/>
          <w:b/>
          <w:bCs/>
          <w:color w:val="000000"/>
          <w:kern w:val="0"/>
          <w14:ligatures w14:val="none"/>
        </w:rPr>
        <w:t>1. Receptor Structure Preparation</w:t>
      </w:r>
    </w:p>
    <w:p w14:paraId="5735DA25" w14:textId="77777777" w:rsidR="004340DA" w:rsidRPr="004340DA" w:rsidRDefault="004340DA" w:rsidP="004340DA">
      <w:pPr>
        <w:numPr>
          <w:ilvl w:val="0"/>
          <w:numId w:val="2"/>
        </w:numPr>
        <w:spacing w:before="100" w:beforeAutospacing="1" w:after="100" w:afterAutospacing="1" w:line="240" w:lineRule="auto"/>
        <w:rPr>
          <w:rFonts w:ascii="Times New Roman" w:eastAsia="Times New Roman" w:hAnsi="Times New Roman" w:cs="Times New Roman"/>
          <w:color w:val="000000"/>
          <w:kern w:val="0"/>
          <w14:ligatures w14:val="none"/>
        </w:rPr>
      </w:pPr>
      <w:r w:rsidRPr="004340DA">
        <w:rPr>
          <w:rFonts w:ascii="Times New Roman" w:eastAsia="Times New Roman" w:hAnsi="Times New Roman" w:cs="Times New Roman"/>
          <w:color w:val="000000"/>
          <w:kern w:val="0"/>
          <w14:ligatures w14:val="none"/>
        </w:rPr>
        <w:t>Predicted Or56a structure from AlphaFold2 refined for docking analysis.</w:t>
      </w:r>
    </w:p>
    <w:p w14:paraId="47FE909D" w14:textId="77777777" w:rsidR="004340DA" w:rsidRPr="004340DA" w:rsidRDefault="004340DA" w:rsidP="004340DA">
      <w:pPr>
        <w:numPr>
          <w:ilvl w:val="0"/>
          <w:numId w:val="2"/>
        </w:numPr>
        <w:spacing w:before="100" w:beforeAutospacing="1" w:after="100" w:afterAutospacing="1" w:line="240" w:lineRule="auto"/>
        <w:rPr>
          <w:rFonts w:ascii="Times New Roman" w:eastAsia="Times New Roman" w:hAnsi="Times New Roman" w:cs="Times New Roman"/>
          <w:color w:val="000000"/>
          <w:kern w:val="0"/>
          <w14:ligatures w14:val="none"/>
        </w:rPr>
      </w:pPr>
      <w:r w:rsidRPr="004340DA">
        <w:rPr>
          <w:rFonts w:ascii="Times New Roman" w:eastAsia="Times New Roman" w:hAnsi="Times New Roman" w:cs="Times New Roman"/>
          <w:color w:val="000000"/>
          <w:kern w:val="0"/>
          <w14:ligatures w14:val="none"/>
        </w:rPr>
        <w:t>Validation by structural alignment with known experimental insect olfactory receptor structures (8V02 and 6C70).</w:t>
      </w:r>
    </w:p>
    <w:p w14:paraId="0BFEA257" w14:textId="77777777" w:rsidR="004340DA" w:rsidRPr="004340DA" w:rsidRDefault="004340DA" w:rsidP="004340DA">
      <w:p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sidRPr="004340DA">
        <w:rPr>
          <w:rFonts w:ascii="Times New Roman" w:eastAsia="Times New Roman" w:hAnsi="Times New Roman" w:cs="Times New Roman"/>
          <w:b/>
          <w:bCs/>
          <w:color w:val="000000"/>
          <w:kern w:val="0"/>
          <w14:ligatures w14:val="none"/>
        </w:rPr>
        <w:t>2. Ligand Preparation</w:t>
      </w:r>
    </w:p>
    <w:p w14:paraId="42A6AC23" w14:textId="77777777" w:rsidR="004340DA" w:rsidRPr="004340DA" w:rsidRDefault="004340DA" w:rsidP="004340DA">
      <w:pPr>
        <w:numPr>
          <w:ilvl w:val="0"/>
          <w:numId w:val="3"/>
        </w:numPr>
        <w:spacing w:before="100" w:beforeAutospacing="1" w:after="100" w:afterAutospacing="1" w:line="240" w:lineRule="auto"/>
        <w:rPr>
          <w:rFonts w:ascii="Times New Roman" w:eastAsia="Times New Roman" w:hAnsi="Times New Roman" w:cs="Times New Roman"/>
          <w:color w:val="000000"/>
          <w:kern w:val="0"/>
          <w14:ligatures w14:val="none"/>
        </w:rPr>
      </w:pPr>
      <w:r w:rsidRPr="004340DA">
        <w:rPr>
          <w:rFonts w:ascii="Times New Roman" w:eastAsia="Times New Roman" w:hAnsi="Times New Roman" w:cs="Times New Roman"/>
          <w:color w:val="000000"/>
          <w:kern w:val="0"/>
          <w14:ligatures w14:val="none"/>
        </w:rPr>
        <w:t xml:space="preserve">Optimized 3D structures of geosmin and linalool prepared using </w:t>
      </w:r>
      <w:proofErr w:type="spellStart"/>
      <w:r w:rsidRPr="004340DA">
        <w:rPr>
          <w:rFonts w:ascii="Times New Roman" w:eastAsia="Times New Roman" w:hAnsi="Times New Roman" w:cs="Times New Roman"/>
          <w:color w:val="000000"/>
          <w:kern w:val="0"/>
          <w14:ligatures w14:val="none"/>
        </w:rPr>
        <w:t>RDKit</w:t>
      </w:r>
      <w:proofErr w:type="spellEnd"/>
      <w:r w:rsidRPr="004340DA">
        <w:rPr>
          <w:rFonts w:ascii="Times New Roman" w:eastAsia="Times New Roman" w:hAnsi="Times New Roman" w:cs="Times New Roman"/>
          <w:color w:val="000000"/>
          <w:kern w:val="0"/>
          <w14:ligatures w14:val="none"/>
        </w:rPr>
        <w:t xml:space="preserve"> and UFF.</w:t>
      </w:r>
    </w:p>
    <w:p w14:paraId="0F268DF7" w14:textId="77777777" w:rsidR="004340DA" w:rsidRPr="004340DA" w:rsidRDefault="004340DA" w:rsidP="004340DA">
      <w:pPr>
        <w:numPr>
          <w:ilvl w:val="0"/>
          <w:numId w:val="3"/>
        </w:numPr>
        <w:spacing w:before="100" w:beforeAutospacing="1" w:after="100" w:afterAutospacing="1" w:line="240" w:lineRule="auto"/>
        <w:rPr>
          <w:rFonts w:ascii="Times New Roman" w:eastAsia="Times New Roman" w:hAnsi="Times New Roman" w:cs="Times New Roman"/>
          <w:color w:val="000000"/>
          <w:kern w:val="0"/>
          <w14:ligatures w14:val="none"/>
        </w:rPr>
      </w:pPr>
      <w:r w:rsidRPr="004340DA">
        <w:rPr>
          <w:rFonts w:ascii="Times New Roman" w:eastAsia="Times New Roman" w:hAnsi="Times New Roman" w:cs="Times New Roman"/>
          <w:color w:val="000000"/>
          <w:kern w:val="0"/>
          <w14:ligatures w14:val="none"/>
        </w:rPr>
        <w:t>Structures converted to PDBQT format, preserving molecular geometry and applying Gasteiger charges via Open Babel.</w:t>
      </w:r>
    </w:p>
    <w:p w14:paraId="5520E8A3" w14:textId="77777777" w:rsidR="004340DA" w:rsidRPr="004340DA" w:rsidRDefault="004340DA" w:rsidP="004340DA">
      <w:p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sidRPr="004340DA">
        <w:rPr>
          <w:rFonts w:ascii="Times New Roman" w:eastAsia="Times New Roman" w:hAnsi="Times New Roman" w:cs="Times New Roman"/>
          <w:b/>
          <w:bCs/>
          <w:color w:val="000000"/>
          <w:kern w:val="0"/>
          <w14:ligatures w14:val="none"/>
        </w:rPr>
        <w:t>3. Binding Pocket Identification (</w:t>
      </w:r>
      <w:proofErr w:type="spellStart"/>
      <w:r w:rsidRPr="004340DA">
        <w:rPr>
          <w:rFonts w:ascii="Times New Roman" w:eastAsia="Times New Roman" w:hAnsi="Times New Roman" w:cs="Times New Roman"/>
          <w:b/>
          <w:bCs/>
          <w:color w:val="000000"/>
          <w:kern w:val="0"/>
          <w14:ligatures w14:val="none"/>
        </w:rPr>
        <w:t>fpocket</w:t>
      </w:r>
      <w:proofErr w:type="spellEnd"/>
      <w:r w:rsidRPr="004340DA">
        <w:rPr>
          <w:rFonts w:ascii="Times New Roman" w:eastAsia="Times New Roman" w:hAnsi="Times New Roman" w:cs="Times New Roman"/>
          <w:b/>
          <w:bCs/>
          <w:color w:val="000000"/>
          <w:kern w:val="0"/>
          <w14:ligatures w14:val="none"/>
        </w:rPr>
        <w:t>)</w:t>
      </w:r>
    </w:p>
    <w:p w14:paraId="6A899FFC" w14:textId="77777777" w:rsidR="004340DA" w:rsidRPr="004340DA" w:rsidRDefault="004340DA" w:rsidP="004340DA">
      <w:pPr>
        <w:spacing w:before="100" w:beforeAutospacing="1" w:after="100" w:afterAutospacing="1" w:line="240" w:lineRule="auto"/>
        <w:rPr>
          <w:rFonts w:ascii="Times New Roman" w:eastAsia="Times New Roman" w:hAnsi="Times New Roman" w:cs="Times New Roman"/>
          <w:color w:val="000000"/>
          <w:kern w:val="0"/>
          <w14:ligatures w14:val="none"/>
        </w:rPr>
      </w:pPr>
      <w:proofErr w:type="spellStart"/>
      <w:r w:rsidRPr="004340DA">
        <w:rPr>
          <w:rFonts w:ascii="Times New Roman" w:eastAsia="Times New Roman" w:hAnsi="Times New Roman" w:cs="Times New Roman"/>
          <w:color w:val="000000"/>
          <w:kern w:val="0"/>
          <w14:ligatures w14:val="none"/>
        </w:rPr>
        <w:t>fpocket</w:t>
      </w:r>
      <w:proofErr w:type="spellEnd"/>
      <w:r w:rsidRPr="004340DA">
        <w:rPr>
          <w:rFonts w:ascii="Times New Roman" w:eastAsia="Times New Roman" w:hAnsi="Times New Roman" w:cs="Times New Roman"/>
          <w:color w:val="000000"/>
          <w:kern w:val="0"/>
          <w14:ligatures w14:val="none"/>
        </w:rPr>
        <w:t xml:space="preserve"> identified and ranked potential binding pockets:</w:t>
      </w:r>
    </w:p>
    <w:tbl>
      <w:tblPr>
        <w:tblStyle w:val="TableGrid"/>
        <w:tblW w:w="0" w:type="auto"/>
        <w:tblLook w:val="04A0" w:firstRow="1" w:lastRow="0" w:firstColumn="1" w:lastColumn="0" w:noHBand="0" w:noVBand="1"/>
      </w:tblPr>
      <w:tblGrid>
        <w:gridCol w:w="910"/>
        <w:gridCol w:w="1225"/>
        <w:gridCol w:w="1204"/>
        <w:gridCol w:w="1262"/>
        <w:gridCol w:w="1395"/>
        <w:gridCol w:w="2098"/>
        <w:gridCol w:w="1256"/>
      </w:tblGrid>
      <w:tr w:rsidR="004340DA" w:rsidRPr="004340DA" w14:paraId="6F226A89" w14:textId="77777777" w:rsidTr="004073F1">
        <w:tc>
          <w:tcPr>
            <w:tcW w:w="0" w:type="auto"/>
            <w:hideMark/>
          </w:tcPr>
          <w:p w14:paraId="3CCB8088" w14:textId="77777777" w:rsidR="004340DA" w:rsidRPr="004340DA" w:rsidRDefault="004340DA" w:rsidP="004340DA">
            <w:pPr>
              <w:jc w:val="center"/>
              <w:rPr>
                <w:rFonts w:ascii="Times New Roman" w:eastAsia="Times New Roman" w:hAnsi="Times New Roman" w:cs="Times New Roman"/>
                <w:b/>
                <w:bCs/>
                <w:color w:val="000000"/>
                <w:kern w:val="0"/>
                <w14:ligatures w14:val="none"/>
              </w:rPr>
            </w:pPr>
            <w:r w:rsidRPr="004340DA">
              <w:rPr>
                <w:rFonts w:ascii="Times New Roman" w:eastAsia="Times New Roman" w:hAnsi="Times New Roman" w:cs="Times New Roman"/>
                <w:b/>
                <w:bCs/>
                <w:color w:val="000000"/>
                <w:kern w:val="0"/>
                <w14:ligatures w14:val="none"/>
              </w:rPr>
              <w:t>Pocket</w:t>
            </w:r>
          </w:p>
        </w:tc>
        <w:tc>
          <w:tcPr>
            <w:tcW w:w="0" w:type="auto"/>
            <w:hideMark/>
          </w:tcPr>
          <w:p w14:paraId="660EB027" w14:textId="77777777" w:rsidR="004340DA" w:rsidRPr="004340DA" w:rsidRDefault="004340DA" w:rsidP="004340DA">
            <w:pPr>
              <w:jc w:val="center"/>
              <w:rPr>
                <w:rFonts w:ascii="Times New Roman" w:eastAsia="Times New Roman" w:hAnsi="Times New Roman" w:cs="Times New Roman"/>
                <w:b/>
                <w:bCs/>
                <w:color w:val="000000"/>
                <w:kern w:val="0"/>
                <w14:ligatures w14:val="none"/>
              </w:rPr>
            </w:pPr>
            <w:proofErr w:type="spellStart"/>
            <w:r w:rsidRPr="004340DA">
              <w:rPr>
                <w:rFonts w:ascii="Times New Roman" w:eastAsia="Times New Roman" w:hAnsi="Times New Roman" w:cs="Times New Roman"/>
                <w:b/>
                <w:bCs/>
                <w:color w:val="000000"/>
                <w:kern w:val="0"/>
                <w14:ligatures w14:val="none"/>
              </w:rPr>
              <w:t>fpocket</w:t>
            </w:r>
            <w:proofErr w:type="spellEnd"/>
            <w:r w:rsidRPr="004340DA">
              <w:rPr>
                <w:rFonts w:ascii="Times New Roman" w:eastAsia="Times New Roman" w:hAnsi="Times New Roman" w:cs="Times New Roman"/>
                <w:b/>
                <w:bCs/>
                <w:color w:val="000000"/>
                <w:kern w:val="0"/>
                <w14:ligatures w14:val="none"/>
              </w:rPr>
              <w:t xml:space="preserve"> Rank</w:t>
            </w:r>
          </w:p>
        </w:tc>
        <w:tc>
          <w:tcPr>
            <w:tcW w:w="0" w:type="auto"/>
            <w:hideMark/>
          </w:tcPr>
          <w:p w14:paraId="5C88C4B3" w14:textId="77777777" w:rsidR="004340DA" w:rsidRPr="004340DA" w:rsidRDefault="004340DA" w:rsidP="004340DA">
            <w:pPr>
              <w:jc w:val="center"/>
              <w:rPr>
                <w:rFonts w:ascii="Times New Roman" w:eastAsia="Times New Roman" w:hAnsi="Times New Roman" w:cs="Times New Roman"/>
                <w:b/>
                <w:bCs/>
                <w:color w:val="000000"/>
                <w:kern w:val="0"/>
                <w14:ligatures w14:val="none"/>
              </w:rPr>
            </w:pPr>
            <w:r w:rsidRPr="004340DA">
              <w:rPr>
                <w:rFonts w:ascii="Times New Roman" w:eastAsia="Times New Roman" w:hAnsi="Times New Roman" w:cs="Times New Roman"/>
                <w:b/>
                <w:bCs/>
                <w:color w:val="000000"/>
                <w:kern w:val="0"/>
                <w14:ligatures w14:val="none"/>
              </w:rPr>
              <w:t>Volume (Å³)</w:t>
            </w:r>
          </w:p>
        </w:tc>
        <w:tc>
          <w:tcPr>
            <w:tcW w:w="0" w:type="auto"/>
            <w:hideMark/>
          </w:tcPr>
          <w:p w14:paraId="05EEDC86" w14:textId="77777777" w:rsidR="004340DA" w:rsidRPr="004340DA" w:rsidRDefault="004340DA" w:rsidP="004340DA">
            <w:pPr>
              <w:jc w:val="center"/>
              <w:rPr>
                <w:rFonts w:ascii="Times New Roman" w:eastAsia="Times New Roman" w:hAnsi="Times New Roman" w:cs="Times New Roman"/>
                <w:b/>
                <w:bCs/>
                <w:color w:val="000000"/>
                <w:kern w:val="0"/>
                <w14:ligatures w14:val="none"/>
              </w:rPr>
            </w:pPr>
            <w:r w:rsidRPr="004340DA">
              <w:rPr>
                <w:rFonts w:ascii="Times New Roman" w:eastAsia="Times New Roman" w:hAnsi="Times New Roman" w:cs="Times New Roman"/>
                <w:b/>
                <w:bCs/>
                <w:color w:val="000000"/>
                <w:kern w:val="0"/>
                <w14:ligatures w14:val="none"/>
              </w:rPr>
              <w:t>Total SASA (Å²)</w:t>
            </w:r>
          </w:p>
        </w:tc>
        <w:tc>
          <w:tcPr>
            <w:tcW w:w="0" w:type="auto"/>
            <w:hideMark/>
          </w:tcPr>
          <w:p w14:paraId="378EBDD2" w14:textId="77777777" w:rsidR="004340DA" w:rsidRPr="004340DA" w:rsidRDefault="004340DA" w:rsidP="004340DA">
            <w:pPr>
              <w:jc w:val="center"/>
              <w:rPr>
                <w:rFonts w:ascii="Times New Roman" w:eastAsia="Times New Roman" w:hAnsi="Times New Roman" w:cs="Times New Roman"/>
                <w:b/>
                <w:bCs/>
                <w:color w:val="000000"/>
                <w:kern w:val="0"/>
                <w14:ligatures w14:val="none"/>
              </w:rPr>
            </w:pPr>
            <w:r w:rsidRPr="004340DA">
              <w:rPr>
                <w:rFonts w:ascii="Times New Roman" w:eastAsia="Times New Roman" w:hAnsi="Times New Roman" w:cs="Times New Roman"/>
                <w:b/>
                <w:bCs/>
                <w:color w:val="000000"/>
                <w:kern w:val="0"/>
                <w14:ligatures w14:val="none"/>
              </w:rPr>
              <w:t>Apolar SASA (Å²)</w:t>
            </w:r>
          </w:p>
        </w:tc>
        <w:tc>
          <w:tcPr>
            <w:tcW w:w="0" w:type="auto"/>
            <w:hideMark/>
          </w:tcPr>
          <w:p w14:paraId="7A150384" w14:textId="77777777" w:rsidR="004340DA" w:rsidRPr="004340DA" w:rsidRDefault="004340DA" w:rsidP="004340DA">
            <w:pPr>
              <w:jc w:val="center"/>
              <w:rPr>
                <w:rFonts w:ascii="Times New Roman" w:eastAsia="Times New Roman" w:hAnsi="Times New Roman" w:cs="Times New Roman"/>
                <w:b/>
                <w:bCs/>
                <w:color w:val="000000"/>
                <w:kern w:val="0"/>
                <w14:ligatures w14:val="none"/>
              </w:rPr>
            </w:pPr>
            <w:r w:rsidRPr="004340DA">
              <w:rPr>
                <w:rFonts w:ascii="Times New Roman" w:eastAsia="Times New Roman" w:hAnsi="Times New Roman" w:cs="Times New Roman"/>
                <w:b/>
                <w:bCs/>
                <w:color w:val="000000"/>
                <w:kern w:val="0"/>
                <w14:ligatures w14:val="none"/>
              </w:rPr>
              <w:t>Hydrophobicity Score</w:t>
            </w:r>
          </w:p>
        </w:tc>
        <w:tc>
          <w:tcPr>
            <w:tcW w:w="0" w:type="auto"/>
            <w:hideMark/>
          </w:tcPr>
          <w:p w14:paraId="1334E42E" w14:textId="77777777" w:rsidR="004340DA" w:rsidRPr="004340DA" w:rsidRDefault="004340DA" w:rsidP="004340DA">
            <w:pPr>
              <w:jc w:val="center"/>
              <w:rPr>
                <w:rFonts w:ascii="Times New Roman" w:eastAsia="Times New Roman" w:hAnsi="Times New Roman" w:cs="Times New Roman"/>
                <w:b/>
                <w:bCs/>
                <w:color w:val="000000"/>
                <w:kern w:val="0"/>
                <w14:ligatures w14:val="none"/>
              </w:rPr>
            </w:pPr>
            <w:r w:rsidRPr="004340DA">
              <w:rPr>
                <w:rFonts w:ascii="Times New Roman" w:eastAsia="Times New Roman" w:hAnsi="Times New Roman" w:cs="Times New Roman"/>
                <w:b/>
                <w:bCs/>
                <w:color w:val="000000"/>
                <w:kern w:val="0"/>
                <w14:ligatures w14:val="none"/>
              </w:rPr>
              <w:t>Flexibility</w:t>
            </w:r>
          </w:p>
        </w:tc>
      </w:tr>
      <w:tr w:rsidR="004340DA" w:rsidRPr="004340DA" w14:paraId="32AD8F10" w14:textId="77777777" w:rsidTr="004073F1">
        <w:tc>
          <w:tcPr>
            <w:tcW w:w="0" w:type="auto"/>
            <w:hideMark/>
          </w:tcPr>
          <w:p w14:paraId="165E01F5" w14:textId="77777777" w:rsidR="004340DA" w:rsidRPr="004340DA" w:rsidRDefault="004340DA" w:rsidP="004340DA">
            <w:pPr>
              <w:rPr>
                <w:rFonts w:ascii="Times New Roman" w:eastAsia="Times New Roman" w:hAnsi="Times New Roman" w:cs="Times New Roman"/>
                <w:color w:val="000000"/>
                <w:kern w:val="0"/>
                <w14:ligatures w14:val="none"/>
              </w:rPr>
            </w:pPr>
            <w:r w:rsidRPr="004340DA">
              <w:rPr>
                <w:rFonts w:ascii="Times New Roman" w:eastAsia="Times New Roman" w:hAnsi="Times New Roman" w:cs="Times New Roman"/>
                <w:color w:val="000000"/>
                <w:kern w:val="0"/>
                <w14:ligatures w14:val="none"/>
              </w:rPr>
              <w:t>1</w:t>
            </w:r>
          </w:p>
        </w:tc>
        <w:tc>
          <w:tcPr>
            <w:tcW w:w="0" w:type="auto"/>
            <w:hideMark/>
          </w:tcPr>
          <w:p w14:paraId="2F7DD4F8" w14:textId="77777777" w:rsidR="004340DA" w:rsidRPr="004340DA" w:rsidRDefault="004340DA" w:rsidP="004340DA">
            <w:pPr>
              <w:rPr>
                <w:rFonts w:ascii="Times New Roman" w:eastAsia="Times New Roman" w:hAnsi="Times New Roman" w:cs="Times New Roman"/>
                <w:color w:val="000000"/>
                <w:kern w:val="0"/>
                <w14:ligatures w14:val="none"/>
              </w:rPr>
            </w:pPr>
            <w:r w:rsidRPr="004340DA">
              <w:rPr>
                <w:rFonts w:ascii="Times New Roman" w:eastAsia="Times New Roman" w:hAnsi="Times New Roman" w:cs="Times New Roman"/>
                <w:color w:val="000000"/>
                <w:kern w:val="0"/>
                <w14:ligatures w14:val="none"/>
              </w:rPr>
              <w:t>1</w:t>
            </w:r>
          </w:p>
        </w:tc>
        <w:tc>
          <w:tcPr>
            <w:tcW w:w="0" w:type="auto"/>
            <w:hideMark/>
          </w:tcPr>
          <w:p w14:paraId="095FF415" w14:textId="77777777" w:rsidR="004340DA" w:rsidRPr="004340DA" w:rsidRDefault="004340DA" w:rsidP="004340DA">
            <w:pPr>
              <w:rPr>
                <w:rFonts w:ascii="Times New Roman" w:eastAsia="Times New Roman" w:hAnsi="Times New Roman" w:cs="Times New Roman"/>
                <w:color w:val="000000"/>
                <w:kern w:val="0"/>
                <w14:ligatures w14:val="none"/>
              </w:rPr>
            </w:pPr>
            <w:r w:rsidRPr="004340DA">
              <w:rPr>
                <w:rFonts w:ascii="Times New Roman" w:eastAsia="Times New Roman" w:hAnsi="Times New Roman" w:cs="Times New Roman"/>
                <w:color w:val="000000"/>
                <w:kern w:val="0"/>
                <w14:ligatures w14:val="none"/>
              </w:rPr>
              <w:t>557.8</w:t>
            </w:r>
          </w:p>
        </w:tc>
        <w:tc>
          <w:tcPr>
            <w:tcW w:w="0" w:type="auto"/>
            <w:hideMark/>
          </w:tcPr>
          <w:p w14:paraId="41236FC5" w14:textId="77777777" w:rsidR="004340DA" w:rsidRPr="004340DA" w:rsidRDefault="004340DA" w:rsidP="004340DA">
            <w:pPr>
              <w:rPr>
                <w:rFonts w:ascii="Times New Roman" w:eastAsia="Times New Roman" w:hAnsi="Times New Roman" w:cs="Times New Roman"/>
                <w:color w:val="000000"/>
                <w:kern w:val="0"/>
                <w14:ligatures w14:val="none"/>
              </w:rPr>
            </w:pPr>
            <w:r w:rsidRPr="004340DA">
              <w:rPr>
                <w:rFonts w:ascii="Times New Roman" w:eastAsia="Times New Roman" w:hAnsi="Times New Roman" w:cs="Times New Roman"/>
                <w:color w:val="000000"/>
                <w:kern w:val="0"/>
                <w14:ligatures w14:val="none"/>
              </w:rPr>
              <w:t>161.9</w:t>
            </w:r>
          </w:p>
        </w:tc>
        <w:tc>
          <w:tcPr>
            <w:tcW w:w="0" w:type="auto"/>
            <w:hideMark/>
          </w:tcPr>
          <w:p w14:paraId="07839D81" w14:textId="77777777" w:rsidR="004340DA" w:rsidRPr="004340DA" w:rsidRDefault="004340DA" w:rsidP="004340DA">
            <w:pPr>
              <w:rPr>
                <w:rFonts w:ascii="Times New Roman" w:eastAsia="Times New Roman" w:hAnsi="Times New Roman" w:cs="Times New Roman"/>
                <w:color w:val="000000"/>
                <w:kern w:val="0"/>
                <w14:ligatures w14:val="none"/>
              </w:rPr>
            </w:pPr>
            <w:r w:rsidRPr="004340DA">
              <w:rPr>
                <w:rFonts w:ascii="Times New Roman" w:eastAsia="Times New Roman" w:hAnsi="Times New Roman" w:cs="Times New Roman"/>
                <w:color w:val="000000"/>
                <w:kern w:val="0"/>
                <w14:ligatures w14:val="none"/>
              </w:rPr>
              <w:t>134.0</w:t>
            </w:r>
          </w:p>
        </w:tc>
        <w:tc>
          <w:tcPr>
            <w:tcW w:w="0" w:type="auto"/>
            <w:hideMark/>
          </w:tcPr>
          <w:p w14:paraId="5F3E1589" w14:textId="77777777" w:rsidR="004340DA" w:rsidRPr="004340DA" w:rsidRDefault="004340DA" w:rsidP="004340DA">
            <w:pPr>
              <w:rPr>
                <w:rFonts w:ascii="Times New Roman" w:eastAsia="Times New Roman" w:hAnsi="Times New Roman" w:cs="Times New Roman"/>
                <w:color w:val="000000"/>
                <w:kern w:val="0"/>
                <w14:ligatures w14:val="none"/>
              </w:rPr>
            </w:pPr>
            <w:r w:rsidRPr="004340DA">
              <w:rPr>
                <w:rFonts w:ascii="Times New Roman" w:eastAsia="Times New Roman" w:hAnsi="Times New Roman" w:cs="Times New Roman"/>
                <w:color w:val="000000"/>
                <w:kern w:val="0"/>
                <w14:ligatures w14:val="none"/>
              </w:rPr>
              <w:t>49.0</w:t>
            </w:r>
          </w:p>
        </w:tc>
        <w:tc>
          <w:tcPr>
            <w:tcW w:w="0" w:type="auto"/>
            <w:hideMark/>
          </w:tcPr>
          <w:p w14:paraId="6BCD0108" w14:textId="77777777" w:rsidR="004340DA" w:rsidRPr="004340DA" w:rsidRDefault="004340DA" w:rsidP="004340DA">
            <w:pPr>
              <w:rPr>
                <w:rFonts w:ascii="Times New Roman" w:eastAsia="Times New Roman" w:hAnsi="Times New Roman" w:cs="Times New Roman"/>
                <w:color w:val="000000"/>
                <w:kern w:val="0"/>
                <w14:ligatures w14:val="none"/>
              </w:rPr>
            </w:pPr>
            <w:r w:rsidRPr="004340DA">
              <w:rPr>
                <w:rFonts w:ascii="Times New Roman" w:eastAsia="Times New Roman" w:hAnsi="Times New Roman" w:cs="Times New Roman"/>
                <w:color w:val="000000"/>
                <w:kern w:val="0"/>
                <w14:ligatures w14:val="none"/>
              </w:rPr>
              <w:t>0.66</w:t>
            </w:r>
          </w:p>
        </w:tc>
      </w:tr>
      <w:tr w:rsidR="004340DA" w:rsidRPr="004340DA" w14:paraId="328121CA" w14:textId="77777777" w:rsidTr="004073F1">
        <w:tc>
          <w:tcPr>
            <w:tcW w:w="0" w:type="auto"/>
            <w:hideMark/>
          </w:tcPr>
          <w:p w14:paraId="475615BB" w14:textId="77777777" w:rsidR="004340DA" w:rsidRPr="004340DA" w:rsidRDefault="004340DA" w:rsidP="004340DA">
            <w:pPr>
              <w:rPr>
                <w:rFonts w:ascii="Times New Roman" w:eastAsia="Times New Roman" w:hAnsi="Times New Roman" w:cs="Times New Roman"/>
                <w:color w:val="000000"/>
                <w:kern w:val="0"/>
                <w14:ligatures w14:val="none"/>
              </w:rPr>
            </w:pPr>
            <w:r w:rsidRPr="004340DA">
              <w:rPr>
                <w:rFonts w:ascii="Times New Roman" w:eastAsia="Times New Roman" w:hAnsi="Times New Roman" w:cs="Times New Roman"/>
                <w:color w:val="000000"/>
                <w:kern w:val="0"/>
                <w14:ligatures w14:val="none"/>
              </w:rPr>
              <w:t>2</w:t>
            </w:r>
          </w:p>
        </w:tc>
        <w:tc>
          <w:tcPr>
            <w:tcW w:w="0" w:type="auto"/>
            <w:hideMark/>
          </w:tcPr>
          <w:p w14:paraId="4C8C7442" w14:textId="77777777" w:rsidR="004340DA" w:rsidRPr="004340DA" w:rsidRDefault="004340DA" w:rsidP="004340DA">
            <w:pPr>
              <w:rPr>
                <w:rFonts w:ascii="Times New Roman" w:eastAsia="Times New Roman" w:hAnsi="Times New Roman" w:cs="Times New Roman"/>
                <w:color w:val="000000"/>
                <w:kern w:val="0"/>
                <w14:ligatures w14:val="none"/>
              </w:rPr>
            </w:pPr>
            <w:r w:rsidRPr="004340DA">
              <w:rPr>
                <w:rFonts w:ascii="Times New Roman" w:eastAsia="Times New Roman" w:hAnsi="Times New Roman" w:cs="Times New Roman"/>
                <w:color w:val="000000"/>
                <w:kern w:val="0"/>
                <w14:ligatures w14:val="none"/>
              </w:rPr>
              <w:t>2</w:t>
            </w:r>
          </w:p>
        </w:tc>
        <w:tc>
          <w:tcPr>
            <w:tcW w:w="0" w:type="auto"/>
            <w:hideMark/>
          </w:tcPr>
          <w:p w14:paraId="4354F333" w14:textId="77777777" w:rsidR="004340DA" w:rsidRPr="004340DA" w:rsidRDefault="004340DA" w:rsidP="004340DA">
            <w:pPr>
              <w:rPr>
                <w:rFonts w:ascii="Times New Roman" w:eastAsia="Times New Roman" w:hAnsi="Times New Roman" w:cs="Times New Roman"/>
                <w:color w:val="000000"/>
                <w:kern w:val="0"/>
                <w14:ligatures w14:val="none"/>
              </w:rPr>
            </w:pPr>
            <w:r w:rsidRPr="004340DA">
              <w:rPr>
                <w:rFonts w:ascii="Times New Roman" w:eastAsia="Times New Roman" w:hAnsi="Times New Roman" w:cs="Times New Roman"/>
                <w:color w:val="000000"/>
                <w:kern w:val="0"/>
                <w14:ligatures w14:val="none"/>
              </w:rPr>
              <w:t>571.3</w:t>
            </w:r>
          </w:p>
        </w:tc>
        <w:tc>
          <w:tcPr>
            <w:tcW w:w="0" w:type="auto"/>
            <w:hideMark/>
          </w:tcPr>
          <w:p w14:paraId="2D02C298" w14:textId="77777777" w:rsidR="004340DA" w:rsidRPr="004340DA" w:rsidRDefault="004340DA" w:rsidP="004340DA">
            <w:pPr>
              <w:rPr>
                <w:rFonts w:ascii="Times New Roman" w:eastAsia="Times New Roman" w:hAnsi="Times New Roman" w:cs="Times New Roman"/>
                <w:color w:val="000000"/>
                <w:kern w:val="0"/>
                <w14:ligatures w14:val="none"/>
              </w:rPr>
            </w:pPr>
            <w:r w:rsidRPr="004340DA">
              <w:rPr>
                <w:rFonts w:ascii="Times New Roman" w:eastAsia="Times New Roman" w:hAnsi="Times New Roman" w:cs="Times New Roman"/>
                <w:color w:val="000000"/>
                <w:kern w:val="0"/>
                <w14:ligatures w14:val="none"/>
              </w:rPr>
              <w:t>133.9</w:t>
            </w:r>
          </w:p>
        </w:tc>
        <w:tc>
          <w:tcPr>
            <w:tcW w:w="0" w:type="auto"/>
            <w:hideMark/>
          </w:tcPr>
          <w:p w14:paraId="5DF01D9B" w14:textId="77777777" w:rsidR="004340DA" w:rsidRPr="004340DA" w:rsidRDefault="004340DA" w:rsidP="004340DA">
            <w:pPr>
              <w:rPr>
                <w:rFonts w:ascii="Times New Roman" w:eastAsia="Times New Roman" w:hAnsi="Times New Roman" w:cs="Times New Roman"/>
                <w:color w:val="000000"/>
                <w:kern w:val="0"/>
                <w14:ligatures w14:val="none"/>
              </w:rPr>
            </w:pPr>
            <w:r w:rsidRPr="004340DA">
              <w:rPr>
                <w:rFonts w:ascii="Times New Roman" w:eastAsia="Times New Roman" w:hAnsi="Times New Roman" w:cs="Times New Roman"/>
                <w:color w:val="000000"/>
                <w:kern w:val="0"/>
                <w14:ligatures w14:val="none"/>
              </w:rPr>
              <w:t>122.0</w:t>
            </w:r>
          </w:p>
        </w:tc>
        <w:tc>
          <w:tcPr>
            <w:tcW w:w="0" w:type="auto"/>
            <w:hideMark/>
          </w:tcPr>
          <w:p w14:paraId="5FAC9BB9" w14:textId="77777777" w:rsidR="004340DA" w:rsidRPr="004340DA" w:rsidRDefault="004340DA" w:rsidP="004340DA">
            <w:pPr>
              <w:rPr>
                <w:rFonts w:ascii="Times New Roman" w:eastAsia="Times New Roman" w:hAnsi="Times New Roman" w:cs="Times New Roman"/>
                <w:color w:val="000000"/>
                <w:kern w:val="0"/>
                <w14:ligatures w14:val="none"/>
              </w:rPr>
            </w:pPr>
            <w:r w:rsidRPr="004340DA">
              <w:rPr>
                <w:rFonts w:ascii="Times New Roman" w:eastAsia="Times New Roman" w:hAnsi="Times New Roman" w:cs="Times New Roman"/>
                <w:color w:val="000000"/>
                <w:kern w:val="0"/>
                <w14:ligatures w14:val="none"/>
              </w:rPr>
              <w:t>68.6</w:t>
            </w:r>
          </w:p>
        </w:tc>
        <w:tc>
          <w:tcPr>
            <w:tcW w:w="0" w:type="auto"/>
            <w:hideMark/>
          </w:tcPr>
          <w:p w14:paraId="7BDEEEEE" w14:textId="77777777" w:rsidR="004340DA" w:rsidRPr="004340DA" w:rsidRDefault="004340DA" w:rsidP="004340DA">
            <w:pPr>
              <w:rPr>
                <w:rFonts w:ascii="Times New Roman" w:eastAsia="Times New Roman" w:hAnsi="Times New Roman" w:cs="Times New Roman"/>
                <w:color w:val="000000"/>
                <w:kern w:val="0"/>
                <w14:ligatures w14:val="none"/>
              </w:rPr>
            </w:pPr>
            <w:r w:rsidRPr="004340DA">
              <w:rPr>
                <w:rFonts w:ascii="Times New Roman" w:eastAsia="Times New Roman" w:hAnsi="Times New Roman" w:cs="Times New Roman"/>
                <w:color w:val="000000"/>
                <w:kern w:val="0"/>
                <w14:ligatures w14:val="none"/>
              </w:rPr>
              <w:t>0.89</w:t>
            </w:r>
          </w:p>
        </w:tc>
      </w:tr>
    </w:tbl>
    <w:p w14:paraId="1EFA097E" w14:textId="68E2BEDB" w:rsidR="004340DA" w:rsidRPr="004340DA" w:rsidRDefault="004340DA" w:rsidP="004340DA">
      <w:pPr>
        <w:spacing w:before="100" w:beforeAutospacing="1" w:after="100" w:afterAutospacing="1" w:line="240" w:lineRule="auto"/>
        <w:rPr>
          <w:rFonts w:ascii="Times New Roman" w:eastAsia="Times New Roman" w:hAnsi="Times New Roman" w:cs="Times New Roman"/>
          <w:color w:val="000000"/>
          <w:kern w:val="0"/>
          <w14:ligatures w14:val="none"/>
        </w:rPr>
      </w:pPr>
      <w:r w:rsidRPr="004340DA">
        <w:rPr>
          <w:rFonts w:ascii="Times New Roman" w:eastAsia="Times New Roman" w:hAnsi="Times New Roman" w:cs="Times New Roman"/>
          <w:color w:val="000000"/>
          <w:kern w:val="0"/>
          <w14:ligatures w14:val="none"/>
        </w:rPr>
        <w:t xml:space="preserve">Pocket 3 was ranked significantly lower in terms of </w:t>
      </w:r>
      <w:proofErr w:type="spellStart"/>
      <w:r w:rsidRPr="004340DA">
        <w:rPr>
          <w:rFonts w:ascii="Times New Roman" w:eastAsia="Times New Roman" w:hAnsi="Times New Roman" w:cs="Times New Roman"/>
          <w:color w:val="000000"/>
          <w:kern w:val="0"/>
          <w14:ligatures w14:val="none"/>
        </w:rPr>
        <w:t>druggability</w:t>
      </w:r>
      <w:proofErr w:type="spellEnd"/>
      <w:r w:rsidRPr="004340DA">
        <w:rPr>
          <w:rFonts w:ascii="Times New Roman" w:eastAsia="Times New Roman" w:hAnsi="Times New Roman" w:cs="Times New Roman"/>
          <w:color w:val="000000"/>
          <w:kern w:val="0"/>
          <w14:ligatures w14:val="none"/>
        </w:rPr>
        <w:t xml:space="preserve"> and hydrophobic character and was thus excluded from detailed docking analysis.</w:t>
      </w:r>
      <w:r w:rsidR="000B6EC4">
        <w:rPr>
          <w:rFonts w:ascii="Times New Roman" w:eastAsia="Times New Roman" w:hAnsi="Times New Roman" w:cs="Times New Roman"/>
          <w:color w:val="000000"/>
          <w:kern w:val="0"/>
          <w14:ligatures w14:val="none"/>
        </w:rPr>
        <w:t xml:space="preserve"> Pocket 2 is more deep and non-polar. Ideal to bind small hydrophobic molecule like Geosmin, compared to more flexible Linalool.</w:t>
      </w:r>
    </w:p>
    <w:p w14:paraId="794AE8B5" w14:textId="77777777" w:rsidR="004340DA" w:rsidRPr="004340DA" w:rsidRDefault="004340DA" w:rsidP="004340DA">
      <w:p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sidRPr="004340DA">
        <w:rPr>
          <w:rFonts w:ascii="Times New Roman" w:eastAsia="Times New Roman" w:hAnsi="Times New Roman" w:cs="Times New Roman"/>
          <w:b/>
          <w:bCs/>
          <w:color w:val="000000"/>
          <w:kern w:val="0"/>
          <w14:ligatures w14:val="none"/>
        </w:rPr>
        <w:t>4. Molecular Docking Analysis (</w:t>
      </w:r>
      <w:proofErr w:type="spellStart"/>
      <w:r w:rsidRPr="004340DA">
        <w:rPr>
          <w:rFonts w:ascii="Times New Roman" w:eastAsia="Times New Roman" w:hAnsi="Times New Roman" w:cs="Times New Roman"/>
          <w:b/>
          <w:bCs/>
          <w:color w:val="000000"/>
          <w:kern w:val="0"/>
          <w14:ligatures w14:val="none"/>
        </w:rPr>
        <w:t>AutoDock</w:t>
      </w:r>
      <w:proofErr w:type="spellEnd"/>
      <w:r w:rsidRPr="004340DA">
        <w:rPr>
          <w:rFonts w:ascii="Times New Roman" w:eastAsia="Times New Roman" w:hAnsi="Times New Roman" w:cs="Times New Roman"/>
          <w:b/>
          <w:bCs/>
          <w:color w:val="000000"/>
          <w:kern w:val="0"/>
          <w14:ligatures w14:val="none"/>
        </w:rPr>
        <w:t xml:space="preserve"> Vina)</w:t>
      </w:r>
    </w:p>
    <w:p w14:paraId="49CE61F6" w14:textId="77777777" w:rsidR="004340DA" w:rsidRPr="004340DA" w:rsidRDefault="004340DA" w:rsidP="004340DA">
      <w:pPr>
        <w:spacing w:before="100" w:beforeAutospacing="1" w:after="100" w:afterAutospacing="1" w:line="240" w:lineRule="auto"/>
        <w:rPr>
          <w:rFonts w:ascii="Times New Roman" w:eastAsia="Times New Roman" w:hAnsi="Times New Roman" w:cs="Times New Roman"/>
          <w:color w:val="000000"/>
          <w:kern w:val="0"/>
          <w14:ligatures w14:val="none"/>
        </w:rPr>
      </w:pPr>
      <w:r w:rsidRPr="004340DA">
        <w:rPr>
          <w:rFonts w:ascii="Times New Roman" w:eastAsia="Times New Roman" w:hAnsi="Times New Roman" w:cs="Times New Roman"/>
          <w:color w:val="000000"/>
          <w:kern w:val="0"/>
          <w14:ligatures w14:val="none"/>
        </w:rPr>
        <w:t>Docking affinities analyzed for the two relevant pockets were:</w:t>
      </w:r>
    </w:p>
    <w:tbl>
      <w:tblPr>
        <w:tblStyle w:val="TableGrid"/>
        <w:tblW w:w="0" w:type="auto"/>
        <w:tblLook w:val="04A0" w:firstRow="1" w:lastRow="0" w:firstColumn="1" w:lastColumn="0" w:noHBand="0" w:noVBand="1"/>
      </w:tblPr>
      <w:tblGrid>
        <w:gridCol w:w="1083"/>
        <w:gridCol w:w="2109"/>
        <w:gridCol w:w="2109"/>
      </w:tblGrid>
      <w:tr w:rsidR="004340DA" w:rsidRPr="004340DA" w14:paraId="4FD3C366" w14:textId="77777777" w:rsidTr="004073F1">
        <w:tc>
          <w:tcPr>
            <w:tcW w:w="0" w:type="auto"/>
            <w:hideMark/>
          </w:tcPr>
          <w:p w14:paraId="0D90FE1A" w14:textId="77777777" w:rsidR="004340DA" w:rsidRPr="004340DA" w:rsidRDefault="004340DA" w:rsidP="004340DA">
            <w:pPr>
              <w:rPr>
                <w:rFonts w:ascii="Times New Roman" w:eastAsia="Times New Roman" w:hAnsi="Times New Roman" w:cs="Times New Roman"/>
                <w:color w:val="000000"/>
                <w:kern w:val="0"/>
                <w14:ligatures w14:val="none"/>
              </w:rPr>
            </w:pPr>
            <w:r w:rsidRPr="004340DA">
              <w:rPr>
                <w:rFonts w:ascii="Times New Roman" w:eastAsia="Times New Roman" w:hAnsi="Times New Roman" w:cs="Times New Roman"/>
                <w:color w:val="000000"/>
                <w:kern w:val="0"/>
                <w14:ligatures w14:val="none"/>
              </w:rPr>
              <w:t>Ligand</w:t>
            </w:r>
          </w:p>
        </w:tc>
        <w:tc>
          <w:tcPr>
            <w:tcW w:w="0" w:type="auto"/>
            <w:hideMark/>
          </w:tcPr>
          <w:p w14:paraId="0E70D5DC" w14:textId="77777777" w:rsidR="004340DA" w:rsidRPr="004340DA" w:rsidRDefault="004340DA" w:rsidP="004340DA">
            <w:pPr>
              <w:rPr>
                <w:rFonts w:ascii="Times New Roman" w:eastAsia="Times New Roman" w:hAnsi="Times New Roman" w:cs="Times New Roman"/>
                <w:color w:val="000000"/>
                <w:kern w:val="0"/>
                <w14:ligatures w14:val="none"/>
              </w:rPr>
            </w:pPr>
            <w:r w:rsidRPr="004340DA">
              <w:rPr>
                <w:rFonts w:ascii="Times New Roman" w:eastAsia="Times New Roman" w:hAnsi="Times New Roman" w:cs="Times New Roman"/>
                <w:color w:val="000000"/>
                <w:kern w:val="0"/>
                <w14:ligatures w14:val="none"/>
              </w:rPr>
              <w:t>Pocket 1 (kcal/mol)</w:t>
            </w:r>
          </w:p>
        </w:tc>
        <w:tc>
          <w:tcPr>
            <w:tcW w:w="0" w:type="auto"/>
            <w:hideMark/>
          </w:tcPr>
          <w:p w14:paraId="19C9050F" w14:textId="77777777" w:rsidR="004340DA" w:rsidRPr="004340DA" w:rsidRDefault="004340DA" w:rsidP="004340DA">
            <w:pPr>
              <w:rPr>
                <w:rFonts w:ascii="Times New Roman" w:eastAsia="Times New Roman" w:hAnsi="Times New Roman" w:cs="Times New Roman"/>
                <w:color w:val="000000"/>
                <w:kern w:val="0"/>
                <w14:ligatures w14:val="none"/>
              </w:rPr>
            </w:pPr>
            <w:r w:rsidRPr="004340DA">
              <w:rPr>
                <w:rFonts w:ascii="Times New Roman" w:eastAsia="Times New Roman" w:hAnsi="Times New Roman" w:cs="Times New Roman"/>
                <w:color w:val="000000"/>
                <w:kern w:val="0"/>
                <w14:ligatures w14:val="none"/>
              </w:rPr>
              <w:t>Pocket 2 (kcal/mol)</w:t>
            </w:r>
          </w:p>
        </w:tc>
      </w:tr>
      <w:tr w:rsidR="004340DA" w:rsidRPr="004340DA" w14:paraId="7DC5BA9A" w14:textId="77777777" w:rsidTr="004073F1">
        <w:tc>
          <w:tcPr>
            <w:tcW w:w="0" w:type="auto"/>
            <w:hideMark/>
          </w:tcPr>
          <w:p w14:paraId="09FC0DAE" w14:textId="77777777" w:rsidR="004340DA" w:rsidRPr="004340DA" w:rsidRDefault="004340DA" w:rsidP="004340DA">
            <w:pPr>
              <w:rPr>
                <w:rFonts w:ascii="Times New Roman" w:eastAsia="Times New Roman" w:hAnsi="Times New Roman" w:cs="Times New Roman"/>
                <w:color w:val="000000"/>
                <w:kern w:val="0"/>
                <w14:ligatures w14:val="none"/>
              </w:rPr>
            </w:pPr>
            <w:r w:rsidRPr="004340DA">
              <w:rPr>
                <w:rFonts w:ascii="Times New Roman" w:eastAsia="Times New Roman" w:hAnsi="Times New Roman" w:cs="Times New Roman"/>
                <w:color w:val="000000"/>
                <w:kern w:val="0"/>
                <w14:ligatures w14:val="none"/>
              </w:rPr>
              <w:t>Geosmin</w:t>
            </w:r>
          </w:p>
        </w:tc>
        <w:tc>
          <w:tcPr>
            <w:tcW w:w="0" w:type="auto"/>
            <w:hideMark/>
          </w:tcPr>
          <w:p w14:paraId="25A575B9" w14:textId="0AB5B78F" w:rsidR="004340DA" w:rsidRPr="004340DA" w:rsidRDefault="004340DA" w:rsidP="004340DA">
            <w:pPr>
              <w:rPr>
                <w:rFonts w:ascii="Times New Roman" w:eastAsia="Times New Roman" w:hAnsi="Times New Roman" w:cs="Times New Roman"/>
                <w:color w:val="000000"/>
                <w:kern w:val="0"/>
                <w14:ligatures w14:val="none"/>
              </w:rPr>
            </w:pPr>
            <w:r w:rsidRPr="004340DA">
              <w:rPr>
                <w:rFonts w:ascii="Times New Roman" w:eastAsia="Times New Roman" w:hAnsi="Times New Roman" w:cs="Times New Roman"/>
                <w:color w:val="000000"/>
                <w:kern w:val="0"/>
                <w14:ligatures w14:val="none"/>
              </w:rPr>
              <w:t>-5.</w:t>
            </w:r>
            <w:r w:rsidR="004073F1">
              <w:rPr>
                <w:rFonts w:ascii="Times New Roman" w:eastAsia="Times New Roman" w:hAnsi="Times New Roman" w:cs="Times New Roman"/>
                <w:color w:val="000000"/>
                <w:kern w:val="0"/>
                <w14:ligatures w14:val="none"/>
              </w:rPr>
              <w:t>10</w:t>
            </w:r>
          </w:p>
        </w:tc>
        <w:tc>
          <w:tcPr>
            <w:tcW w:w="0" w:type="auto"/>
            <w:hideMark/>
          </w:tcPr>
          <w:p w14:paraId="57A205CF" w14:textId="016AE8C8" w:rsidR="004340DA" w:rsidRPr="004340DA" w:rsidRDefault="004340DA" w:rsidP="004340DA">
            <w:pPr>
              <w:rPr>
                <w:rFonts w:ascii="Times New Roman" w:eastAsia="Times New Roman" w:hAnsi="Times New Roman" w:cs="Times New Roman"/>
                <w:color w:val="000000"/>
                <w:kern w:val="0"/>
                <w14:ligatures w14:val="none"/>
              </w:rPr>
            </w:pPr>
            <w:r w:rsidRPr="004340DA">
              <w:rPr>
                <w:rFonts w:ascii="Times New Roman" w:eastAsia="Times New Roman" w:hAnsi="Times New Roman" w:cs="Times New Roman"/>
                <w:b/>
                <w:bCs/>
                <w:color w:val="000000"/>
                <w:kern w:val="0"/>
                <w14:ligatures w14:val="none"/>
              </w:rPr>
              <w:t>-6.3</w:t>
            </w:r>
            <w:r w:rsidR="004073F1">
              <w:rPr>
                <w:rFonts w:ascii="Times New Roman" w:eastAsia="Times New Roman" w:hAnsi="Times New Roman" w:cs="Times New Roman"/>
                <w:b/>
                <w:bCs/>
                <w:color w:val="000000"/>
                <w:kern w:val="0"/>
                <w14:ligatures w14:val="none"/>
              </w:rPr>
              <w:t>2</w:t>
            </w:r>
          </w:p>
        </w:tc>
      </w:tr>
      <w:tr w:rsidR="004340DA" w:rsidRPr="004340DA" w14:paraId="63AA15C7" w14:textId="77777777" w:rsidTr="004073F1">
        <w:tc>
          <w:tcPr>
            <w:tcW w:w="0" w:type="auto"/>
            <w:hideMark/>
          </w:tcPr>
          <w:p w14:paraId="25948F12" w14:textId="77777777" w:rsidR="004340DA" w:rsidRPr="004340DA" w:rsidRDefault="004340DA" w:rsidP="004340DA">
            <w:pPr>
              <w:rPr>
                <w:rFonts w:ascii="Times New Roman" w:eastAsia="Times New Roman" w:hAnsi="Times New Roman" w:cs="Times New Roman"/>
                <w:color w:val="000000"/>
                <w:kern w:val="0"/>
                <w14:ligatures w14:val="none"/>
              </w:rPr>
            </w:pPr>
            <w:r w:rsidRPr="004340DA">
              <w:rPr>
                <w:rFonts w:ascii="Times New Roman" w:eastAsia="Times New Roman" w:hAnsi="Times New Roman" w:cs="Times New Roman"/>
                <w:color w:val="000000"/>
                <w:kern w:val="0"/>
                <w14:ligatures w14:val="none"/>
              </w:rPr>
              <w:t>Linalool</w:t>
            </w:r>
          </w:p>
        </w:tc>
        <w:tc>
          <w:tcPr>
            <w:tcW w:w="0" w:type="auto"/>
            <w:hideMark/>
          </w:tcPr>
          <w:p w14:paraId="4F417962" w14:textId="3C3F10A6" w:rsidR="004340DA" w:rsidRPr="004340DA" w:rsidRDefault="004340DA" w:rsidP="004340DA">
            <w:pPr>
              <w:rPr>
                <w:rFonts w:ascii="Times New Roman" w:eastAsia="Times New Roman" w:hAnsi="Times New Roman" w:cs="Times New Roman"/>
                <w:color w:val="000000"/>
                <w:kern w:val="0"/>
                <w14:ligatures w14:val="none"/>
              </w:rPr>
            </w:pPr>
            <w:r w:rsidRPr="004340DA">
              <w:rPr>
                <w:rFonts w:ascii="Times New Roman" w:eastAsia="Times New Roman" w:hAnsi="Times New Roman" w:cs="Times New Roman"/>
                <w:b/>
                <w:bCs/>
                <w:color w:val="000000"/>
                <w:kern w:val="0"/>
                <w14:ligatures w14:val="none"/>
              </w:rPr>
              <w:t>-5.</w:t>
            </w:r>
            <w:r w:rsidR="004073F1">
              <w:rPr>
                <w:rFonts w:ascii="Times New Roman" w:eastAsia="Times New Roman" w:hAnsi="Times New Roman" w:cs="Times New Roman"/>
                <w:b/>
                <w:bCs/>
                <w:color w:val="000000"/>
                <w:kern w:val="0"/>
                <w14:ligatures w14:val="none"/>
              </w:rPr>
              <w:t>36</w:t>
            </w:r>
          </w:p>
        </w:tc>
        <w:tc>
          <w:tcPr>
            <w:tcW w:w="0" w:type="auto"/>
            <w:hideMark/>
          </w:tcPr>
          <w:p w14:paraId="1DDA8842" w14:textId="1831C7B0" w:rsidR="004340DA" w:rsidRPr="004340DA" w:rsidRDefault="004340DA" w:rsidP="004340DA">
            <w:pPr>
              <w:rPr>
                <w:rFonts w:ascii="Times New Roman" w:eastAsia="Times New Roman" w:hAnsi="Times New Roman" w:cs="Times New Roman"/>
                <w:color w:val="000000"/>
                <w:kern w:val="0"/>
                <w14:ligatures w14:val="none"/>
              </w:rPr>
            </w:pPr>
            <w:r w:rsidRPr="004340DA">
              <w:rPr>
                <w:rFonts w:ascii="Times New Roman" w:eastAsia="Times New Roman" w:hAnsi="Times New Roman" w:cs="Times New Roman"/>
                <w:color w:val="000000"/>
                <w:kern w:val="0"/>
                <w14:ligatures w14:val="none"/>
              </w:rPr>
              <w:t>-4.</w:t>
            </w:r>
            <w:r w:rsidR="004073F1">
              <w:rPr>
                <w:rFonts w:ascii="Times New Roman" w:eastAsia="Times New Roman" w:hAnsi="Times New Roman" w:cs="Times New Roman"/>
                <w:color w:val="000000"/>
                <w:kern w:val="0"/>
                <w14:ligatures w14:val="none"/>
              </w:rPr>
              <w:t>27</w:t>
            </w:r>
          </w:p>
        </w:tc>
      </w:tr>
    </w:tbl>
    <w:p w14:paraId="0F127047" w14:textId="77777777" w:rsidR="004340DA" w:rsidRPr="004340DA" w:rsidRDefault="004340DA" w:rsidP="004340DA">
      <w:p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sidRPr="004340DA">
        <w:rPr>
          <w:rFonts w:ascii="Times New Roman" w:eastAsia="Times New Roman" w:hAnsi="Times New Roman" w:cs="Times New Roman"/>
          <w:b/>
          <w:bCs/>
          <w:color w:val="000000"/>
          <w:kern w:val="0"/>
          <w14:ligatures w14:val="none"/>
        </w:rPr>
        <w:t>5. Structural Validation</w:t>
      </w:r>
    </w:p>
    <w:p w14:paraId="6B83354A" w14:textId="497FB476" w:rsidR="004340DA" w:rsidRDefault="004340DA" w:rsidP="004073F1">
      <w:pPr>
        <w:numPr>
          <w:ilvl w:val="0"/>
          <w:numId w:val="4"/>
        </w:numPr>
        <w:spacing w:before="100" w:beforeAutospacing="1" w:after="100" w:afterAutospacing="1" w:line="240" w:lineRule="auto"/>
        <w:rPr>
          <w:rFonts w:ascii="Times New Roman" w:eastAsia="Times New Roman" w:hAnsi="Times New Roman" w:cs="Times New Roman"/>
          <w:color w:val="000000"/>
          <w:kern w:val="0"/>
          <w14:ligatures w14:val="none"/>
        </w:rPr>
      </w:pPr>
      <w:r w:rsidRPr="004340DA">
        <w:rPr>
          <w:rFonts w:ascii="Times New Roman" w:eastAsia="Times New Roman" w:hAnsi="Times New Roman" w:cs="Times New Roman"/>
          <w:color w:val="000000"/>
          <w:kern w:val="0"/>
          <w14:ligatures w14:val="none"/>
        </w:rPr>
        <w:t>Structural alignments highlighted moderate alignment between Or56a and 8V02 (RMSD: 5.32 Å), while alignment with 6C70 showed considerable divergence (RMSD: 11.43 Å), supporting the predicted pocket location.</w:t>
      </w:r>
    </w:p>
    <w:p w14:paraId="13BFCBEF" w14:textId="77777777" w:rsidR="001231FE" w:rsidRDefault="001231FE" w:rsidP="001231FE">
      <w:pPr>
        <w:spacing w:before="100" w:beforeAutospacing="1" w:after="100" w:afterAutospacing="1" w:line="240" w:lineRule="auto"/>
        <w:rPr>
          <w:rFonts w:ascii="Times New Roman" w:eastAsia="Times New Roman" w:hAnsi="Times New Roman" w:cs="Times New Roman"/>
          <w:color w:val="000000"/>
          <w:kern w:val="0"/>
          <w14:ligatures w14:val="none"/>
        </w:rPr>
      </w:pPr>
    </w:p>
    <w:p w14:paraId="40E7DA13" w14:textId="77777777" w:rsidR="001231FE" w:rsidRDefault="001231FE" w:rsidP="001231FE">
      <w:pPr>
        <w:spacing w:before="100" w:beforeAutospacing="1" w:after="100" w:afterAutospacing="1" w:line="240" w:lineRule="auto"/>
        <w:rPr>
          <w:rFonts w:ascii="Times New Roman" w:eastAsia="Times New Roman" w:hAnsi="Times New Roman" w:cs="Times New Roman"/>
          <w:color w:val="000000"/>
          <w:kern w:val="0"/>
          <w14:ligatures w14:val="none"/>
        </w:rPr>
      </w:pPr>
    </w:p>
    <w:p w14:paraId="09D83AA2" w14:textId="77777777" w:rsidR="001231FE" w:rsidRDefault="001231FE" w:rsidP="001231FE">
      <w:pPr>
        <w:spacing w:before="100" w:beforeAutospacing="1" w:after="100" w:afterAutospacing="1" w:line="240" w:lineRule="auto"/>
        <w:rPr>
          <w:rFonts w:ascii="Times New Roman" w:eastAsia="Times New Roman" w:hAnsi="Times New Roman" w:cs="Times New Roman"/>
          <w:color w:val="000000"/>
          <w:kern w:val="0"/>
          <w14:ligatures w14:val="none"/>
        </w:rPr>
      </w:pPr>
    </w:p>
    <w:p w14:paraId="19557784" w14:textId="06019DFD" w:rsidR="001231FE" w:rsidRDefault="0025749B" w:rsidP="001231FE">
      <w:pPr>
        <w:spacing w:before="100" w:beforeAutospacing="1" w:after="100" w:afterAutospacing="1" w:line="240" w:lineRule="auto"/>
        <w:rPr>
          <w:rFonts w:ascii="Times New Roman" w:eastAsia="Times New Roman" w:hAnsi="Times New Roman" w:cs="Times New Roman"/>
          <w:color w:val="000000"/>
          <w:kern w:val="0"/>
          <w14:ligatures w14:val="none"/>
        </w:rPr>
      </w:pPr>
      <w:r w:rsidRPr="00AF36E0">
        <w:rPr>
          <w:rFonts w:ascii="Times New Roman" w:eastAsia="Times New Roman" w:hAnsi="Times New Roman" w:cs="Times New Roman"/>
          <w:b/>
          <w:bCs/>
          <w:noProof/>
          <w:color w:val="000000"/>
          <w:kern w:val="0"/>
          <w:sz w:val="27"/>
          <w:szCs w:val="27"/>
          <w14:ligatures w14:val="none"/>
        </w:rPr>
        <w:drawing>
          <wp:inline distT="0" distB="0" distL="0" distR="0" wp14:anchorId="0716A6FD" wp14:editId="693CAD12">
            <wp:extent cx="5943600" cy="4252595"/>
            <wp:effectExtent l="0" t="0" r="0" b="0"/>
            <wp:docPr id="1939125236" name="Picture 1" descr="A close-up of a colorful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81408" name="Picture 1" descr="A close-up of a colorful structure&#10;&#10;AI-generated content may be incorrect."/>
                    <pic:cNvPicPr/>
                  </pic:nvPicPr>
                  <pic:blipFill>
                    <a:blip r:embed="rId5"/>
                    <a:stretch>
                      <a:fillRect/>
                    </a:stretch>
                  </pic:blipFill>
                  <pic:spPr>
                    <a:xfrm>
                      <a:off x="0" y="0"/>
                      <a:ext cx="5943600" cy="4252595"/>
                    </a:xfrm>
                    <a:prstGeom prst="rect">
                      <a:avLst/>
                    </a:prstGeom>
                  </pic:spPr>
                </pic:pic>
              </a:graphicData>
            </a:graphic>
          </wp:inline>
        </w:drawing>
      </w:r>
    </w:p>
    <w:p w14:paraId="7995E08C" w14:textId="77777777" w:rsidR="001231FE" w:rsidRPr="003D4A87" w:rsidRDefault="001231FE" w:rsidP="001231FE">
      <w:pPr>
        <w:numPr>
          <w:ilvl w:val="0"/>
          <w:numId w:val="8"/>
        </w:numPr>
        <w:spacing w:before="100" w:beforeAutospacing="1" w:after="100" w:afterAutospacing="1" w:line="240" w:lineRule="auto"/>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 xml:space="preserve">Downloaded experimental OR structures 8V02 (2.9 Å) </w:t>
      </w:r>
      <w:r>
        <w:rPr>
          <w:rFonts w:ascii="Times New Roman" w:eastAsia="Times New Roman" w:hAnsi="Times New Roman" w:cs="Times New Roman"/>
          <w:color w:val="000000"/>
          <w:kern w:val="0"/>
          <w14:ligatures w14:val="none"/>
        </w:rPr>
        <w:t xml:space="preserve">(Magenta) </w:t>
      </w:r>
      <w:r w:rsidRPr="003D4A87">
        <w:rPr>
          <w:rFonts w:ascii="Times New Roman" w:eastAsia="Times New Roman" w:hAnsi="Times New Roman" w:cs="Times New Roman"/>
          <w:color w:val="000000"/>
          <w:kern w:val="0"/>
          <w14:ligatures w14:val="none"/>
        </w:rPr>
        <w:t>and 6C70 (3.5 Å)</w:t>
      </w:r>
      <w:r>
        <w:rPr>
          <w:rFonts w:ascii="Times New Roman" w:eastAsia="Times New Roman" w:hAnsi="Times New Roman" w:cs="Times New Roman"/>
          <w:color w:val="000000"/>
          <w:kern w:val="0"/>
          <w14:ligatures w14:val="none"/>
        </w:rPr>
        <w:t xml:space="preserve"> (Yellow)</w:t>
      </w:r>
    </w:p>
    <w:p w14:paraId="05D45479" w14:textId="77777777" w:rsidR="001231FE" w:rsidRPr="003D4A87" w:rsidRDefault="001231FE" w:rsidP="001231FE">
      <w:pPr>
        <w:numPr>
          <w:ilvl w:val="0"/>
          <w:numId w:val="8"/>
        </w:numPr>
        <w:spacing w:before="100" w:beforeAutospacing="1" w:after="100" w:afterAutospacing="1" w:line="240" w:lineRule="auto"/>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Aligned Or56a</w:t>
      </w:r>
      <w:r>
        <w:rPr>
          <w:rFonts w:ascii="Times New Roman" w:eastAsia="Times New Roman" w:hAnsi="Times New Roman" w:cs="Times New Roman"/>
          <w:color w:val="000000"/>
          <w:kern w:val="0"/>
          <w14:ligatures w14:val="none"/>
        </w:rPr>
        <w:t>(Green)</w:t>
      </w:r>
      <w:r w:rsidRPr="003D4A87">
        <w:rPr>
          <w:rFonts w:ascii="Times New Roman" w:eastAsia="Times New Roman" w:hAnsi="Times New Roman" w:cs="Times New Roman"/>
          <w:color w:val="000000"/>
          <w:kern w:val="0"/>
          <w14:ligatures w14:val="none"/>
        </w:rPr>
        <w:t xml:space="preserve"> to both using </w:t>
      </w:r>
      <w:proofErr w:type="spellStart"/>
      <w:r w:rsidRPr="003D4A87">
        <w:rPr>
          <w:rFonts w:ascii="Times New Roman" w:eastAsia="Times New Roman" w:hAnsi="Times New Roman" w:cs="Times New Roman"/>
          <w:color w:val="000000"/>
          <w:kern w:val="0"/>
          <w14:ligatures w14:val="none"/>
        </w:rPr>
        <w:t>PyMOL</w:t>
      </w:r>
      <w:proofErr w:type="spellEnd"/>
    </w:p>
    <w:p w14:paraId="3DB951F1" w14:textId="77777777" w:rsidR="001231FE" w:rsidRPr="003D4A87" w:rsidRDefault="001231FE" w:rsidP="001231FE">
      <w:pPr>
        <w:numPr>
          <w:ilvl w:val="0"/>
          <w:numId w:val="8"/>
        </w:numPr>
        <w:spacing w:before="100" w:beforeAutospacing="1" w:after="100" w:afterAutospacing="1" w:line="240" w:lineRule="auto"/>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Measured RMSD values:</w:t>
      </w:r>
    </w:p>
    <w:p w14:paraId="098955EF" w14:textId="77777777" w:rsidR="001231FE" w:rsidRPr="003D4A87" w:rsidRDefault="001231FE" w:rsidP="001231FE">
      <w:pPr>
        <w:numPr>
          <w:ilvl w:val="1"/>
          <w:numId w:val="8"/>
        </w:numPr>
        <w:spacing w:before="100" w:beforeAutospacing="1" w:after="100" w:afterAutospacing="1" w:line="240" w:lineRule="auto"/>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Or56a – 8V02: 5.32 Å</w:t>
      </w:r>
    </w:p>
    <w:p w14:paraId="74B25AF5" w14:textId="77777777" w:rsidR="001231FE" w:rsidRPr="003D4A87" w:rsidRDefault="001231FE" w:rsidP="001231FE">
      <w:pPr>
        <w:numPr>
          <w:ilvl w:val="1"/>
          <w:numId w:val="8"/>
        </w:numPr>
        <w:spacing w:before="100" w:beforeAutospacing="1" w:after="100" w:afterAutospacing="1" w:line="240" w:lineRule="auto"/>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Or56a – 6C70: 11.43 Å</w:t>
      </w:r>
    </w:p>
    <w:p w14:paraId="79585E7D" w14:textId="77777777" w:rsidR="001231FE" w:rsidRPr="003D4A87" w:rsidRDefault="001231FE" w:rsidP="001231FE">
      <w:pPr>
        <w:numPr>
          <w:ilvl w:val="1"/>
          <w:numId w:val="8"/>
        </w:numPr>
        <w:spacing w:before="100" w:beforeAutospacing="1" w:after="100" w:afterAutospacing="1" w:line="240" w:lineRule="auto"/>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8V02 – 6C70: 0.7</w:t>
      </w:r>
      <w:r>
        <w:rPr>
          <w:rFonts w:ascii="Times New Roman" w:eastAsia="Times New Roman" w:hAnsi="Times New Roman" w:cs="Times New Roman"/>
          <w:color w:val="000000"/>
          <w:kern w:val="0"/>
          <w14:ligatures w14:val="none"/>
        </w:rPr>
        <w:t>9</w:t>
      </w:r>
      <w:r w:rsidRPr="003D4A87">
        <w:rPr>
          <w:rFonts w:ascii="Times New Roman" w:eastAsia="Times New Roman" w:hAnsi="Times New Roman" w:cs="Times New Roman"/>
          <w:color w:val="000000"/>
          <w:kern w:val="0"/>
          <w14:ligatures w14:val="none"/>
        </w:rPr>
        <w:t xml:space="preserve"> Å</w:t>
      </w:r>
    </w:p>
    <w:p w14:paraId="2D2BAA6A" w14:textId="6C279AF3" w:rsidR="004073F1" w:rsidRPr="004340DA" w:rsidRDefault="001231FE" w:rsidP="004073F1">
      <w:pPr>
        <w:numPr>
          <w:ilvl w:val="0"/>
          <w:numId w:val="8"/>
        </w:numPr>
        <w:spacing w:before="100" w:beforeAutospacing="1" w:after="100" w:afterAutospacing="1" w:line="240" w:lineRule="auto"/>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Overlayed all three structures to visualize fold similarity and pocket conservation</w:t>
      </w:r>
    </w:p>
    <w:p w14:paraId="23A03C5D" w14:textId="77777777" w:rsidR="004340DA" w:rsidRPr="004340DA" w:rsidRDefault="004340DA" w:rsidP="004340DA">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4340DA">
        <w:rPr>
          <w:rFonts w:ascii="Times New Roman" w:eastAsia="Times New Roman" w:hAnsi="Times New Roman" w:cs="Times New Roman"/>
          <w:b/>
          <w:bCs/>
          <w:color w:val="000000"/>
          <w:kern w:val="0"/>
          <w:sz w:val="27"/>
          <w:szCs w:val="27"/>
          <w14:ligatures w14:val="none"/>
        </w:rPr>
        <w:t>Results and Mechanistic Interpretation</w:t>
      </w:r>
    </w:p>
    <w:p w14:paraId="55388597" w14:textId="77777777" w:rsidR="004340DA" w:rsidRPr="004340DA" w:rsidRDefault="004340DA" w:rsidP="004340DA">
      <w:p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sidRPr="004340DA">
        <w:rPr>
          <w:rFonts w:ascii="Times New Roman" w:eastAsia="Times New Roman" w:hAnsi="Times New Roman" w:cs="Times New Roman"/>
          <w:b/>
          <w:bCs/>
          <w:color w:val="000000"/>
          <w:kern w:val="0"/>
          <w14:ligatures w14:val="none"/>
        </w:rPr>
        <w:t>Binding Pocket Analysis</w:t>
      </w:r>
    </w:p>
    <w:p w14:paraId="7469C878" w14:textId="77777777" w:rsidR="004340DA" w:rsidRPr="004340DA" w:rsidRDefault="004340DA" w:rsidP="004340DA">
      <w:pPr>
        <w:numPr>
          <w:ilvl w:val="0"/>
          <w:numId w:val="5"/>
        </w:numPr>
        <w:spacing w:before="100" w:beforeAutospacing="1" w:after="100" w:afterAutospacing="1" w:line="240" w:lineRule="auto"/>
        <w:rPr>
          <w:rFonts w:ascii="Times New Roman" w:eastAsia="Times New Roman" w:hAnsi="Times New Roman" w:cs="Times New Roman"/>
          <w:color w:val="000000"/>
          <w:kern w:val="0"/>
          <w14:ligatures w14:val="none"/>
        </w:rPr>
      </w:pPr>
      <w:r w:rsidRPr="004340DA">
        <w:rPr>
          <w:rFonts w:ascii="Times New Roman" w:eastAsia="Times New Roman" w:hAnsi="Times New Roman" w:cs="Times New Roman"/>
          <w:b/>
          <w:bCs/>
          <w:color w:val="000000"/>
          <w:kern w:val="0"/>
          <w14:ligatures w14:val="none"/>
        </w:rPr>
        <w:t xml:space="preserve">Pocket 2 (ranked 2nd by </w:t>
      </w:r>
      <w:proofErr w:type="spellStart"/>
      <w:r w:rsidRPr="004340DA">
        <w:rPr>
          <w:rFonts w:ascii="Times New Roman" w:eastAsia="Times New Roman" w:hAnsi="Times New Roman" w:cs="Times New Roman"/>
          <w:b/>
          <w:bCs/>
          <w:color w:val="000000"/>
          <w:kern w:val="0"/>
          <w14:ligatures w14:val="none"/>
        </w:rPr>
        <w:t>fpocket</w:t>
      </w:r>
      <w:proofErr w:type="spellEnd"/>
      <w:r w:rsidRPr="004340DA">
        <w:rPr>
          <w:rFonts w:ascii="Times New Roman" w:eastAsia="Times New Roman" w:hAnsi="Times New Roman" w:cs="Times New Roman"/>
          <w:b/>
          <w:bCs/>
          <w:color w:val="000000"/>
          <w:kern w:val="0"/>
          <w14:ligatures w14:val="none"/>
        </w:rPr>
        <w:t>):</w:t>
      </w:r>
      <w:r w:rsidRPr="004340DA">
        <w:rPr>
          <w:rFonts w:ascii="Times New Roman" w:eastAsia="Times New Roman" w:hAnsi="Times New Roman" w:cs="Times New Roman"/>
          <w:color w:val="000000"/>
          <w:kern w:val="0"/>
          <w14:ligatures w14:val="none"/>
        </w:rPr>
        <w:t xml:space="preserve"> Exhibited highest hydrophobicity and lowest polar SASA, correlating with geosmin’s strong binding affinity, thus likely representing the </w:t>
      </w:r>
      <w:proofErr w:type="spellStart"/>
      <w:r w:rsidRPr="004340DA">
        <w:rPr>
          <w:rFonts w:ascii="Times New Roman" w:eastAsia="Times New Roman" w:hAnsi="Times New Roman" w:cs="Times New Roman"/>
          <w:color w:val="000000"/>
          <w:kern w:val="0"/>
          <w14:ligatures w14:val="none"/>
        </w:rPr>
        <w:t>orthosteric</w:t>
      </w:r>
      <w:proofErr w:type="spellEnd"/>
      <w:r w:rsidRPr="004340DA">
        <w:rPr>
          <w:rFonts w:ascii="Times New Roman" w:eastAsia="Times New Roman" w:hAnsi="Times New Roman" w:cs="Times New Roman"/>
          <w:color w:val="000000"/>
          <w:kern w:val="0"/>
          <w14:ligatures w14:val="none"/>
        </w:rPr>
        <w:t xml:space="preserve"> activation site.</w:t>
      </w:r>
    </w:p>
    <w:p w14:paraId="193CA2E6" w14:textId="77777777" w:rsidR="004340DA" w:rsidRPr="004340DA" w:rsidRDefault="004340DA" w:rsidP="004340DA">
      <w:pPr>
        <w:numPr>
          <w:ilvl w:val="0"/>
          <w:numId w:val="5"/>
        </w:numPr>
        <w:spacing w:before="100" w:beforeAutospacing="1" w:after="100" w:afterAutospacing="1" w:line="240" w:lineRule="auto"/>
        <w:rPr>
          <w:rFonts w:ascii="Times New Roman" w:eastAsia="Times New Roman" w:hAnsi="Times New Roman" w:cs="Times New Roman"/>
          <w:color w:val="000000"/>
          <w:kern w:val="0"/>
          <w14:ligatures w14:val="none"/>
        </w:rPr>
      </w:pPr>
      <w:r w:rsidRPr="004340DA">
        <w:rPr>
          <w:rFonts w:ascii="Times New Roman" w:eastAsia="Times New Roman" w:hAnsi="Times New Roman" w:cs="Times New Roman"/>
          <w:b/>
          <w:bCs/>
          <w:color w:val="000000"/>
          <w:kern w:val="0"/>
          <w14:ligatures w14:val="none"/>
        </w:rPr>
        <w:t xml:space="preserve">Pocket 1 (ranked 1st by </w:t>
      </w:r>
      <w:proofErr w:type="spellStart"/>
      <w:r w:rsidRPr="004340DA">
        <w:rPr>
          <w:rFonts w:ascii="Times New Roman" w:eastAsia="Times New Roman" w:hAnsi="Times New Roman" w:cs="Times New Roman"/>
          <w:b/>
          <w:bCs/>
          <w:color w:val="000000"/>
          <w:kern w:val="0"/>
          <w14:ligatures w14:val="none"/>
        </w:rPr>
        <w:t>fpocket</w:t>
      </w:r>
      <w:proofErr w:type="spellEnd"/>
      <w:r w:rsidRPr="004340DA">
        <w:rPr>
          <w:rFonts w:ascii="Times New Roman" w:eastAsia="Times New Roman" w:hAnsi="Times New Roman" w:cs="Times New Roman"/>
          <w:b/>
          <w:bCs/>
          <w:color w:val="000000"/>
          <w:kern w:val="0"/>
          <w14:ligatures w14:val="none"/>
        </w:rPr>
        <w:t>):</w:t>
      </w:r>
      <w:r w:rsidRPr="004340DA">
        <w:rPr>
          <w:rFonts w:ascii="Times New Roman" w:eastAsia="Times New Roman" w:hAnsi="Times New Roman" w:cs="Times New Roman"/>
          <w:color w:val="000000"/>
          <w:kern w:val="0"/>
          <w14:ligatures w14:val="none"/>
        </w:rPr>
        <w:t> Moderate hydrophobicity and depth made it favorable for binding antagonistic ligands like linalool, suggesting potential for noncompetitive antagonism through conformational modulation.</w:t>
      </w:r>
    </w:p>
    <w:p w14:paraId="46421C68" w14:textId="77777777" w:rsidR="004340DA" w:rsidRPr="004340DA" w:rsidRDefault="004340DA" w:rsidP="004340DA">
      <w:p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sidRPr="004340DA">
        <w:rPr>
          <w:rFonts w:ascii="Times New Roman" w:eastAsia="Times New Roman" w:hAnsi="Times New Roman" w:cs="Times New Roman"/>
          <w:b/>
          <w:bCs/>
          <w:color w:val="000000"/>
          <w:kern w:val="0"/>
          <w14:ligatures w14:val="none"/>
        </w:rPr>
        <w:lastRenderedPageBreak/>
        <w:t>Docking Interpretation</w:t>
      </w:r>
    </w:p>
    <w:p w14:paraId="7148AD3A" w14:textId="77777777" w:rsidR="004340DA" w:rsidRPr="004340DA" w:rsidRDefault="004340DA" w:rsidP="004340DA">
      <w:pPr>
        <w:numPr>
          <w:ilvl w:val="0"/>
          <w:numId w:val="6"/>
        </w:numPr>
        <w:spacing w:before="100" w:beforeAutospacing="1" w:after="100" w:afterAutospacing="1" w:line="240" w:lineRule="auto"/>
        <w:rPr>
          <w:rFonts w:ascii="Times New Roman" w:eastAsia="Times New Roman" w:hAnsi="Times New Roman" w:cs="Times New Roman"/>
          <w:color w:val="000000"/>
          <w:kern w:val="0"/>
          <w14:ligatures w14:val="none"/>
        </w:rPr>
      </w:pPr>
      <w:r w:rsidRPr="004340DA">
        <w:rPr>
          <w:rFonts w:ascii="Times New Roman" w:eastAsia="Times New Roman" w:hAnsi="Times New Roman" w:cs="Times New Roman"/>
          <w:color w:val="000000"/>
          <w:kern w:val="0"/>
          <w14:ligatures w14:val="none"/>
        </w:rPr>
        <w:t xml:space="preserve">Geosmin’s significant preference for Pocket 2 reinforces this site as the </w:t>
      </w:r>
      <w:proofErr w:type="spellStart"/>
      <w:r w:rsidRPr="004340DA">
        <w:rPr>
          <w:rFonts w:ascii="Times New Roman" w:eastAsia="Times New Roman" w:hAnsi="Times New Roman" w:cs="Times New Roman"/>
          <w:color w:val="000000"/>
          <w:kern w:val="0"/>
          <w14:ligatures w14:val="none"/>
        </w:rPr>
        <w:t>orthosteric</w:t>
      </w:r>
      <w:proofErr w:type="spellEnd"/>
      <w:r w:rsidRPr="004340DA">
        <w:rPr>
          <w:rFonts w:ascii="Times New Roman" w:eastAsia="Times New Roman" w:hAnsi="Times New Roman" w:cs="Times New Roman"/>
          <w:color w:val="000000"/>
          <w:kern w:val="0"/>
          <w14:ligatures w14:val="none"/>
        </w:rPr>
        <w:t xml:space="preserve"> activation locus.</w:t>
      </w:r>
    </w:p>
    <w:p w14:paraId="53FF5418" w14:textId="3341EA36" w:rsidR="004340DA" w:rsidRDefault="004340DA" w:rsidP="004073F1">
      <w:pPr>
        <w:numPr>
          <w:ilvl w:val="0"/>
          <w:numId w:val="6"/>
        </w:numPr>
        <w:spacing w:before="100" w:beforeAutospacing="1" w:after="100" w:afterAutospacing="1" w:line="240" w:lineRule="auto"/>
        <w:rPr>
          <w:rFonts w:ascii="Times New Roman" w:eastAsia="Times New Roman" w:hAnsi="Times New Roman" w:cs="Times New Roman"/>
          <w:color w:val="000000"/>
          <w:kern w:val="0"/>
          <w14:ligatures w14:val="none"/>
        </w:rPr>
      </w:pPr>
      <w:r w:rsidRPr="004340DA">
        <w:rPr>
          <w:rFonts w:ascii="Times New Roman" w:eastAsia="Times New Roman" w:hAnsi="Times New Roman" w:cs="Times New Roman"/>
          <w:color w:val="000000"/>
          <w:kern w:val="0"/>
          <w14:ligatures w14:val="none"/>
        </w:rPr>
        <w:t>Linalool’s higher relative affinity for Pocket 1 supports its role as a noncompetitive antagonist, potentially stabilizing inactive receptor conformations.</w:t>
      </w:r>
    </w:p>
    <w:p w14:paraId="73A0A116" w14:textId="77777777" w:rsidR="001231FE" w:rsidRPr="001231FE" w:rsidRDefault="001231FE" w:rsidP="001231FE">
      <w:pPr>
        <w:spacing w:before="100" w:beforeAutospacing="1" w:after="100" w:afterAutospacing="1" w:line="240" w:lineRule="auto"/>
        <w:outlineLvl w:val="2"/>
        <w:rPr>
          <w:rFonts w:ascii="Times New Roman" w:eastAsia="Times New Roman" w:hAnsi="Times New Roman" w:cs="Times New Roman"/>
          <w:b/>
          <w:bCs/>
          <w:color w:val="000000"/>
          <w:kern w:val="0"/>
          <w:sz w:val="28"/>
          <w:szCs w:val="28"/>
          <w14:ligatures w14:val="none"/>
        </w:rPr>
      </w:pPr>
      <w:r w:rsidRPr="001231FE">
        <w:rPr>
          <w:rFonts w:ascii="Times New Roman" w:eastAsia="Times New Roman" w:hAnsi="Times New Roman" w:cs="Times New Roman"/>
          <w:b/>
          <w:bCs/>
          <w:color w:val="000000"/>
          <w:kern w:val="0"/>
          <w:sz w:val="28"/>
          <w:szCs w:val="28"/>
          <w14:ligatures w14:val="none"/>
        </w:rPr>
        <w:t>Structural Validation Using 8V02 and 6C70</w:t>
      </w:r>
    </w:p>
    <w:p w14:paraId="7450C239" w14:textId="7ED32CAF" w:rsidR="001231FE" w:rsidRDefault="001231FE" w:rsidP="001231FE">
      <w:pPr>
        <w:pStyle w:val="p1"/>
      </w:pPr>
      <w:r>
        <w:t>Despite only moderate structural similarity between Or56a and 8V02 (RMSD = 5.32 Å), the close alignment between 8V02 and 6C70 (RMSD = 0.788 Å) indicates that insect olfactory receptors—at least their transmembrane domains—follow a conserved structural framework. This is particularly noteworthy considering that both 8V02 and 6C70 come from different insect species (</w:t>
      </w:r>
      <w:proofErr w:type="spellStart"/>
      <w:r>
        <w:rPr>
          <w:i/>
          <w:iCs/>
        </w:rPr>
        <w:t>Apocrypta</w:t>
      </w:r>
      <w:proofErr w:type="spellEnd"/>
      <w:r>
        <w:rPr>
          <w:i/>
          <w:iCs/>
        </w:rPr>
        <w:t xml:space="preserve"> </w:t>
      </w:r>
      <w:proofErr w:type="spellStart"/>
      <w:r>
        <w:rPr>
          <w:i/>
          <w:iCs/>
        </w:rPr>
        <w:t>bakeri</w:t>
      </w:r>
      <w:proofErr w:type="spellEnd"/>
      <w:r>
        <w:t xml:space="preserve">), whereas Or56a is from </w:t>
      </w:r>
      <w:r>
        <w:rPr>
          <w:i/>
          <w:iCs/>
        </w:rPr>
        <w:t>Drosophila melanogaster</w:t>
      </w:r>
      <w:r>
        <w:t>. Given these species-level differences, some structural divergence is expected. The higher RMSD between Or56a and 6C70 (11.43 Å) likely reflects a combination of genetic distance and receptor subtype differences</w:t>
      </w:r>
      <w:r>
        <w:t>.</w:t>
      </w:r>
    </w:p>
    <w:p w14:paraId="5485F760" w14:textId="77777777" w:rsidR="001231FE" w:rsidRDefault="001231FE" w:rsidP="001231FE">
      <w:pPr>
        <w:pStyle w:val="p2"/>
      </w:pPr>
      <w:r>
        <w:t>Among the two experimental structures, 8V02 stands out not just for its structural proximity to Or56a but also for its higher resolution (2.9 Å vs 3.5 Å for 6C70), making it a more suitable benchmark for binding site assessment. By overlaying Or56a with 8V02 and visualizing the predicted pocket location, we observed that the docking poses for geosmin and linalool fall within a transmembrane region that is spatially consistent with known odorant-binding cavities. This overlap reinforces the plausibility of the docking predictions and supports the idea that even in the absence of an experimentally solved Or56a structure, AlphaFold-based models can provide structurally reasonable starting points—especially when interpreted in the context of conserved fold families.</w:t>
      </w:r>
    </w:p>
    <w:p w14:paraId="4F3D59AD" w14:textId="2D67BBC3" w:rsidR="001231FE" w:rsidRPr="001231FE" w:rsidRDefault="001231FE" w:rsidP="001231FE">
      <w:pPr>
        <w:pStyle w:val="p1"/>
      </w:pPr>
      <w:r>
        <w:t>These structural comparisons allowed me to place my docking results into a broader biological framework. While some caution is warranted due to species and model limitations, the high conservation between 8V02 and 6C70 provides strong indirect support for using this framework to interpret the behavior of Or56a. It also highlights how reference-based validation can be a practical tool for increasing confidence in predicted pocket locations and guiding mechanistic hypotheses when experimental structures are unavailable.</w:t>
      </w:r>
    </w:p>
    <w:p w14:paraId="0549FD3B" w14:textId="77777777" w:rsidR="004340DA" w:rsidRPr="004340DA" w:rsidRDefault="004340DA" w:rsidP="004340DA">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4340DA">
        <w:rPr>
          <w:rFonts w:ascii="Times New Roman" w:eastAsia="Times New Roman" w:hAnsi="Times New Roman" w:cs="Times New Roman"/>
          <w:b/>
          <w:bCs/>
          <w:color w:val="000000"/>
          <w:kern w:val="0"/>
          <w:sz w:val="27"/>
          <w:szCs w:val="27"/>
          <w14:ligatures w14:val="none"/>
        </w:rPr>
        <w:t>Biological Realism and Future Directions</w:t>
      </w:r>
    </w:p>
    <w:p w14:paraId="2E1A866C" w14:textId="0B9E05B5" w:rsidR="004340DA" w:rsidRPr="004340DA" w:rsidRDefault="004340DA" w:rsidP="004073F1">
      <w:pPr>
        <w:spacing w:before="100" w:beforeAutospacing="1" w:after="100" w:afterAutospacing="1" w:line="240" w:lineRule="auto"/>
        <w:rPr>
          <w:rFonts w:ascii="Times New Roman" w:eastAsia="Times New Roman" w:hAnsi="Times New Roman" w:cs="Times New Roman"/>
          <w:color w:val="000000"/>
          <w:kern w:val="0"/>
          <w14:ligatures w14:val="none"/>
        </w:rPr>
      </w:pPr>
      <w:r w:rsidRPr="004340DA">
        <w:rPr>
          <w:rFonts w:ascii="Times New Roman" w:eastAsia="Times New Roman" w:hAnsi="Times New Roman" w:cs="Times New Roman"/>
          <w:color w:val="000000"/>
          <w:kern w:val="0"/>
          <w14:ligatures w14:val="none"/>
        </w:rPr>
        <w:t>In real biological systems, explicit solvent molecules, especially water, influence receptor-ligand interactions significantly. Future computational modeling should include molecular dynamics (MD) simulations and quantum chemical refinements to incorporate these critical effects.</w:t>
      </w:r>
    </w:p>
    <w:p w14:paraId="4AA3A671" w14:textId="77777777" w:rsidR="004340DA" w:rsidRPr="004340DA" w:rsidRDefault="004340DA" w:rsidP="004340DA">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4340DA">
        <w:rPr>
          <w:rFonts w:ascii="Times New Roman" w:eastAsia="Times New Roman" w:hAnsi="Times New Roman" w:cs="Times New Roman"/>
          <w:b/>
          <w:bCs/>
          <w:color w:val="000000"/>
          <w:kern w:val="0"/>
          <w:sz w:val="27"/>
          <w:szCs w:val="27"/>
          <w14:ligatures w14:val="none"/>
        </w:rPr>
        <w:t>Scalability and Integration into High-Throughput Screening Pipelines</w:t>
      </w:r>
    </w:p>
    <w:p w14:paraId="51CCBD2B" w14:textId="77777777" w:rsidR="002F09F9" w:rsidRPr="00DC1932" w:rsidRDefault="002F09F9" w:rsidP="002F09F9">
      <w:pPr>
        <w:spacing w:before="100" w:beforeAutospacing="1" w:after="100" w:afterAutospacing="1" w:line="240" w:lineRule="auto"/>
        <w:rPr>
          <w:rFonts w:ascii="Times New Roman" w:eastAsia="Times New Roman" w:hAnsi="Times New Roman" w:cs="Times New Roman"/>
          <w:color w:val="000000"/>
          <w:kern w:val="0"/>
          <w14:ligatures w14:val="none"/>
        </w:rPr>
      </w:pPr>
      <w:r w:rsidRPr="00DC1932">
        <w:rPr>
          <w:rFonts w:ascii="Times New Roman" w:eastAsia="Times New Roman" w:hAnsi="Times New Roman" w:cs="Times New Roman"/>
          <w:color w:val="000000"/>
          <w:kern w:val="0"/>
          <w14:ligatures w14:val="none"/>
        </w:rPr>
        <w:t xml:space="preserve">This project underscored how valuable it is to look beyond single docking scores and instead capture the full landscape of ligand poses and binding site environments. In a realistic drug or odorant discovery pipeline, pose diversity and binding topology are often more informative than </w:t>
      </w:r>
      <w:r w:rsidRPr="00DC1932">
        <w:rPr>
          <w:rFonts w:ascii="Times New Roman" w:eastAsia="Times New Roman" w:hAnsi="Times New Roman" w:cs="Times New Roman"/>
          <w:color w:val="000000"/>
          <w:kern w:val="0"/>
          <w14:ligatures w14:val="none"/>
        </w:rPr>
        <w:lastRenderedPageBreak/>
        <w:t>just choosing the “</w:t>
      </w:r>
      <w:proofErr w:type="gramStart"/>
      <w:r w:rsidRPr="00DC1932">
        <w:rPr>
          <w:rFonts w:ascii="Times New Roman" w:eastAsia="Times New Roman" w:hAnsi="Times New Roman" w:cs="Times New Roman"/>
          <w:color w:val="000000"/>
          <w:kern w:val="0"/>
          <w14:ligatures w14:val="none"/>
        </w:rPr>
        <w:t>top-scoring</w:t>
      </w:r>
      <w:proofErr w:type="gramEnd"/>
      <w:r w:rsidRPr="00DC1932">
        <w:rPr>
          <w:rFonts w:ascii="Times New Roman" w:eastAsia="Times New Roman" w:hAnsi="Times New Roman" w:cs="Times New Roman"/>
          <w:color w:val="000000"/>
          <w:kern w:val="0"/>
          <w14:ligatures w14:val="none"/>
        </w:rPr>
        <w:t xml:space="preserve">” pose. The fact that geosmin and linalool exhibit multiple plausible binding modes — including ones that likely reflect </w:t>
      </w:r>
      <w:proofErr w:type="spellStart"/>
      <w:r w:rsidRPr="00DC1932">
        <w:rPr>
          <w:rFonts w:ascii="Times New Roman" w:eastAsia="Times New Roman" w:hAnsi="Times New Roman" w:cs="Times New Roman"/>
          <w:color w:val="000000"/>
          <w:kern w:val="0"/>
          <w14:ligatures w14:val="none"/>
        </w:rPr>
        <w:t>orthosteric</w:t>
      </w:r>
      <w:proofErr w:type="spellEnd"/>
      <w:r w:rsidRPr="00DC1932">
        <w:rPr>
          <w:rFonts w:ascii="Times New Roman" w:eastAsia="Times New Roman" w:hAnsi="Times New Roman" w:cs="Times New Roman"/>
          <w:color w:val="000000"/>
          <w:kern w:val="0"/>
          <w14:ligatures w14:val="none"/>
        </w:rPr>
        <w:t xml:space="preserve"> and allosteric interactions — suggests that a scalable pipeline must be designed to preserve and interpret this complexity.</w:t>
      </w:r>
    </w:p>
    <w:p w14:paraId="3681FAD4" w14:textId="77777777" w:rsidR="002F09F9" w:rsidRPr="00DC1932" w:rsidRDefault="002F09F9" w:rsidP="002F09F9">
      <w:pPr>
        <w:spacing w:before="100" w:beforeAutospacing="1" w:after="100" w:afterAutospacing="1" w:line="240" w:lineRule="auto"/>
        <w:rPr>
          <w:rFonts w:ascii="Times New Roman" w:eastAsia="Times New Roman" w:hAnsi="Times New Roman" w:cs="Times New Roman"/>
          <w:color w:val="000000"/>
          <w:kern w:val="0"/>
          <w14:ligatures w14:val="none"/>
        </w:rPr>
      </w:pPr>
      <w:r w:rsidRPr="00DC1932">
        <w:rPr>
          <w:rFonts w:ascii="Times New Roman" w:eastAsia="Times New Roman" w:hAnsi="Times New Roman" w:cs="Times New Roman"/>
          <w:color w:val="000000"/>
          <w:kern w:val="0"/>
          <w14:ligatures w14:val="none"/>
        </w:rPr>
        <w:t xml:space="preserve">In a real-world setting, I would envision a tiered workflow that starts with </w:t>
      </w:r>
      <w:proofErr w:type="gramStart"/>
      <w:r w:rsidRPr="00DC1932">
        <w:rPr>
          <w:rFonts w:ascii="Times New Roman" w:eastAsia="Times New Roman" w:hAnsi="Times New Roman" w:cs="Times New Roman"/>
          <w:color w:val="000000"/>
          <w:kern w:val="0"/>
          <w14:ligatures w14:val="none"/>
        </w:rPr>
        <w:t>high-throughput</w:t>
      </w:r>
      <w:proofErr w:type="gramEnd"/>
      <w:r w:rsidRPr="00DC1932">
        <w:rPr>
          <w:rFonts w:ascii="Times New Roman" w:eastAsia="Times New Roman" w:hAnsi="Times New Roman" w:cs="Times New Roman"/>
          <w:color w:val="000000"/>
          <w:kern w:val="0"/>
          <w14:ligatures w14:val="none"/>
        </w:rPr>
        <w:t xml:space="preserve"> docking and pose clustering to prioritize ligands not just by affinity, but by the diversity and consistency of their binding modes. These top candidates could then be analyzed for key residue contacts and binding-site overlap, followed by molecular dynamics (MD) simulations to understand conformational flexibility, receptor gating effects, and pose stability.</w:t>
      </w:r>
    </w:p>
    <w:p w14:paraId="3380798C" w14:textId="77777777" w:rsidR="002F09F9" w:rsidRPr="00DC1932" w:rsidRDefault="002F09F9" w:rsidP="002F09F9">
      <w:pPr>
        <w:spacing w:before="100" w:beforeAutospacing="1" w:after="100" w:afterAutospacing="1" w:line="240" w:lineRule="auto"/>
        <w:rPr>
          <w:rFonts w:ascii="Times New Roman" w:eastAsia="Times New Roman" w:hAnsi="Times New Roman" w:cs="Times New Roman"/>
          <w:color w:val="000000"/>
          <w:kern w:val="0"/>
          <w14:ligatures w14:val="none"/>
        </w:rPr>
      </w:pPr>
      <w:r w:rsidRPr="00DC1932">
        <w:rPr>
          <w:rFonts w:ascii="Times New Roman" w:eastAsia="Times New Roman" w:hAnsi="Times New Roman" w:cs="Times New Roman"/>
          <w:color w:val="000000"/>
          <w:kern w:val="0"/>
          <w14:ligatures w14:val="none"/>
        </w:rPr>
        <w:t>Finally, to bridge accuracy with scale, machine learning models could be trained not just on docking scores but on a combination of pose clustering outcomes, residue-level interaction fingerprints, and energetics from QM or MD-refined subsets. Such models could learn to recognize antagonistic behaviors based on structural and energetic patterns rather than simplistic thresholds.</w:t>
      </w:r>
    </w:p>
    <w:p w14:paraId="20EF1EF2" w14:textId="3C2732B5" w:rsidR="004340DA" w:rsidRPr="004340DA" w:rsidRDefault="002F09F9" w:rsidP="002F09F9">
      <w:pPr>
        <w:spacing w:before="100" w:beforeAutospacing="1" w:after="100" w:afterAutospacing="1" w:line="240" w:lineRule="auto"/>
        <w:rPr>
          <w:rFonts w:ascii="Times New Roman" w:eastAsia="Times New Roman" w:hAnsi="Times New Roman" w:cs="Times New Roman"/>
          <w:color w:val="000000"/>
          <w:kern w:val="0"/>
          <w14:ligatures w14:val="none"/>
        </w:rPr>
      </w:pPr>
      <w:r w:rsidRPr="00DC1932">
        <w:rPr>
          <w:rFonts w:ascii="Times New Roman" w:eastAsia="Times New Roman" w:hAnsi="Times New Roman" w:cs="Times New Roman"/>
          <w:color w:val="000000"/>
          <w:kern w:val="0"/>
          <w14:ligatures w14:val="none"/>
        </w:rPr>
        <w:t>From my perspective as a quantum chemist, I believe that even as we aim for scale, it is essential not to lose sight of accuracy and physical interpretability. My own research has focused on combining quantum chemical methods, fragmentation strategies, and machine learning to predict interaction energies in complex systems like water-ion clusters and</w:t>
      </w:r>
      <w:r>
        <w:rPr>
          <w:rFonts w:ascii="Times New Roman" w:eastAsia="Times New Roman" w:hAnsi="Times New Roman" w:cs="Times New Roman"/>
          <w:color w:val="000000"/>
          <w:kern w:val="0"/>
          <w14:ligatures w14:val="none"/>
        </w:rPr>
        <w:t xml:space="preserve"> property prediction in biomolecular systems</w:t>
      </w:r>
      <w:r w:rsidRPr="00DC1932">
        <w:rPr>
          <w:rFonts w:ascii="Times New Roman" w:eastAsia="Times New Roman" w:hAnsi="Times New Roman" w:cs="Times New Roman"/>
          <w:color w:val="000000"/>
          <w:kern w:val="0"/>
          <w14:ligatures w14:val="none"/>
        </w:rPr>
        <w:t>. These same techniques could be extended to odorant-receptor modeling. While QM is computationally expensive, selective application on key complexes and the integration of delta-learning or hybrid ML/QM workflows could provide more reliable predictions. In the long run, I believe that scalable pipelines will need to reflect a thoughtful balance of physics-based accuracy, chemical intuition, and data-driven generalization — and this project gave me an opportunity to prototype exactly that kind of framework.</w:t>
      </w:r>
    </w:p>
    <w:p w14:paraId="1082EF87" w14:textId="77777777" w:rsidR="004340DA" w:rsidRPr="004340DA" w:rsidRDefault="004340DA" w:rsidP="004340DA">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4340DA">
        <w:rPr>
          <w:rFonts w:ascii="Times New Roman" w:eastAsia="Times New Roman" w:hAnsi="Times New Roman" w:cs="Times New Roman"/>
          <w:b/>
          <w:bCs/>
          <w:color w:val="000000"/>
          <w:kern w:val="0"/>
          <w:sz w:val="27"/>
          <w:szCs w:val="27"/>
          <w14:ligatures w14:val="none"/>
        </w:rPr>
        <w:t>Conclusion</w:t>
      </w:r>
    </w:p>
    <w:p w14:paraId="0A2BB7B5" w14:textId="52314E01" w:rsidR="004340DA" w:rsidRPr="005744D7" w:rsidRDefault="004340DA" w:rsidP="004340DA">
      <w:pPr>
        <w:spacing w:before="100" w:beforeAutospacing="1" w:after="100" w:afterAutospacing="1" w:line="240" w:lineRule="auto"/>
        <w:rPr>
          <w:rFonts w:ascii="Times New Roman" w:eastAsia="Times New Roman" w:hAnsi="Times New Roman" w:cs="Times New Roman"/>
          <w:color w:val="000000"/>
          <w:kern w:val="0"/>
          <w14:ligatures w14:val="none"/>
        </w:rPr>
      </w:pPr>
      <w:r w:rsidRPr="004340DA">
        <w:rPr>
          <w:rFonts w:ascii="Times New Roman" w:eastAsia="Times New Roman" w:hAnsi="Times New Roman" w:cs="Times New Roman"/>
          <w:color w:val="000000"/>
          <w:kern w:val="0"/>
          <w14:ligatures w14:val="none"/>
        </w:rPr>
        <w:t xml:space="preserve">This comprehensive computational analysis robustly delineates the plausible mechanism of odorant antagonism in Or56a, highlighting distinct roles for geosmin and linalool across different pockets. Pocket evaluations confirm the </w:t>
      </w:r>
      <w:proofErr w:type="spellStart"/>
      <w:r w:rsidRPr="004340DA">
        <w:rPr>
          <w:rFonts w:ascii="Times New Roman" w:eastAsia="Times New Roman" w:hAnsi="Times New Roman" w:cs="Times New Roman"/>
          <w:color w:val="000000"/>
          <w:kern w:val="0"/>
          <w14:ligatures w14:val="none"/>
        </w:rPr>
        <w:t>orthosteric</w:t>
      </w:r>
      <w:proofErr w:type="spellEnd"/>
      <w:r w:rsidRPr="004340DA">
        <w:rPr>
          <w:rFonts w:ascii="Times New Roman" w:eastAsia="Times New Roman" w:hAnsi="Times New Roman" w:cs="Times New Roman"/>
          <w:color w:val="000000"/>
          <w:kern w:val="0"/>
          <w14:ligatures w14:val="none"/>
        </w:rPr>
        <w:t xml:space="preserve"> function of Pocket 2 and the potential allosteric modulation by Pocket 1, validating the predictive power of computational modeling and structural alignment techniques</w:t>
      </w:r>
      <w:r w:rsidR="002F09F9" w:rsidRPr="005744D7">
        <w:rPr>
          <w:rFonts w:ascii="Times New Roman" w:eastAsia="Times New Roman" w:hAnsi="Times New Roman" w:cs="Times New Roman"/>
          <w:color w:val="000000"/>
          <w:kern w:val="0"/>
          <w14:ligatures w14:val="none"/>
        </w:rPr>
        <w:t>.</w:t>
      </w:r>
    </w:p>
    <w:p w14:paraId="3B6713B8" w14:textId="5F4F7AB9" w:rsidR="00CD6ABC" w:rsidRPr="00CD6ABC" w:rsidRDefault="005744D7" w:rsidP="00CD6ABC">
      <w:pPr>
        <w:spacing w:after="0" w:line="240" w:lineRule="auto"/>
        <w:rPr>
          <w:rFonts w:ascii="Times New Roman" w:eastAsia="Times New Roman" w:hAnsi="Times New Roman" w:cs="Times New Roman"/>
          <w:color w:val="0E0E0E"/>
          <w:kern w:val="0"/>
          <w14:ligatures w14:val="none"/>
        </w:rPr>
      </w:pPr>
      <w:r w:rsidRPr="005744D7">
        <w:rPr>
          <w:rFonts w:ascii="Times New Roman" w:eastAsia="Times New Roman" w:hAnsi="Times New Roman" w:cs="Times New Roman"/>
          <w:color w:val="0E0E0E"/>
          <w:kern w:val="0"/>
          <w14:ligatures w14:val="none"/>
        </w:rPr>
        <w:t xml:space="preserve">My computational docking and pocket analysis strongly suggests that linalool likely inhibits OSN activation through allosteric antagonism. Specifically, linalool preferentially binds to a distinct pocket (Pocket 1), separate from the primary </w:t>
      </w:r>
      <w:proofErr w:type="spellStart"/>
      <w:r w:rsidRPr="005744D7">
        <w:rPr>
          <w:rFonts w:ascii="Times New Roman" w:eastAsia="Times New Roman" w:hAnsi="Times New Roman" w:cs="Times New Roman"/>
          <w:color w:val="0E0E0E"/>
          <w:kern w:val="0"/>
          <w14:ligatures w14:val="none"/>
        </w:rPr>
        <w:t>orthosteric</w:t>
      </w:r>
      <w:proofErr w:type="spellEnd"/>
      <w:r w:rsidRPr="005744D7">
        <w:rPr>
          <w:rFonts w:ascii="Times New Roman" w:eastAsia="Times New Roman" w:hAnsi="Times New Roman" w:cs="Times New Roman"/>
          <w:color w:val="0E0E0E"/>
          <w:kern w:val="0"/>
          <w14:ligatures w14:val="none"/>
        </w:rPr>
        <w:t xml:space="preserve"> site occupied strongly by geosmin (Pocket 2). This binding could stabilize receptor conformations incompatible with channel opening or agonist recognition, thereby preventing neuron activation. Additionally, the possibility of linalool binding weakly at the </w:t>
      </w:r>
      <w:proofErr w:type="spellStart"/>
      <w:r w:rsidRPr="005744D7">
        <w:rPr>
          <w:rFonts w:ascii="Times New Roman" w:eastAsia="Times New Roman" w:hAnsi="Times New Roman" w:cs="Times New Roman"/>
          <w:color w:val="0E0E0E"/>
          <w:kern w:val="0"/>
          <w14:ligatures w14:val="none"/>
        </w:rPr>
        <w:t>orthosteric</w:t>
      </w:r>
      <w:proofErr w:type="spellEnd"/>
      <w:r w:rsidRPr="005744D7">
        <w:rPr>
          <w:rFonts w:ascii="Times New Roman" w:eastAsia="Times New Roman" w:hAnsi="Times New Roman" w:cs="Times New Roman"/>
          <w:color w:val="0E0E0E"/>
          <w:kern w:val="0"/>
          <w14:ligatures w14:val="none"/>
        </w:rPr>
        <w:t xml:space="preserve"> site suggests a potential dual mechanism, combining competitive and allosteric antagonism to robustly inhibit Or56a activation</w:t>
      </w:r>
      <w:r w:rsidR="00CD6ABC">
        <w:rPr>
          <w:rFonts w:ascii="Times New Roman" w:eastAsia="Times New Roman" w:hAnsi="Times New Roman" w:cs="Times New Roman"/>
          <w:color w:val="0E0E0E"/>
          <w:kern w:val="0"/>
          <w14:ligatures w14:val="none"/>
        </w:rPr>
        <w:t>.</w:t>
      </w:r>
    </w:p>
    <w:p w14:paraId="312F0AC4" w14:textId="77777777" w:rsidR="002F09F9" w:rsidRPr="00DC1932" w:rsidRDefault="002F09F9" w:rsidP="002F09F9">
      <w:pPr>
        <w:spacing w:before="100" w:beforeAutospacing="1" w:after="100" w:afterAutospacing="1" w:line="240" w:lineRule="auto"/>
        <w:rPr>
          <w:rFonts w:ascii="Times New Roman" w:eastAsia="Times New Roman" w:hAnsi="Times New Roman" w:cs="Times New Roman"/>
          <w:color w:val="000000"/>
          <w:kern w:val="0"/>
          <w14:ligatures w14:val="none"/>
        </w:rPr>
      </w:pPr>
      <w:r w:rsidRPr="005744D7">
        <w:rPr>
          <w:rFonts w:ascii="Times New Roman" w:eastAsia="Times New Roman" w:hAnsi="Times New Roman" w:cs="Times New Roman"/>
          <w:color w:val="000000"/>
          <w:kern w:val="0"/>
          <w14:ligatures w14:val="none"/>
        </w:rPr>
        <w:t>Structural alignment with experimental OR structures (8V02 and 6C70) provide further</w:t>
      </w:r>
      <w:r w:rsidRPr="00DC1932">
        <w:rPr>
          <w:rFonts w:ascii="Times New Roman" w:eastAsia="Times New Roman" w:hAnsi="Times New Roman" w:cs="Times New Roman"/>
          <w:color w:val="000000"/>
          <w:kern w:val="0"/>
          <w14:ligatures w14:val="none"/>
        </w:rPr>
        <w:t xml:space="preserve"> confidence in the biological plausibility of the predicted binding site. The high similarity </w:t>
      </w:r>
      <w:r w:rsidRPr="00DC1932">
        <w:rPr>
          <w:rFonts w:ascii="Times New Roman" w:eastAsia="Times New Roman" w:hAnsi="Times New Roman" w:cs="Times New Roman"/>
          <w:color w:val="000000"/>
          <w:kern w:val="0"/>
          <w14:ligatures w14:val="none"/>
        </w:rPr>
        <w:lastRenderedPageBreak/>
        <w:t>between 8V02 and 6C70, despite being from different species, emphasizes the robustness of using conserved architecture to guide computational predictions in under-characterized receptors like Or56a.</w:t>
      </w:r>
    </w:p>
    <w:p w14:paraId="74BCC503" w14:textId="77777777" w:rsidR="002F09F9" w:rsidRPr="00DC1932" w:rsidRDefault="002F09F9" w:rsidP="002F09F9">
      <w:pPr>
        <w:spacing w:before="100" w:beforeAutospacing="1" w:after="100" w:afterAutospacing="1" w:line="240" w:lineRule="auto"/>
        <w:rPr>
          <w:rFonts w:ascii="Times New Roman" w:eastAsia="Times New Roman" w:hAnsi="Times New Roman" w:cs="Times New Roman"/>
          <w:color w:val="000000"/>
          <w:kern w:val="0"/>
          <w14:ligatures w14:val="none"/>
        </w:rPr>
      </w:pPr>
      <w:r w:rsidRPr="00DC1932">
        <w:rPr>
          <w:rFonts w:ascii="Times New Roman" w:eastAsia="Times New Roman" w:hAnsi="Times New Roman" w:cs="Times New Roman"/>
          <w:color w:val="000000"/>
          <w:kern w:val="0"/>
          <w14:ligatures w14:val="none"/>
        </w:rPr>
        <w:t>As a quantum chemist, I approach this protocol with a healthy level of skepticism — particularly around the use of AlphaFold structures and rigid docking as definitive predictors of receptor-ligand behavior. While AlphaFold provides an invaluable starting point, it is not explicitly trained on membrane-bound olfactory receptors or allosteric pocket geometries, and its predictions do not account for conformational flexibility or ligand-induced shifts. Similarly, docking relies on static snapshots of dynamic systems and often oversimplifies the energetic landscape. In a more rigorous setting, I would consider refining the structural model using molecular dynamics to explore relevant conformational ensembles, followed by higher-level quantum mechanical calculations — such as single-point energy evaluations using GFN2-xTB or fragmentation-based DFT — to better capture interaction energetics and polarization effects. While it's computationally impractical to apply QM across large libraries or full receptor systems, a hybrid, top-down approach that combines structure prediction, dynamics sampling, and quantum refinement on key poses could yield far more reliable and interpretable results.</w:t>
      </w:r>
    </w:p>
    <w:p w14:paraId="08DEECB2" w14:textId="58A3C6BB" w:rsidR="002F09F9" w:rsidRPr="00DC1932" w:rsidRDefault="002F09F9" w:rsidP="002F09F9">
      <w:pPr>
        <w:spacing w:before="100" w:beforeAutospacing="1" w:after="100" w:afterAutospacing="1" w:line="240" w:lineRule="auto"/>
        <w:rPr>
          <w:rFonts w:ascii="Times New Roman" w:eastAsia="Times New Roman" w:hAnsi="Times New Roman" w:cs="Times New Roman"/>
          <w:color w:val="000000"/>
          <w:kern w:val="0"/>
          <w14:ligatures w14:val="none"/>
        </w:rPr>
      </w:pPr>
      <w:r w:rsidRPr="00DC1932">
        <w:rPr>
          <w:rFonts w:ascii="Times New Roman" w:eastAsia="Times New Roman" w:hAnsi="Times New Roman" w:cs="Times New Roman"/>
          <w:color w:val="000000"/>
          <w:kern w:val="0"/>
          <w14:ligatures w14:val="none"/>
        </w:rPr>
        <w:t>In parallel, I see machine learning as a natural bridge between the scale of docking and the accuracy of quantum chemistry. Once a representative set of ligands–receptor complexes is characterized through MD and QM refinement, that data can be used to train ML models — whether through Δ-learning, interaction fingerprinting, or graph-based architectures — to generalize quantum accuracy across a broader chemical space. This enables a practical middle ground: QM-derived accuracy at ML speed. Ultimately, I see AlphaFold and docking not as end points, but as entry points to a layered framework where ML models serve as the glue between physical realism and real-world throughput.</w:t>
      </w:r>
    </w:p>
    <w:p w14:paraId="7DC95E2E" w14:textId="77777777" w:rsidR="002F09F9" w:rsidRPr="004340DA" w:rsidRDefault="002F09F9" w:rsidP="004340DA">
      <w:pPr>
        <w:spacing w:before="100" w:beforeAutospacing="1" w:after="100" w:afterAutospacing="1" w:line="240" w:lineRule="auto"/>
        <w:rPr>
          <w:rFonts w:ascii="Times New Roman" w:eastAsia="Times New Roman" w:hAnsi="Times New Roman" w:cs="Times New Roman"/>
          <w:color w:val="000000"/>
          <w:kern w:val="0"/>
          <w14:ligatures w14:val="none"/>
        </w:rPr>
      </w:pPr>
    </w:p>
    <w:p w14:paraId="28D24720" w14:textId="77777777" w:rsidR="00195849" w:rsidRDefault="00195849"/>
    <w:sectPr w:rsidR="001958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E140D"/>
    <w:multiLevelType w:val="multilevel"/>
    <w:tmpl w:val="B32E7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6B78C8"/>
    <w:multiLevelType w:val="multilevel"/>
    <w:tmpl w:val="B5CE1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AC7260"/>
    <w:multiLevelType w:val="multilevel"/>
    <w:tmpl w:val="4A6CA4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CD48F3"/>
    <w:multiLevelType w:val="multilevel"/>
    <w:tmpl w:val="B9D23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D11407"/>
    <w:multiLevelType w:val="multilevel"/>
    <w:tmpl w:val="1FE84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E65F01"/>
    <w:multiLevelType w:val="multilevel"/>
    <w:tmpl w:val="F67A3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0D4418"/>
    <w:multiLevelType w:val="multilevel"/>
    <w:tmpl w:val="07EC4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9D3F12"/>
    <w:multiLevelType w:val="multilevel"/>
    <w:tmpl w:val="A358E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5997827">
    <w:abstractNumId w:val="6"/>
  </w:num>
  <w:num w:numId="2" w16cid:durableId="1131749312">
    <w:abstractNumId w:val="5"/>
  </w:num>
  <w:num w:numId="3" w16cid:durableId="67774281">
    <w:abstractNumId w:val="1"/>
  </w:num>
  <w:num w:numId="4" w16cid:durableId="1029523974">
    <w:abstractNumId w:val="0"/>
  </w:num>
  <w:num w:numId="5" w16cid:durableId="88624291">
    <w:abstractNumId w:val="7"/>
  </w:num>
  <w:num w:numId="6" w16cid:durableId="1279409193">
    <w:abstractNumId w:val="3"/>
  </w:num>
  <w:num w:numId="7" w16cid:durableId="1024670912">
    <w:abstractNumId w:val="4"/>
  </w:num>
  <w:num w:numId="8" w16cid:durableId="18425463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0DA"/>
    <w:rsid w:val="00026DFA"/>
    <w:rsid w:val="000B6EC4"/>
    <w:rsid w:val="001231FE"/>
    <w:rsid w:val="00195849"/>
    <w:rsid w:val="001F0AA5"/>
    <w:rsid w:val="002140F4"/>
    <w:rsid w:val="0025749B"/>
    <w:rsid w:val="002F09F9"/>
    <w:rsid w:val="002F50D0"/>
    <w:rsid w:val="0037541A"/>
    <w:rsid w:val="003C3692"/>
    <w:rsid w:val="004073F1"/>
    <w:rsid w:val="004340DA"/>
    <w:rsid w:val="004E48A3"/>
    <w:rsid w:val="00544044"/>
    <w:rsid w:val="00553A30"/>
    <w:rsid w:val="005744D7"/>
    <w:rsid w:val="00710DB6"/>
    <w:rsid w:val="00845970"/>
    <w:rsid w:val="009234D1"/>
    <w:rsid w:val="009F3132"/>
    <w:rsid w:val="00A74B24"/>
    <w:rsid w:val="00A921B5"/>
    <w:rsid w:val="00B33B51"/>
    <w:rsid w:val="00CA27AD"/>
    <w:rsid w:val="00CD6ABC"/>
    <w:rsid w:val="00F714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A1151"/>
  <w15:chartTrackingRefBased/>
  <w15:docId w15:val="{74954E97-74E9-9A4A-9274-5AFF2B767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40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340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340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340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40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40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40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40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40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40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340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340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340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40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40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40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40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40DA"/>
    <w:rPr>
      <w:rFonts w:eastAsiaTheme="majorEastAsia" w:cstheme="majorBidi"/>
      <w:color w:val="272727" w:themeColor="text1" w:themeTint="D8"/>
    </w:rPr>
  </w:style>
  <w:style w:type="paragraph" w:styleId="Title">
    <w:name w:val="Title"/>
    <w:basedOn w:val="Normal"/>
    <w:next w:val="Normal"/>
    <w:link w:val="TitleChar"/>
    <w:uiPriority w:val="10"/>
    <w:qFormat/>
    <w:rsid w:val="004340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40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40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40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40DA"/>
    <w:pPr>
      <w:spacing w:before="160"/>
      <w:jc w:val="center"/>
    </w:pPr>
    <w:rPr>
      <w:i/>
      <w:iCs/>
      <w:color w:val="404040" w:themeColor="text1" w:themeTint="BF"/>
    </w:rPr>
  </w:style>
  <w:style w:type="character" w:customStyle="1" w:styleId="QuoteChar">
    <w:name w:val="Quote Char"/>
    <w:basedOn w:val="DefaultParagraphFont"/>
    <w:link w:val="Quote"/>
    <w:uiPriority w:val="29"/>
    <w:rsid w:val="004340DA"/>
    <w:rPr>
      <w:i/>
      <w:iCs/>
      <w:color w:val="404040" w:themeColor="text1" w:themeTint="BF"/>
    </w:rPr>
  </w:style>
  <w:style w:type="paragraph" w:styleId="ListParagraph">
    <w:name w:val="List Paragraph"/>
    <w:basedOn w:val="Normal"/>
    <w:uiPriority w:val="34"/>
    <w:qFormat/>
    <w:rsid w:val="004340DA"/>
    <w:pPr>
      <w:ind w:left="720"/>
      <w:contextualSpacing/>
    </w:pPr>
  </w:style>
  <w:style w:type="character" w:styleId="IntenseEmphasis">
    <w:name w:val="Intense Emphasis"/>
    <w:basedOn w:val="DefaultParagraphFont"/>
    <w:uiPriority w:val="21"/>
    <w:qFormat/>
    <w:rsid w:val="004340DA"/>
    <w:rPr>
      <w:i/>
      <w:iCs/>
      <w:color w:val="0F4761" w:themeColor="accent1" w:themeShade="BF"/>
    </w:rPr>
  </w:style>
  <w:style w:type="paragraph" w:styleId="IntenseQuote">
    <w:name w:val="Intense Quote"/>
    <w:basedOn w:val="Normal"/>
    <w:next w:val="Normal"/>
    <w:link w:val="IntenseQuoteChar"/>
    <w:uiPriority w:val="30"/>
    <w:qFormat/>
    <w:rsid w:val="004340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40DA"/>
    <w:rPr>
      <w:i/>
      <w:iCs/>
      <w:color w:val="0F4761" w:themeColor="accent1" w:themeShade="BF"/>
    </w:rPr>
  </w:style>
  <w:style w:type="character" w:styleId="IntenseReference">
    <w:name w:val="Intense Reference"/>
    <w:basedOn w:val="DefaultParagraphFont"/>
    <w:uiPriority w:val="32"/>
    <w:qFormat/>
    <w:rsid w:val="004340DA"/>
    <w:rPr>
      <w:b/>
      <w:bCs/>
      <w:smallCaps/>
      <w:color w:val="0F4761" w:themeColor="accent1" w:themeShade="BF"/>
      <w:spacing w:val="5"/>
    </w:rPr>
  </w:style>
  <w:style w:type="paragraph" w:styleId="NormalWeb">
    <w:name w:val="Normal (Web)"/>
    <w:basedOn w:val="Normal"/>
    <w:uiPriority w:val="99"/>
    <w:semiHidden/>
    <w:unhideWhenUsed/>
    <w:rsid w:val="004340D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4340DA"/>
    <w:rPr>
      <w:b/>
      <w:bCs/>
    </w:rPr>
  </w:style>
  <w:style w:type="character" w:customStyle="1" w:styleId="apple-converted-space">
    <w:name w:val="apple-converted-space"/>
    <w:basedOn w:val="DefaultParagraphFont"/>
    <w:rsid w:val="004340DA"/>
  </w:style>
  <w:style w:type="table" w:styleId="TableGrid">
    <w:name w:val="Table Grid"/>
    <w:basedOn w:val="TableNormal"/>
    <w:uiPriority w:val="39"/>
    <w:rsid w:val="004073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
    <w:rsid w:val="001231FE"/>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p2">
    <w:name w:val="p2"/>
    <w:basedOn w:val="Normal"/>
    <w:rsid w:val="001231FE"/>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s1">
    <w:name w:val="s1"/>
    <w:basedOn w:val="DefaultParagraphFont"/>
    <w:rsid w:val="005744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6718544">
      <w:bodyDiv w:val="1"/>
      <w:marLeft w:val="0"/>
      <w:marRight w:val="0"/>
      <w:marTop w:val="0"/>
      <w:marBottom w:val="0"/>
      <w:divBdr>
        <w:top w:val="none" w:sz="0" w:space="0" w:color="auto"/>
        <w:left w:val="none" w:sz="0" w:space="0" w:color="auto"/>
        <w:bottom w:val="none" w:sz="0" w:space="0" w:color="auto"/>
        <w:right w:val="none" w:sz="0" w:space="0" w:color="auto"/>
      </w:divBdr>
      <w:divsChild>
        <w:div w:id="1427384515">
          <w:marLeft w:val="0"/>
          <w:marRight w:val="0"/>
          <w:marTop w:val="0"/>
          <w:marBottom w:val="0"/>
          <w:divBdr>
            <w:top w:val="none" w:sz="0" w:space="0" w:color="auto"/>
            <w:left w:val="none" w:sz="0" w:space="0" w:color="auto"/>
            <w:bottom w:val="none" w:sz="0" w:space="0" w:color="auto"/>
            <w:right w:val="none" w:sz="0" w:space="0" w:color="auto"/>
          </w:divBdr>
        </w:div>
        <w:div w:id="1155100015">
          <w:marLeft w:val="0"/>
          <w:marRight w:val="0"/>
          <w:marTop w:val="0"/>
          <w:marBottom w:val="0"/>
          <w:divBdr>
            <w:top w:val="none" w:sz="0" w:space="0" w:color="auto"/>
            <w:left w:val="none" w:sz="0" w:space="0" w:color="auto"/>
            <w:bottom w:val="none" w:sz="0" w:space="0" w:color="auto"/>
            <w:right w:val="none" w:sz="0" w:space="0" w:color="auto"/>
          </w:divBdr>
        </w:div>
        <w:div w:id="514730183">
          <w:marLeft w:val="0"/>
          <w:marRight w:val="0"/>
          <w:marTop w:val="0"/>
          <w:marBottom w:val="0"/>
          <w:divBdr>
            <w:top w:val="none" w:sz="0" w:space="0" w:color="auto"/>
            <w:left w:val="none" w:sz="0" w:space="0" w:color="auto"/>
            <w:bottom w:val="none" w:sz="0" w:space="0" w:color="auto"/>
            <w:right w:val="none" w:sz="0" w:space="0" w:color="auto"/>
          </w:divBdr>
        </w:div>
        <w:div w:id="508326863">
          <w:marLeft w:val="0"/>
          <w:marRight w:val="0"/>
          <w:marTop w:val="0"/>
          <w:marBottom w:val="0"/>
          <w:divBdr>
            <w:top w:val="none" w:sz="0" w:space="0" w:color="auto"/>
            <w:left w:val="none" w:sz="0" w:space="0" w:color="auto"/>
            <w:bottom w:val="none" w:sz="0" w:space="0" w:color="auto"/>
            <w:right w:val="none" w:sz="0" w:space="0" w:color="auto"/>
          </w:divBdr>
        </w:div>
        <w:div w:id="1944730444">
          <w:marLeft w:val="0"/>
          <w:marRight w:val="0"/>
          <w:marTop w:val="0"/>
          <w:marBottom w:val="0"/>
          <w:divBdr>
            <w:top w:val="none" w:sz="0" w:space="0" w:color="auto"/>
            <w:left w:val="none" w:sz="0" w:space="0" w:color="auto"/>
            <w:bottom w:val="none" w:sz="0" w:space="0" w:color="auto"/>
            <w:right w:val="none" w:sz="0" w:space="0" w:color="auto"/>
          </w:divBdr>
        </w:div>
        <w:div w:id="1465729407">
          <w:marLeft w:val="0"/>
          <w:marRight w:val="0"/>
          <w:marTop w:val="0"/>
          <w:marBottom w:val="0"/>
          <w:divBdr>
            <w:top w:val="none" w:sz="0" w:space="0" w:color="auto"/>
            <w:left w:val="none" w:sz="0" w:space="0" w:color="auto"/>
            <w:bottom w:val="none" w:sz="0" w:space="0" w:color="auto"/>
            <w:right w:val="none" w:sz="0" w:space="0" w:color="auto"/>
          </w:divBdr>
        </w:div>
      </w:divsChild>
    </w:div>
    <w:div w:id="1561593333">
      <w:bodyDiv w:val="1"/>
      <w:marLeft w:val="0"/>
      <w:marRight w:val="0"/>
      <w:marTop w:val="0"/>
      <w:marBottom w:val="0"/>
      <w:divBdr>
        <w:top w:val="none" w:sz="0" w:space="0" w:color="auto"/>
        <w:left w:val="none" w:sz="0" w:space="0" w:color="auto"/>
        <w:bottom w:val="none" w:sz="0" w:space="0" w:color="auto"/>
        <w:right w:val="none" w:sz="0" w:space="0" w:color="auto"/>
      </w:divBdr>
      <w:divsChild>
        <w:div w:id="1449667803">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TotalTime>
  <Pages>6</Pages>
  <Words>1906</Words>
  <Characters>10868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Kettidathil Chandy, Sruthy</dc:creator>
  <cp:keywords/>
  <dc:description/>
  <cp:lastModifiedBy>Kettidathil Chandy, Sruthy</cp:lastModifiedBy>
  <cp:revision>11</cp:revision>
  <dcterms:created xsi:type="dcterms:W3CDTF">2025-04-06T03:07:00Z</dcterms:created>
  <dcterms:modified xsi:type="dcterms:W3CDTF">2025-04-07T20:48:00Z</dcterms:modified>
</cp:coreProperties>
</file>