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40"/>
        <w:jc w:val="center"/>
      </w:pPr>
      <w:r>
        <w:rPr>
          <w:rFonts w:ascii="Calibri" w:hAnsi="Calibri"/>
          <w:b/>
          <w:color w:val="B07D21"/>
          <w:sz w:val="21"/>
        </w:rPr>
        <w:t>TECHNICAL ARTICLE</w:t>
      </w:r>
    </w:p>
    <w:p>
      <w:pPr>
        <w:spacing w:after="200"/>
        <w:jc w:val="center"/>
      </w:pPr>
      <w:r>
        <w:rPr>
          <w:rFonts w:ascii="Calibri" w:hAnsi="Calibri"/>
          <w:b/>
          <w:color w:val="17365D"/>
          <w:sz w:val="60"/>
        </w:rPr>
        <w:t>From Instructions to</w:t>
        <w:br/>
        <w:t>Executable Understanding</w:t>
      </w:r>
    </w:p>
    <w:p>
      <w:pPr>
        <w:spacing w:after="480"/>
        <w:jc w:val="center"/>
      </w:pPr>
      <w:r>
        <w:rPr>
          <w:rFonts w:ascii="Calibri" w:hAnsi="Calibri"/>
          <w:b w:val="0"/>
          <w:color w:val="2E74B5"/>
          <w:sz w:val="30"/>
        </w:rPr>
        <w:t>The RAGenius Application Instruction Model</w:t>
      </w:r>
    </w:p>
    <w:p>
      <w:pPr>
        <w:spacing w:after="600"/>
        <w:jc w:val="center"/>
      </w:pPr>
      <w:r>
        <w:rPr>
          <w:rFonts w:ascii="Calibri" w:hAnsi="Calibri"/>
          <w:i/>
          <w:color w:val="5B6573"/>
          <w:sz w:val="22"/>
        </w:rPr>
        <w:t>A practical architecture guide for AI researchers and developers</w:t>
      </w:r>
    </w:p>
    <w:p>
      <w:pPr>
        <w:spacing w:before="120" w:after="160" w:line="276" w:lineRule="auto"/>
        <w:ind w:left="173" w:right="86"/>
        <w:shd w:fill="EEF4FA"/>
        <w:pBdr>
          <w:left w:val="single" w:sz="18" w:space="8" w:color="17365D"/>
        </w:pBdr>
      </w:pPr>
      <w:r>
        <w:rPr>
          <w:rFonts w:ascii="Calibri" w:hAnsi="Calibri"/>
          <w:b/>
          <w:color w:val="17365D"/>
          <w:sz w:val="20"/>
        </w:rPr>
        <w:t xml:space="preserve">Central idea. </w:t>
      </w:r>
      <w:r>
        <w:rPr>
          <w:rFonts w:ascii="Calibri" w:hAnsi="Calibri"/>
          <w:color w:val="1F2937"/>
          <w:sz w:val="20"/>
        </w:rPr>
        <w:t>RAGenius does not treat application instructions as a prompt that must be reinterpreted from scratch on every turn. It compiles them into a persistent runtime contract. A constrained LLM supplies semantic understanding; deterministic parsing, grounding, validation, and publication rules make that understanding executable and auditable.</w:t>
      </w:r>
    </w:p>
    <w:p>
      <w:pPr>
        <w:spacing w:before="720" w:after="60"/>
        <w:jc w:val="center"/>
      </w:pPr>
      <w:r>
        <w:rPr>
          <w:rFonts w:ascii="Calibri" w:hAnsi="Calibri"/>
          <w:b/>
          <w:color w:val="17365D"/>
          <w:sz w:val="20"/>
        </w:rPr>
        <w:t>Repository-grounded analysis</w:t>
      </w:r>
    </w:p>
    <w:p>
      <w:pPr>
        <w:jc w:val="center"/>
      </w:pPr>
      <w:r>
        <w:rPr>
          <w:rFonts w:ascii="Calibri" w:hAnsi="Calibri"/>
          <w:color w:val="5B6573"/>
          <w:sz w:val="19"/>
        </w:rPr>
        <w:t>11 August 2026</w:t>
      </w:r>
    </w:p>
    <w:p>
      <w:r>
        <w:br w:type="page"/>
      </w:r>
    </w:p>
    <w:p>
      <w:pPr>
        <w:pStyle w:val="Heading1"/>
        <w:keepNext/>
      </w:pPr>
      <w:r>
        <w:t>Executive summary</w:t>
      </w:r>
    </w:p>
    <w:p>
      <w:pPr>
        <w:keepLines w:val="0"/>
        <w:spacing w:before="0" w:after="120" w:line="283" w:lineRule="auto"/>
      </w:pPr>
      <w:r>
        <w:rPr>
          <w:rFonts w:ascii="Calibri" w:hAnsi="Calibri"/>
          <w:color w:val="1F2937"/>
          <w:sz w:val="21"/>
        </w:rPr>
        <w:t xml:space="preserve">RAGenius is a multi-application retrieval-augmented generation platform. Its distinctive instruction architecture separates what an application designer writes from what the runtime executes. Designers author application-scoped Markdown. The runtime deterministically extracts structural evidence, then - when a semantic task model is configured - asks an LLM to interpret the meaning of that evidence and produce an </w:t>
      </w:r>
      <w:r>
        <w:rPr>
          <w:rFonts w:ascii="Consolas" w:hAnsi="Consolas"/>
          <w:color w:val="17365D"/>
          <w:sz w:val="18"/>
        </w:rPr>
        <w:t>app_semantic_model</w:t>
      </w:r>
      <w:r>
        <w:rPr>
          <w:rFonts w:ascii="Calibri" w:hAnsi="Calibri"/>
          <w:color w:val="1F2937"/>
          <w:sz w:val="21"/>
        </w:rPr>
        <w:t>. The result is not trusted immediately. RAGenius canonicalizes identifiers, grounds semantic claims against parsed candidates, validates cross-references and execution invariants, builds a hybrid runtime model, and publishes only a valid candidate as active.</w:t>
      </w:r>
    </w:p>
    <w:p>
      <w:pPr>
        <w:keepLines w:val="0"/>
        <w:spacing w:before="0" w:after="120" w:line="283" w:lineRule="auto"/>
      </w:pPr>
      <w:r>
        <w:rPr>
          <w:rFonts w:ascii="Calibri" w:hAnsi="Calibri"/>
          <w:color w:val="1F2937"/>
          <w:sz w:val="21"/>
        </w:rPr>
        <w:t>This architecture creates an intermediate representation between natural-language application design and runtime behavior. It captures service mode, workflows, modules, procedures, steps, roles, routing rules, clarification gates, policies, and resource bindings. The compiled record is persistent, versioned, hash-addressed, inspectable, and recoverable. The planner can consume the same contract in shadow or active mode, while compatibility projections allow older consumers to continue operating during migration.</w:t>
      </w:r>
    </w:p>
    <w:p>
      <w:pPr>
        <w:keepLines w:val="0"/>
        <w:spacing w:before="0" w:after="120" w:line="283" w:lineRule="auto"/>
      </w:pPr>
      <w:r>
        <w:rPr>
          <w:rFonts w:ascii="Calibri" w:hAnsi="Calibri"/>
          <w:color w:val="1F2937"/>
          <w:sz w:val="21"/>
        </w:rPr>
        <w:t>The key research contribution is the division of labor between probabilistic and deterministic mechanisms. The LLM performs contextual semantic interpretation - the part that rigid parsers handle poorly. Deterministic code controls the evidence boundary, reference integrity, canonical structure, freshness, publication, and last-known-good behavior. The design therefore treats semantic interpretation as a governed compilation stage rather than an unbounded prompt-time guess.</w:t>
      </w:r>
    </w:p>
    <w:p>
      <w:pPr>
        <w:pStyle w:val="Heading2"/>
        <w:keepNext/>
      </w:pPr>
      <w:r>
        <w:t>How to read this article</w:t>
      </w:r>
    </w:p>
    <w:p>
      <w:pPr>
        <w:pStyle w:val="ListBullet"/>
        <w:keepLines w:val="0"/>
        <w:spacing w:before="0" w:after="60" w:line="276" w:lineRule="auto"/>
        <w:ind w:left="720" w:hanging="360"/>
      </w:pPr>
      <w:r>
        <w:rPr>
          <w:rFonts w:ascii="Calibri" w:hAnsi="Calibri"/>
          <w:color w:val="1F2937"/>
          <w:sz w:val="21"/>
        </w:rPr>
        <w:t>Researchers can focus on Sections 3-5 and 12: the intermediate representation, constrained semantic compilation, validation, and governance implications.</w:t>
      </w:r>
    </w:p>
    <w:p>
      <w:pPr>
        <w:pStyle w:val="ListBullet"/>
        <w:keepLines w:val="0"/>
        <w:spacing w:before="0" w:after="60" w:line="276" w:lineRule="auto"/>
        <w:ind w:left="720" w:hanging="360"/>
      </w:pPr>
      <w:r>
        <w:rPr>
          <w:rFonts w:ascii="Calibri" w:hAnsi="Calibri"/>
          <w:color w:val="1F2937"/>
          <w:sz w:val="21"/>
        </w:rPr>
        <w:t>Application authors can focus on Sections 9-11: the worked example, authoring rules, and failure diagnostics.</w:t>
      </w:r>
    </w:p>
    <w:p>
      <w:pPr>
        <w:pStyle w:val="ListBullet"/>
        <w:keepLines w:val="0"/>
        <w:spacing w:before="0" w:after="60" w:line="276" w:lineRule="auto"/>
        <w:ind w:left="720" w:hanging="360"/>
      </w:pPr>
      <w:r>
        <w:rPr>
          <w:rFonts w:ascii="Calibri" w:hAnsi="Calibri"/>
          <w:color w:val="1F2937"/>
          <w:sz w:val="21"/>
        </w:rPr>
        <w:t>Runtime developers can focus on Sections 4, 6, 7, and 8: compilation, planner consumption, persistence, and lifecycle APIs.</w:t>
      </w:r>
    </w:p>
    <w:p>
      <w:pPr>
        <w:pStyle w:val="Heading1"/>
        <w:keepNext/>
      </w:pPr>
      <w:r>
        <w:t>Contents</w:t>
      </w:r>
    </w:p>
    <w:p>
      <w:pPr>
        <w:pStyle w:val="ListBullet"/>
        <w:keepLines w:val="0"/>
        <w:spacing w:before="0" w:after="60" w:line="276" w:lineRule="auto"/>
        <w:ind w:left="720" w:hanging="360"/>
      </w:pPr>
      <w:r>
        <w:rPr>
          <w:rFonts w:ascii="Calibri" w:hAnsi="Calibri"/>
          <w:color w:val="1F2937"/>
          <w:sz w:val="21"/>
        </w:rPr>
        <w:t>1. The problem RAGenius is solving</w:t>
      </w:r>
    </w:p>
    <w:p>
      <w:pPr>
        <w:pStyle w:val="ListBullet"/>
        <w:keepLines w:val="0"/>
        <w:spacing w:before="0" w:after="60" w:line="276" w:lineRule="auto"/>
        <w:ind w:left="720" w:hanging="360"/>
      </w:pPr>
      <w:r>
        <w:rPr>
          <w:rFonts w:ascii="Calibri" w:hAnsi="Calibri"/>
          <w:color w:val="1F2937"/>
          <w:sz w:val="21"/>
        </w:rPr>
        <w:t>2. Architectural context and ownership</w:t>
      </w:r>
    </w:p>
    <w:p>
      <w:pPr>
        <w:pStyle w:val="ListBullet"/>
        <w:keepLines w:val="0"/>
        <w:spacing w:before="0" w:after="60" w:line="276" w:lineRule="auto"/>
        <w:ind w:left="720" w:hanging="360"/>
      </w:pPr>
      <w:r>
        <w:rPr>
          <w:rFonts w:ascii="Calibri" w:hAnsi="Calibri"/>
          <w:color w:val="1F2937"/>
          <w:sz w:val="21"/>
        </w:rPr>
        <w:t>3. What instruction understanding means</w:t>
      </w:r>
    </w:p>
    <w:p>
      <w:pPr>
        <w:pStyle w:val="ListBullet"/>
        <w:keepLines w:val="0"/>
        <w:spacing w:before="0" w:after="60" w:line="276" w:lineRule="auto"/>
        <w:ind w:left="720" w:hanging="360"/>
      </w:pPr>
      <w:r>
        <w:rPr>
          <w:rFonts w:ascii="Calibri" w:hAnsi="Calibri"/>
          <w:color w:val="1F2937"/>
          <w:sz w:val="21"/>
        </w:rPr>
        <w:t>4. The compilation pipeline</w:t>
      </w:r>
    </w:p>
    <w:p>
      <w:pPr>
        <w:pStyle w:val="ListBullet"/>
        <w:keepLines w:val="0"/>
        <w:spacing w:before="0" w:after="60" w:line="276" w:lineRule="auto"/>
        <w:ind w:left="720" w:hanging="360"/>
      </w:pPr>
      <w:r>
        <w:rPr>
          <w:rFonts w:ascii="Calibri" w:hAnsi="Calibri"/>
          <w:color w:val="1F2937"/>
          <w:sz w:val="21"/>
        </w:rPr>
        <w:t>5. Anatomy of the runtime understanding</w:t>
      </w:r>
    </w:p>
    <w:p>
      <w:pPr>
        <w:pStyle w:val="ListBullet"/>
        <w:keepLines w:val="0"/>
        <w:spacing w:before="0" w:after="60" w:line="276" w:lineRule="auto"/>
        <w:ind w:left="720" w:hanging="360"/>
      </w:pPr>
      <w:r>
        <w:rPr>
          <w:rFonts w:ascii="Calibri" w:hAnsi="Calibri"/>
          <w:color w:val="1F2937"/>
          <w:sz w:val="21"/>
        </w:rPr>
        <w:t>6. How the runtime uses the model</w:t>
      </w:r>
    </w:p>
    <w:p>
      <w:pPr>
        <w:pStyle w:val="ListBullet"/>
        <w:keepLines w:val="0"/>
        <w:spacing w:before="0" w:after="60" w:line="276" w:lineRule="auto"/>
        <w:ind w:left="720" w:hanging="360"/>
      </w:pPr>
      <w:r>
        <w:rPr>
          <w:rFonts w:ascii="Calibri" w:hAnsi="Calibri"/>
          <w:color w:val="1F2937"/>
          <w:sz w:val="21"/>
        </w:rPr>
        <w:t>7. Persistence, freshness, and safety</w:t>
      </w:r>
    </w:p>
    <w:p>
      <w:pPr>
        <w:pStyle w:val="ListBullet"/>
        <w:keepLines w:val="0"/>
        <w:spacing w:before="0" w:after="60" w:line="276" w:lineRule="auto"/>
        <w:ind w:left="720" w:hanging="360"/>
      </w:pPr>
      <w:r>
        <w:rPr>
          <w:rFonts w:ascii="Calibri" w:hAnsi="Calibri"/>
          <w:color w:val="1F2937"/>
          <w:sz w:val="21"/>
        </w:rPr>
        <w:t>8. Review, approval, and revision</w:t>
      </w:r>
    </w:p>
    <w:p>
      <w:pPr>
        <w:pStyle w:val="ListBullet"/>
        <w:keepLines w:val="0"/>
        <w:spacing w:before="0" w:after="60" w:line="276" w:lineRule="auto"/>
        <w:ind w:left="720" w:hanging="360"/>
      </w:pPr>
      <w:r>
        <w:rPr>
          <w:rFonts w:ascii="Calibri" w:hAnsi="Calibri"/>
          <w:color w:val="1F2937"/>
          <w:sz w:val="21"/>
        </w:rPr>
        <w:t>9. Worked example: a research assistant</w:t>
      </w:r>
    </w:p>
    <w:p>
      <w:pPr>
        <w:pStyle w:val="ListBullet"/>
        <w:keepLines w:val="0"/>
        <w:spacing w:before="0" w:after="60" w:line="276" w:lineRule="auto"/>
        <w:ind w:left="720" w:hanging="360"/>
      </w:pPr>
      <w:r>
        <w:rPr>
          <w:rFonts w:ascii="Calibri" w:hAnsi="Calibri"/>
          <w:color w:val="1F2937"/>
          <w:sz w:val="21"/>
        </w:rPr>
        <w:t>10. Authoring guidance</w:t>
      </w:r>
    </w:p>
    <w:p>
      <w:pPr>
        <w:pStyle w:val="ListBullet"/>
        <w:keepLines w:val="0"/>
        <w:spacing w:before="0" w:after="60" w:line="276" w:lineRule="auto"/>
        <w:ind w:left="720" w:hanging="360"/>
      </w:pPr>
      <w:r>
        <w:rPr>
          <w:rFonts w:ascii="Calibri" w:hAnsi="Calibri"/>
          <w:color w:val="1F2937"/>
          <w:sz w:val="21"/>
        </w:rPr>
        <w:t>11. Failure modes and diagnostics</w:t>
      </w:r>
    </w:p>
    <w:p>
      <w:pPr>
        <w:pStyle w:val="ListBullet"/>
        <w:keepLines w:val="0"/>
        <w:spacing w:before="0" w:after="60" w:line="276" w:lineRule="auto"/>
        <w:ind w:left="720" w:hanging="360"/>
      </w:pPr>
      <w:r>
        <w:rPr>
          <w:rFonts w:ascii="Calibri" w:hAnsi="Calibri"/>
          <w:color w:val="1F2937"/>
          <w:sz w:val="21"/>
        </w:rPr>
        <w:t>12. Research and engineering implications</w:t>
      </w:r>
    </w:p>
    <w:p>
      <w:pPr>
        <w:pStyle w:val="ListBullet"/>
        <w:keepLines w:val="0"/>
        <w:spacing w:before="0" w:after="60" w:line="276" w:lineRule="auto"/>
        <w:ind w:left="720" w:hanging="360"/>
      </w:pPr>
      <w:r>
        <w:rPr>
          <w:rFonts w:ascii="Calibri" w:hAnsi="Calibri"/>
          <w:color w:val="1F2937"/>
          <w:sz w:val="21"/>
        </w:rPr>
        <w:t>13. Practical checklist</w:t>
      </w:r>
    </w:p>
    <w:p>
      <w:pPr>
        <w:pStyle w:val="ListBullet"/>
        <w:keepLines w:val="0"/>
        <w:spacing w:before="0" w:after="60" w:line="276" w:lineRule="auto"/>
        <w:ind w:left="720" w:hanging="360"/>
      </w:pPr>
      <w:r>
        <w:rPr>
          <w:rFonts w:ascii="Calibri" w:hAnsi="Calibri"/>
          <w:color w:val="1F2937"/>
          <w:sz w:val="21"/>
        </w:rPr>
        <w:t>Repository sources</w:t>
      </w:r>
    </w:p>
    <w:p>
      <w:r>
        <w:br w:type="page"/>
      </w:r>
    </w:p>
    <w:p>
      <w:pPr>
        <w:pStyle w:val="Heading1"/>
        <w:keepNext/>
      </w:pPr>
      <w:r>
        <w:t>1. The problem RAGenius is solving</w:t>
      </w:r>
    </w:p>
    <w:p>
      <w:pPr>
        <w:keepLines w:val="0"/>
        <w:spacing w:before="0" w:after="120" w:line="283" w:lineRule="auto"/>
      </w:pPr>
      <w:r>
        <w:rPr>
          <w:rFonts w:ascii="Calibri" w:hAnsi="Calibri"/>
          <w:color w:val="1F2937"/>
          <w:sz w:val="21"/>
        </w:rPr>
        <w:t>A conventional RAG application often begins with a large system prompt. That prompt may contain the app's mission, response style, workflow, tool rules, retrieval policy, examples, and resource names. This can work for a small assistant, but it becomes unstable when the same text is expected to function simultaneously as documentation, program logic, routing policy, state machine, and runtime configuration.</w:t>
      </w:r>
    </w:p>
    <w:p>
      <w:pPr>
        <w:keepLines w:val="0"/>
        <w:spacing w:before="0" w:after="120" w:line="283" w:lineRule="auto"/>
      </w:pPr>
      <w:r>
        <w:rPr>
          <w:rFonts w:ascii="Calibri" w:hAnsi="Calibri"/>
          <w:color w:val="1F2937"/>
          <w:sz w:val="21"/>
        </w:rPr>
        <w:t xml:space="preserve">The central difficulty is not token length alone. It is </w:t>
      </w:r>
      <w:r>
        <w:rPr>
          <w:rFonts w:ascii="Calibri" w:hAnsi="Calibri"/>
          <w:b/>
          <w:color w:val="1F2937"/>
          <w:sz w:val="21"/>
        </w:rPr>
        <w:t>semantic ambiguity</w:t>
      </w:r>
      <w:r>
        <w:rPr>
          <w:rFonts w:ascii="Calibri" w:hAnsi="Calibri"/>
          <w:color w:val="1F2937"/>
          <w:sz w:val="21"/>
        </w:rPr>
        <w:t>. A heading may describe a workflow or merely introduce a topic. A numbered list may be an executable procedure, an example, or an editorial checklist. A resource name may identify a registered document or be an illustrative reference. A sentence beginning with 'if' may be a real routing condition or explanatory prose. Reinterpreting all of this on every chat turn produces avoidable variation.</w:t>
      </w:r>
    </w:p>
    <w:p>
      <w:pPr>
        <w:keepLines w:val="0"/>
        <w:spacing w:before="0" w:after="120" w:line="283" w:lineRule="auto"/>
      </w:pPr>
      <w:r>
        <w:rPr>
          <w:rFonts w:ascii="Calibri" w:hAnsi="Calibri"/>
          <w:color w:val="1F2937"/>
          <w:sz w:val="21"/>
        </w:rPr>
        <w:t>RAGenius addresses this by moving interpretation earlier in the lifecycle. Application instructions are compiled before they drive execution. The compiled result carries explicit identities and relationships that downstream code can inspect. This supports four properties that prompt-only systems struggle to guarantee:</w:t>
      </w:r>
    </w:p>
    <w:p>
      <w:pPr>
        <w:pStyle w:val="ListBullet"/>
        <w:keepLines w:val="0"/>
        <w:spacing w:before="0" w:after="60" w:line="276" w:lineRule="auto"/>
        <w:ind w:left="720" w:hanging="360"/>
      </w:pPr>
      <w:r>
        <w:rPr>
          <w:rFonts w:ascii="Calibri" w:hAnsi="Calibri"/>
          <w:b/>
          <w:color w:val="1F2937"/>
          <w:sz w:val="21"/>
        </w:rPr>
        <w:t>Repeatability:</w:t>
      </w:r>
      <w:r>
        <w:rPr>
          <w:rFonts w:ascii="Calibri" w:hAnsi="Calibri"/>
          <w:color w:val="1F2937"/>
          <w:sz w:val="21"/>
        </w:rPr>
        <w:t xml:space="preserve"> the same active compiled record can govern many turns and sessions.</w:t>
      </w:r>
    </w:p>
    <w:p>
      <w:pPr>
        <w:pStyle w:val="ListBullet"/>
        <w:keepLines w:val="0"/>
        <w:spacing w:before="0" w:after="60" w:line="276" w:lineRule="auto"/>
        <w:ind w:left="720" w:hanging="360"/>
      </w:pPr>
      <w:r>
        <w:rPr>
          <w:rFonts w:ascii="Calibri" w:hAnsi="Calibri"/>
          <w:b/>
          <w:color w:val="1F2937"/>
          <w:sz w:val="21"/>
        </w:rPr>
        <w:t>Auditability:</w:t>
      </w:r>
      <w:r>
        <w:rPr>
          <w:rFonts w:ascii="Calibri" w:hAnsi="Calibri"/>
          <w:color w:val="1F2937"/>
          <w:sz w:val="21"/>
        </w:rPr>
        <w:t xml:space="preserve"> designers can compare authored Markdown with the runtime model and raw artifact.</w:t>
      </w:r>
    </w:p>
    <w:p>
      <w:pPr>
        <w:pStyle w:val="ListBullet"/>
        <w:keepLines w:val="0"/>
        <w:spacing w:before="0" w:after="60" w:line="276" w:lineRule="auto"/>
        <w:ind w:left="720" w:hanging="360"/>
      </w:pPr>
      <w:r>
        <w:rPr>
          <w:rFonts w:ascii="Calibri" w:hAnsi="Calibri"/>
          <w:b/>
          <w:color w:val="1F2937"/>
          <w:sz w:val="21"/>
        </w:rPr>
        <w:t>Safety:</w:t>
      </w:r>
      <w:r>
        <w:rPr>
          <w:rFonts w:ascii="Calibri" w:hAnsi="Calibri"/>
          <w:color w:val="1F2937"/>
          <w:sz w:val="21"/>
        </w:rPr>
        <w:t xml:space="preserve"> invalid semantic attempts do not have to replace the last valid model.</w:t>
      </w:r>
    </w:p>
    <w:p>
      <w:pPr>
        <w:pStyle w:val="ListBullet"/>
        <w:keepLines w:val="0"/>
        <w:spacing w:before="0" w:after="60" w:line="276" w:lineRule="auto"/>
        <w:ind w:left="720" w:hanging="360"/>
      </w:pPr>
      <w:r>
        <w:rPr>
          <w:rFonts w:ascii="Calibri" w:hAnsi="Calibri"/>
          <w:b/>
          <w:color w:val="1F2937"/>
          <w:sz w:val="21"/>
        </w:rPr>
        <w:t>Isolation:</w:t>
      </w:r>
      <w:r>
        <w:rPr>
          <w:rFonts w:ascii="Calibri" w:hAnsi="Calibri"/>
          <w:color w:val="1F2937"/>
          <w:sz w:val="21"/>
        </w:rPr>
        <w:t xml:space="preserve"> instructions, resources, snapshots, planning, and retrieval remain scoped to one </w:t>
      </w:r>
      <w:r>
        <w:rPr>
          <w:rFonts w:ascii="Consolas" w:hAnsi="Consolas"/>
          <w:color w:val="17365D"/>
          <w:sz w:val="18"/>
        </w:rPr>
        <w:t>app_id</w:t>
      </w:r>
      <w:r>
        <w:rPr>
          <w:rFonts w:ascii="Calibri" w:hAnsi="Calibri"/>
          <w:color w:val="1F2937"/>
          <w:sz w:val="21"/>
        </w:rPr>
        <w:t>.</w:t>
      </w:r>
    </w:p>
    <w:p>
      <w:pPr>
        <w:spacing w:before="120" w:after="160" w:line="276" w:lineRule="auto"/>
        <w:ind w:left="173" w:right="86"/>
        <w:shd w:fill="EEF4FA"/>
        <w:pBdr>
          <w:left w:val="single" w:sz="18" w:space="8" w:color="2E74B5"/>
        </w:pBdr>
      </w:pPr>
      <w:r>
        <w:rPr>
          <w:rFonts w:ascii="Calibri" w:hAnsi="Calibri"/>
          <w:b/>
          <w:color w:val="2E74B5"/>
          <w:sz w:val="20"/>
        </w:rPr>
        <w:t xml:space="preserve">Important distinction. </w:t>
      </w:r>
      <w:r>
        <w:rPr>
          <w:rFonts w:ascii="Calibri" w:hAnsi="Calibri"/>
          <w:color w:val="1F2937"/>
          <w:sz w:val="20"/>
        </w:rPr>
        <w:t>Application instructions define behavior. Knowledge documents supply retrievable evidence. RAGenius may bind the two, but it does not collapse instruction interpretation into retrieval or move retrieval logic outside `rag_subsystem`.</w:t>
      </w:r>
    </w:p>
    <w:p>
      <w:pPr>
        <w:keepLines w:val="0"/>
        <w:spacing w:before="0" w:after="120" w:line="283" w:lineRule="auto"/>
      </w:pPr>
      <w:r>
        <w:rPr>
          <w:rFonts w:ascii="Calibri" w:hAnsi="Calibri"/>
          <w:color w:val="1F2937"/>
          <w:sz w:val="21"/>
        </w:rPr>
        <w:t>The resulting system resembles a compiler pipeline more than a prompt concatenation strategy. Markdown is the source language. The deterministic candidate graph is a partially parsed representation. The LLM semantic model supplies contextual meaning. Validation creates a publishable contract. The planner and workflow graph are runtime consumers.</w:t>
      </w:r>
    </w:p>
    <w:p>
      <w:pPr>
        <w:spacing w:before="40" w:after="160"/>
        <w:ind w:left="259"/>
      </w:pPr>
      <w:r>
        <w:rPr>
          <w:rFonts w:ascii="Calibri" w:hAnsi="Calibri"/>
          <w:b/>
          <w:color w:val="2E74B5"/>
          <w:sz w:val="17"/>
        </w:rPr>
        <w:t xml:space="preserve">Repository note. </w:t>
      </w:r>
      <w:r>
        <w:rPr>
          <w:rFonts w:ascii="Calibri" w:hAnsi="Calibri"/>
          <w:i/>
          <w:color w:val="5B6573"/>
          <w:sz w:val="17"/>
        </w:rPr>
        <w:t>Component boundaries and isolation are defined in `AGENTS.md` and `README.md`.</w:t>
      </w:r>
    </w:p>
    <w:p>
      <w:pPr>
        <w:pStyle w:val="Heading1"/>
        <w:keepNext/>
      </w:pPr>
      <w:r>
        <w:t>2. Architectural context and ownership</w:t>
      </w:r>
    </w:p>
    <w:p>
      <w:pPr>
        <w:keepLines w:val="0"/>
        <w:spacing w:before="0" w:after="120" w:line="283" w:lineRule="auto"/>
      </w:pPr>
      <w:r>
        <w:rPr>
          <w:rFonts w:ascii="Calibri" w:hAnsi="Calibri"/>
          <w:color w:val="1F2937"/>
          <w:sz w:val="21"/>
        </w:rPr>
        <w:t>Instruction understanding makes sense only within RAGenius's application boundaries. The platform has four relevant components, and each owns a different part of the lifecycle.</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trPr>
        <w:tc>
          <w:tcPr>
            <w:tcW w:type="dxa" w:w="1900"/>
            <w:tcMar>
              <w:top w:w="80" w:type="dxa"/>
              <w:start w:w="120" w:type="dxa"/>
              <w:bottom w:w="80" w:type="dxa"/>
              <w:end w:w="120" w:type="dxa"/>
            </w:tcMar>
            <w:vAlign w:val="center"/>
            <w:shd w:fill="DCE6F1"/>
          </w:tcPr>
          <w:p>
            <w:pPr>
              <w:spacing w:before="40" w:after="40"/>
              <w:jc w:val="left"/>
            </w:pPr>
            <w:r>
              <w:rPr>
                <w:rFonts w:ascii="Calibri" w:hAnsi="Calibri"/>
                <w:b/>
                <w:color w:val="17365D"/>
                <w:sz w:val="17"/>
              </w:rPr>
              <w:t>Component</w:t>
            </w:r>
          </w:p>
        </w:tc>
        <w:tc>
          <w:tcPr>
            <w:tcW w:type="dxa" w:w="2500"/>
            <w:tcMar>
              <w:top w:w="80" w:type="dxa"/>
              <w:start w:w="120" w:type="dxa"/>
              <w:bottom w:w="80" w:type="dxa"/>
              <w:end w:w="120" w:type="dxa"/>
            </w:tcMar>
            <w:vAlign w:val="center"/>
            <w:shd w:fill="DCE6F1"/>
          </w:tcPr>
          <w:p>
            <w:pPr>
              <w:spacing w:before="40" w:after="40"/>
              <w:jc w:val="left"/>
            </w:pPr>
            <w:r>
              <w:rPr>
                <w:rFonts w:ascii="Calibri" w:hAnsi="Calibri"/>
                <w:b/>
                <w:color w:val="17365D"/>
                <w:sz w:val="17"/>
              </w:rPr>
              <w:t>Production role</w:t>
            </w:r>
          </w:p>
        </w:tc>
        <w:tc>
          <w:tcPr>
            <w:tcW w:type="dxa" w:w="4960"/>
            <w:tcMar>
              <w:top w:w="80" w:type="dxa"/>
              <w:start w:w="120" w:type="dxa"/>
              <w:bottom w:w="80" w:type="dxa"/>
              <w:end w:w="120" w:type="dxa"/>
            </w:tcMar>
            <w:vAlign w:val="center"/>
            <w:shd w:fill="DCE6F1"/>
          </w:tcPr>
          <w:p>
            <w:pPr>
              <w:spacing w:before="40" w:after="40"/>
              <w:jc w:val="left"/>
            </w:pPr>
            <w:r>
              <w:rPr>
                <w:rFonts w:ascii="Calibri" w:hAnsi="Calibri"/>
                <w:b/>
                <w:color w:val="17365D"/>
                <w:sz w:val="17"/>
              </w:rPr>
              <w:t>Instruction relationship</w:t>
            </w:r>
          </w:p>
        </w:tc>
      </w:tr>
      <w:tr>
        <w:tc>
          <w:tcPr>
            <w:tcW w:type="dxa" w:w="1900"/>
          </w:tcPr>
          <w:p>
            <w:pPr>
              <w:spacing w:before="40" w:after="40" w:line="252" w:lineRule="auto"/>
            </w:pPr>
            <w:r>
              <w:rPr>
                <w:rFonts w:ascii="Calibri" w:hAnsi="Calibri"/>
                <w:color w:val="1F2937"/>
                <w:sz w:val="17"/>
              </w:rPr>
            </w:r>
            <w:r>
              <w:rPr>
                <w:rFonts w:ascii="Consolas" w:hAnsi="Consolas"/>
                <w:color w:val="17365D"/>
                <w:sz w:val="16"/>
              </w:rPr>
              <w:t>ragenius_builder</w:t>
            </w:r>
            <w:r>
              <w:rPr>
                <w:rFonts w:ascii="Calibri" w:hAnsi="Calibri"/>
                <w:color w:val="1F2937"/>
                <w:sz w:val="17"/>
              </w:rPr>
            </w:r>
          </w:p>
        </w:tc>
        <w:tc>
          <w:tcPr>
            <w:tcW w:type="dxa" w:w="2500"/>
          </w:tcPr>
          <w:p>
            <w:pPr>
              <w:spacing w:before="40" w:after="40" w:line="252" w:lineRule="auto"/>
            </w:pPr>
            <w:r>
              <w:rPr>
                <w:rFonts w:ascii="Calibri" w:hAnsi="Calibri"/>
                <w:color w:val="1F2937"/>
                <w:sz w:val="17"/>
              </w:rPr>
              <w:t>Administrative control plane</w:t>
            </w:r>
          </w:p>
        </w:tc>
        <w:tc>
          <w:tcPr>
            <w:tcW w:type="dxa" w:w="4960"/>
          </w:tcPr>
          <w:p>
            <w:pPr>
              <w:spacing w:before="40" w:after="40" w:line="252" w:lineRule="auto"/>
            </w:pPr>
            <w:r>
              <w:rPr>
                <w:rFonts w:ascii="Calibri" w:hAnsi="Calibri"/>
                <w:color w:val="1F2937"/>
                <w:sz w:val="17"/>
              </w:rPr>
              <w:t>Creates apps; edits file-backed instructions; manages settings, uploads, documents, search administration, and inspection views.</w:t>
            </w:r>
          </w:p>
        </w:tc>
      </w:tr>
      <w:tr>
        <w:tc>
          <w:tcPr>
            <w:tcW w:type="dxa" w:w="1900"/>
            <w:shd w:fill="F8FAFC"/>
          </w:tcPr>
          <w:p>
            <w:pPr>
              <w:spacing w:before="40" w:after="40" w:line="252" w:lineRule="auto"/>
            </w:pPr>
            <w:r>
              <w:rPr>
                <w:rFonts w:ascii="Calibri" w:hAnsi="Calibri"/>
                <w:color w:val="1F2937"/>
                <w:sz w:val="17"/>
              </w:rPr>
            </w:r>
            <w:r>
              <w:rPr>
                <w:rFonts w:ascii="Consolas" w:hAnsi="Consolas"/>
                <w:color w:val="17365D"/>
                <w:sz w:val="16"/>
              </w:rPr>
              <w:t>ragenius_app_skeleton</w:t>
            </w:r>
            <w:r>
              <w:rPr>
                <w:rFonts w:ascii="Calibri" w:hAnsi="Calibri"/>
                <w:color w:val="1F2937"/>
                <w:sz w:val="17"/>
              </w:rPr>
            </w:r>
          </w:p>
        </w:tc>
        <w:tc>
          <w:tcPr>
            <w:tcW w:type="dxa" w:w="2500"/>
            <w:shd w:fill="F8FAFC"/>
          </w:tcPr>
          <w:p>
            <w:pPr>
              <w:spacing w:before="40" w:after="40" w:line="252" w:lineRule="auto"/>
            </w:pPr>
            <w:r>
              <w:rPr>
                <w:rFonts w:ascii="Calibri" w:hAnsi="Calibri"/>
                <w:color w:val="1F2937"/>
                <w:sz w:val="17"/>
              </w:rPr>
              <w:t>Active Builder-backed user runtime</w:t>
            </w:r>
          </w:p>
        </w:tc>
        <w:tc>
          <w:tcPr>
            <w:tcW w:type="dxa" w:w="4960"/>
            <w:shd w:fill="F8FAFC"/>
          </w:tcPr>
          <w:p>
            <w:pPr>
              <w:spacing w:before="40" w:after="40" w:line="252" w:lineRule="auto"/>
            </w:pPr>
            <w:r>
              <w:rPr>
                <w:rFonts w:ascii="Calibri" w:hAnsi="Calibri"/>
                <w:color w:val="1F2937"/>
                <w:sz w:val="17"/>
              </w:rPr>
              <w:t>Loads Builder state, compiles instructions, plans turns, executes user workflows, manages sessions, and returns citations and UI payloads.</w:t>
            </w:r>
          </w:p>
        </w:tc>
      </w:tr>
      <w:tr>
        <w:tc>
          <w:tcPr>
            <w:tcW w:type="dxa" w:w="1900"/>
          </w:tcPr>
          <w:p>
            <w:pPr>
              <w:spacing w:before="40" w:after="40" w:line="252" w:lineRule="auto"/>
            </w:pPr>
            <w:r>
              <w:rPr>
                <w:rFonts w:ascii="Calibri" w:hAnsi="Calibri"/>
                <w:color w:val="1F2937"/>
                <w:sz w:val="17"/>
              </w:rPr>
            </w:r>
            <w:r>
              <w:rPr>
                <w:rFonts w:ascii="Consolas" w:hAnsi="Consolas"/>
                <w:color w:val="17365D"/>
                <w:sz w:val="16"/>
              </w:rPr>
              <w:t>rag_subsystem</w:t>
            </w:r>
            <w:r>
              <w:rPr>
                <w:rFonts w:ascii="Calibri" w:hAnsi="Calibri"/>
                <w:color w:val="1F2937"/>
                <w:sz w:val="17"/>
              </w:rPr>
            </w:r>
          </w:p>
        </w:tc>
        <w:tc>
          <w:tcPr>
            <w:tcW w:type="dxa" w:w="2500"/>
          </w:tcPr>
          <w:p>
            <w:pPr>
              <w:spacing w:before="40" w:after="40" w:line="252" w:lineRule="auto"/>
            </w:pPr>
            <w:r>
              <w:rPr>
                <w:rFonts w:ascii="Calibri" w:hAnsi="Calibri"/>
                <w:color w:val="1F2937"/>
                <w:sz w:val="17"/>
              </w:rPr>
              <w:t>Protected ingestion and retrieval engine</w:t>
            </w:r>
          </w:p>
        </w:tc>
        <w:tc>
          <w:tcPr>
            <w:tcW w:type="dxa" w:w="4960"/>
          </w:tcPr>
          <w:p>
            <w:pPr>
              <w:spacing w:before="40" w:after="40" w:line="252" w:lineRule="auto"/>
            </w:pPr>
            <w:r>
              <w:rPr>
                <w:rFonts w:ascii="Calibri" w:hAnsi="Calibri"/>
                <w:color w:val="1F2937"/>
                <w:sz w:val="17"/>
              </w:rPr>
              <w:t>Indexes and retrieves app-scoped evidence. It does not own instruction compilation or Builder workflows.</w:t>
            </w:r>
          </w:p>
        </w:tc>
      </w:tr>
      <w:tr>
        <w:tc>
          <w:tcPr>
            <w:tcW w:type="dxa" w:w="1900"/>
            <w:shd w:fill="F8FAFC"/>
          </w:tcPr>
          <w:p>
            <w:pPr>
              <w:spacing w:before="40" w:after="40" w:line="252" w:lineRule="auto"/>
            </w:pPr>
            <w:r>
              <w:rPr>
                <w:rFonts w:ascii="Calibri" w:hAnsi="Calibri"/>
                <w:color w:val="1F2937"/>
                <w:sz w:val="17"/>
              </w:rPr>
            </w:r>
            <w:r>
              <w:rPr>
                <w:rFonts w:ascii="Consolas" w:hAnsi="Consolas"/>
                <w:color w:val="17365D"/>
                <w:sz w:val="16"/>
              </w:rPr>
              <w:t>ragenius_app</w:t>
            </w:r>
            <w:r>
              <w:rPr>
                <w:rFonts w:ascii="Calibri" w:hAnsi="Calibri"/>
                <w:color w:val="1F2937"/>
                <w:sz w:val="17"/>
              </w:rPr>
            </w:r>
          </w:p>
        </w:tc>
        <w:tc>
          <w:tcPr>
            <w:tcW w:type="dxa" w:w="2500"/>
            <w:shd w:fill="F8FAFC"/>
          </w:tcPr>
          <w:p>
            <w:pPr>
              <w:spacing w:before="40" w:after="40" w:line="252" w:lineRule="auto"/>
            </w:pPr>
            <w:r>
              <w:rPr>
                <w:rFonts w:ascii="Calibri" w:hAnsi="Calibri"/>
                <w:color w:val="1F2937"/>
                <w:sz w:val="17"/>
              </w:rPr>
              <w:t>Legacy/reference application</w:t>
            </w:r>
          </w:p>
        </w:tc>
        <w:tc>
          <w:tcPr>
            <w:tcW w:type="dxa" w:w="4960"/>
            <w:shd w:fill="F8FAFC"/>
          </w:tcPr>
          <w:p>
            <w:pPr>
              <w:spacing w:before="40" w:after="40" w:line="252" w:lineRule="auto"/>
            </w:pPr>
            <w:r>
              <w:rPr>
                <w:rFonts w:ascii="Calibri" w:hAnsi="Calibri"/>
                <w:color w:val="1F2937"/>
                <w:sz w:val="17"/>
              </w:rPr>
              <w:t>Preserves earlier schemas, prompts, and intended workflow contracts. It is not the integrated production runtime.</w:t>
            </w:r>
          </w:p>
        </w:tc>
      </w:tr>
    </w:tbl>
    <w:p>
      <w:pPr>
        <w:spacing w:after="40"/>
      </w:pPr>
    </w:p>
    <w:p>
      <w:pPr>
        <w:keepLines w:val="0"/>
        <w:spacing w:before="0" w:after="120" w:line="283" w:lineRule="auto"/>
      </w:pPr>
      <w:r>
        <w:rPr>
          <w:rFonts w:ascii="Calibri" w:hAnsi="Calibri"/>
          <w:color w:val="1F2937"/>
          <w:sz w:val="21"/>
        </w:rPr>
        <w:t xml:space="preserve">Builder is the source of authored application state. The instruction body lives at </w:t>
      </w:r>
      <w:r>
        <w:rPr>
          <w:rFonts w:ascii="Consolas" w:hAnsi="Consolas"/>
          <w:color w:val="17365D"/>
          <w:sz w:val="18"/>
        </w:rPr>
        <w:t>instructions/{app_id}/instructions.md</w:t>
      </w:r>
      <w:r>
        <w:rPr>
          <w:rFonts w:ascii="Calibri" w:hAnsi="Calibri"/>
          <w:color w:val="1F2937"/>
          <w:sz w:val="21"/>
        </w:rPr>
        <w:t>; metadata such as URI, version, checksum, and update time is tracked in the Builder database. This split is intentional. It keeps instructions easy to inspect and version while still supporting database-backed lifecycle metadata.</w:t>
      </w:r>
    </w:p>
    <w:p>
      <w:pPr>
        <w:keepLines w:val="0"/>
        <w:spacing w:before="0" w:after="120" w:line="283" w:lineRule="auto"/>
      </w:pPr>
      <w:r>
        <w:rPr>
          <w:rFonts w:ascii="Calibri" w:hAnsi="Calibri"/>
          <w:color w:val="1F2937"/>
          <w:sz w:val="21"/>
        </w:rPr>
        <w:t>The active runtime consumes Builder state rather than inventing a second application definition. At load time it assembles application metadata, settings, instructions, documents, and compiled understanding into a template registry and graph state. This preserves a one-way responsibility flow: Builder defines; runtime derives and executes; the RAG subsystem retrieves.</w:t>
      </w:r>
    </w:p>
    <w:p>
      <w:pPr>
        <w:spacing w:before="120" w:after="160" w:line="276" w:lineRule="auto"/>
        <w:ind w:left="173" w:right="86"/>
        <w:shd w:fill="EEF4FA"/>
        <w:pBdr>
          <w:left w:val="single" w:sz="18" w:space="8" w:color="2E74B5"/>
        </w:pBdr>
      </w:pPr>
      <w:r>
        <w:rPr>
          <w:rFonts w:ascii="Calibri" w:hAnsi="Calibri"/>
          <w:b/>
          <w:color w:val="2E74B5"/>
          <w:sz w:val="20"/>
        </w:rPr>
        <w:t xml:space="preserve">Isolation invariant. </w:t>
      </w:r>
      <w:r>
        <w:rPr>
          <w:rFonts w:ascii="Calibri" w:hAnsi="Calibri"/>
          <w:color w:val="1F2937"/>
          <w:sz w:val="20"/>
        </w:rPr>
        <w:t>Every instruction model, document catalog, snapshot, planner decision, and retrieval request must remain application-scoped. A reusable compiler implementation does not imply a shared semantic model across apps.</w:t>
      </w:r>
    </w:p>
    <w:p>
      <w:pPr>
        <w:spacing w:before="40" w:after="160"/>
        <w:ind w:left="259"/>
      </w:pPr>
      <w:r>
        <w:rPr>
          <w:rFonts w:ascii="Calibri" w:hAnsi="Calibri"/>
          <w:b/>
          <w:color w:val="2E74B5"/>
          <w:sz w:val="17"/>
        </w:rPr>
        <w:t xml:space="preserve">Repository note. </w:t>
      </w:r>
      <w:r>
        <w:rPr>
          <w:rFonts w:ascii="Calibri" w:hAnsi="Calibri"/>
          <w:i/>
          <w:color w:val="5B6573"/>
          <w:sz w:val="17"/>
        </w:rPr>
        <w:t>See `ragenius_builder/flask_scaffold/storage.py`, `ragenius_app_skeleton/README.md`, and the repository `AGENTS.md`.</w:t>
      </w:r>
    </w:p>
    <w:p>
      <w:pPr>
        <w:pStyle w:val="Heading1"/>
        <w:keepNext/>
      </w:pPr>
      <w:r>
        <w:t>3. What instruction understanding means</w:t>
      </w:r>
    </w:p>
    <w:p>
      <w:pPr>
        <w:keepLines w:val="0"/>
        <w:spacing w:before="0" w:after="120" w:line="283" w:lineRule="auto"/>
      </w:pPr>
      <w:r>
        <w:rPr>
          <w:rFonts w:ascii="Calibri" w:hAnsi="Calibri"/>
          <w:color w:val="1F2937"/>
          <w:sz w:val="21"/>
        </w:rPr>
        <w:t xml:space="preserve">In RAGenius, 'understanding' is not a claim that the model has human comprehension. It names a </w:t>
      </w:r>
      <w:r>
        <w:rPr>
          <w:rFonts w:ascii="Calibri" w:hAnsi="Calibri"/>
          <w:b/>
          <w:color w:val="1F2937"/>
          <w:sz w:val="21"/>
        </w:rPr>
        <w:t>compiled representation of operational meaning</w:t>
      </w:r>
      <w:r>
        <w:rPr>
          <w:rFonts w:ascii="Calibri" w:hAnsi="Calibri"/>
          <w:color w:val="1F2937"/>
          <w:sz w:val="21"/>
        </w:rPr>
        <w:t>. The artifact answers questions that raw Markdown leaves implicit: What kind of service is this app? Which workflows are executable? When should a role or module be selected? Which step is active? Which resources belong to that step? When must the runtime ask for clarification?</w:t>
      </w:r>
    </w:p>
    <w:p>
      <w:pPr>
        <w:keepLines w:val="0"/>
        <w:spacing w:before="0" w:after="120" w:line="283" w:lineRule="auto"/>
      </w:pPr>
      <w:r>
        <w:rPr>
          <w:rFonts w:ascii="Calibri" w:hAnsi="Calibri"/>
          <w:color w:val="1F2937"/>
          <w:sz w:val="21"/>
        </w:rPr>
        <w:t>The architecture separates five layers. Each layer has a different producer and purpose; confusing them leads directly to design and debugging errors.</w:t>
      </w:r>
    </w:p>
    <w:p>
      <w:pPr>
        <w:spacing w:before="80" w:after="60"/>
        <w:jc w:val="center"/>
      </w:pPr>
      <w:r>
        <w:drawing>
          <wp:inline xmlns:a="http://schemas.openxmlformats.org/drawingml/2006/main" xmlns:pic="http://schemas.openxmlformats.org/drawingml/2006/picture">
            <wp:extent cx="5760720" cy="3320886"/>
            <wp:docPr id="1" name="Layers of RAGenius instruction understanding" title="Layers of RAGenius instruction understanding" descr="Five stacked layers: authored Markdown, deterministic structural contract, LLM semantic model, hybrid runtime model, and compatibility projection."/>
            <wp:cNvGraphicFramePr>
              <a:graphicFrameLocks noChangeAspect="1"/>
            </wp:cNvGraphicFramePr>
            <a:graphic>
              <a:graphicData uri="http://schemas.openxmlformats.org/drawingml/2006/picture">
                <pic:pic>
                  <pic:nvPicPr>
                    <pic:cNvPr id="0" name="layers.png"/>
                    <pic:cNvPicPr/>
                  </pic:nvPicPr>
                  <pic:blipFill>
                    <a:blip r:embed="rId11"/>
                    <a:stretch>
                      <a:fillRect/>
                    </a:stretch>
                  </pic:blipFill>
                  <pic:spPr>
                    <a:xfrm>
                      <a:off x="0" y="0"/>
                      <a:ext cx="5760720" cy="3320886"/>
                    </a:xfrm>
                    <a:prstGeom prst="rect"/>
                  </pic:spPr>
                </pic:pic>
              </a:graphicData>
            </a:graphic>
          </wp:inline>
        </w:drawing>
      </w:r>
    </w:p>
    <w:p>
      <w:pPr>
        <w:spacing w:before="0" w:after="160"/>
        <w:jc w:val="center"/>
      </w:pPr>
      <w:r>
        <w:rPr>
          <w:rFonts w:ascii="Calibri" w:hAnsi="Calibri"/>
          <w:i/>
          <w:color w:val="5B6573"/>
          <w:sz w:val="17"/>
        </w:rPr>
        <w:t>Figure 1. Instruction understanding is layered, not a single prompt or single JSON transformation.</w:t>
      </w:r>
    </w:p>
    <w:tbl>
      <w:tblPr>
        <w:tblStyle w:val="TableGrid"/>
        <w:tblW w:type="dxa" w:w="9360"/>
        <w:jc w:val="left"/>
        <w:tblLayout w:type="fixed"/>
        <w:tblLook w:firstColumn="1" w:firstRow="1" w:lastColumn="0" w:lastRow="0" w:noHBand="0" w:noVBand="1" w:val="04A0"/>
        <w:tblInd w:w="120" w:type="dxa"/>
      </w:tblPr>
      <w:tblGrid>
        <w:gridCol w:w="1750"/>
        <w:gridCol w:w="2600"/>
        <w:gridCol w:w="5010"/>
      </w:tblGrid>
      <w:tr>
        <w:trPr>
          <w:tblHeader w:val="true"/>
        </w:trPr>
        <w:tc>
          <w:tcPr>
            <w:tcW w:type="dxa" w:w="1750"/>
            <w:tcMar>
              <w:top w:w="80" w:type="dxa"/>
              <w:start w:w="120" w:type="dxa"/>
              <w:bottom w:w="80" w:type="dxa"/>
              <w:end w:w="120" w:type="dxa"/>
            </w:tcMar>
            <w:vAlign w:val="center"/>
            <w:shd w:fill="DCE6F1"/>
          </w:tcPr>
          <w:p>
            <w:pPr>
              <w:spacing w:before="40" w:after="40"/>
              <w:jc w:val="left"/>
            </w:pPr>
            <w:r>
              <w:rPr>
                <w:rFonts w:ascii="Calibri" w:hAnsi="Calibri"/>
                <w:b/>
                <w:color w:val="17365D"/>
                <w:sz w:val="17"/>
              </w:rPr>
              <w:t>Layer</w:t>
            </w:r>
          </w:p>
        </w:tc>
        <w:tc>
          <w:tcPr>
            <w:tcW w:type="dxa" w:w="2600"/>
            <w:tcMar>
              <w:top w:w="80" w:type="dxa"/>
              <w:start w:w="120" w:type="dxa"/>
              <w:bottom w:w="80" w:type="dxa"/>
              <w:end w:w="120" w:type="dxa"/>
            </w:tcMar>
            <w:vAlign w:val="center"/>
            <w:shd w:fill="DCE6F1"/>
          </w:tcPr>
          <w:p>
            <w:pPr>
              <w:spacing w:before="40" w:after="40"/>
              <w:jc w:val="left"/>
            </w:pPr>
            <w:r>
              <w:rPr>
                <w:rFonts w:ascii="Calibri" w:hAnsi="Calibri"/>
                <w:b/>
                <w:color w:val="17365D"/>
                <w:sz w:val="17"/>
              </w:rPr>
              <w:t>Primary producer</w:t>
            </w:r>
          </w:p>
        </w:tc>
        <w:tc>
          <w:tcPr>
            <w:tcW w:type="dxa" w:w="5010"/>
            <w:tcMar>
              <w:top w:w="80" w:type="dxa"/>
              <w:start w:w="120" w:type="dxa"/>
              <w:bottom w:w="80" w:type="dxa"/>
              <w:end w:w="120" w:type="dxa"/>
            </w:tcMar>
            <w:vAlign w:val="center"/>
            <w:shd w:fill="DCE6F1"/>
          </w:tcPr>
          <w:p>
            <w:pPr>
              <w:spacing w:before="40" w:after="40"/>
              <w:jc w:val="left"/>
            </w:pPr>
            <w:r>
              <w:rPr>
                <w:rFonts w:ascii="Calibri" w:hAnsi="Calibri"/>
                <w:b/>
                <w:color w:val="17365D"/>
                <w:sz w:val="17"/>
              </w:rPr>
              <w:t>Purpose</w:t>
            </w:r>
          </w:p>
        </w:tc>
      </w:tr>
      <w:tr>
        <w:tc>
          <w:tcPr>
            <w:tcW w:type="dxa" w:w="1750"/>
          </w:tcPr>
          <w:p>
            <w:pPr>
              <w:spacing w:before="40" w:after="40" w:line="252" w:lineRule="auto"/>
            </w:pPr>
            <w:r>
              <w:rPr>
                <w:rFonts w:ascii="Calibri" w:hAnsi="Calibri"/>
                <w:color w:val="1F2937"/>
                <w:sz w:val="17"/>
              </w:rPr>
              <w:t>Authored source</w:t>
            </w:r>
          </w:p>
        </w:tc>
        <w:tc>
          <w:tcPr>
            <w:tcW w:type="dxa" w:w="2600"/>
          </w:tcPr>
          <w:p>
            <w:pPr>
              <w:spacing w:before="40" w:after="40" w:line="252" w:lineRule="auto"/>
            </w:pPr>
            <w:r>
              <w:rPr>
                <w:rFonts w:ascii="Calibri" w:hAnsi="Calibri"/>
                <w:color w:val="1F2937"/>
                <w:sz w:val="17"/>
              </w:rPr>
              <w:t>Application designer in Builder</w:t>
            </w:r>
          </w:p>
        </w:tc>
        <w:tc>
          <w:tcPr>
            <w:tcW w:type="dxa" w:w="5010"/>
          </w:tcPr>
          <w:p>
            <w:pPr>
              <w:spacing w:before="40" w:after="40" w:line="252" w:lineRule="auto"/>
            </w:pPr>
            <w:r>
              <w:rPr>
                <w:rFonts w:ascii="Calibri" w:hAnsi="Calibri"/>
                <w:color w:val="1F2937"/>
                <w:sz w:val="17"/>
              </w:rPr>
              <w:t>Readable intent: mission, policies, workflows, examples, modules, steps, and resource references.</w:t>
            </w:r>
          </w:p>
        </w:tc>
      </w:tr>
      <w:tr>
        <w:tc>
          <w:tcPr>
            <w:tcW w:type="dxa" w:w="1750"/>
            <w:shd w:fill="F8FAFC"/>
          </w:tcPr>
          <w:p>
            <w:pPr>
              <w:spacing w:before="40" w:after="40" w:line="252" w:lineRule="auto"/>
            </w:pPr>
            <w:r>
              <w:rPr>
                <w:rFonts w:ascii="Calibri" w:hAnsi="Calibri"/>
                <w:color w:val="1F2937"/>
                <w:sz w:val="17"/>
              </w:rPr>
              <w:t>Deterministic contract</w:t>
            </w:r>
          </w:p>
        </w:tc>
        <w:tc>
          <w:tcPr>
            <w:tcW w:type="dxa" w:w="2600"/>
            <w:shd w:fill="F8FAFC"/>
          </w:tcPr>
          <w:p>
            <w:pPr>
              <w:spacing w:before="40" w:after="40" w:line="252" w:lineRule="auto"/>
            </w:pPr>
            <w:r>
              <w:rPr>
                <w:rFonts w:ascii="Calibri" w:hAnsi="Calibri"/>
                <w:color w:val="1F2937"/>
                <w:sz w:val="17"/>
              </w:rPr>
              <w:t>Parser and registry helpers</w:t>
            </w:r>
          </w:p>
        </w:tc>
        <w:tc>
          <w:tcPr>
            <w:tcW w:type="dxa" w:w="5010"/>
            <w:shd w:fill="F8FAFC"/>
          </w:tcPr>
          <w:p>
            <w:pPr>
              <w:spacing w:before="40" w:after="40" w:line="252" w:lineRule="auto"/>
            </w:pPr>
            <w:r>
              <w:rPr>
                <w:rFonts w:ascii="Calibri" w:hAnsi="Calibri"/>
                <w:color w:val="1F2937"/>
                <w:sz w:val="17"/>
              </w:rPr>
              <w:t>Extract grounded candidates and parser-derived runtime fields reproducibly.</w:t>
            </w:r>
          </w:p>
        </w:tc>
      </w:tr>
      <w:tr>
        <w:tc>
          <w:tcPr>
            <w:tcW w:type="dxa" w:w="1750"/>
          </w:tcPr>
          <w:p>
            <w:pPr>
              <w:spacing w:before="40" w:after="40" w:line="252" w:lineRule="auto"/>
            </w:pPr>
            <w:r>
              <w:rPr>
                <w:rFonts w:ascii="Calibri" w:hAnsi="Calibri"/>
                <w:color w:val="1F2937"/>
                <w:sz w:val="17"/>
              </w:rPr>
            </w:r>
            <w:r>
              <w:rPr>
                <w:rFonts w:ascii="Consolas" w:hAnsi="Consolas"/>
                <w:color w:val="17365D"/>
                <w:sz w:val="16"/>
              </w:rPr>
              <w:t>app_semantic_model</w:t>
            </w:r>
            <w:r>
              <w:rPr>
                <w:rFonts w:ascii="Calibri" w:hAnsi="Calibri"/>
                <w:color w:val="1F2937"/>
                <w:sz w:val="17"/>
              </w:rPr>
            </w:r>
          </w:p>
        </w:tc>
        <w:tc>
          <w:tcPr>
            <w:tcW w:type="dxa" w:w="2600"/>
          </w:tcPr>
          <w:p>
            <w:pPr>
              <w:spacing w:before="40" w:after="40" w:line="252" w:lineRule="auto"/>
            </w:pPr>
            <w:r>
              <w:rPr>
                <w:rFonts w:ascii="Calibri" w:hAnsi="Calibri"/>
                <w:color w:val="1F2937"/>
                <w:sz w:val="17"/>
              </w:rPr>
              <w:t>Configured LLM semantic compiler</w:t>
            </w:r>
          </w:p>
        </w:tc>
        <w:tc>
          <w:tcPr>
            <w:tcW w:type="dxa" w:w="5010"/>
          </w:tcPr>
          <w:p>
            <w:pPr>
              <w:spacing w:before="40" w:after="40" w:line="252" w:lineRule="auto"/>
            </w:pPr>
            <w:r>
              <w:rPr>
                <w:rFonts w:ascii="Calibri" w:hAnsi="Calibri"/>
                <w:color w:val="1F2937"/>
                <w:sz w:val="17"/>
              </w:rPr>
              <w:t>Interpret meaning and relationships among the supplied candidates.</w:t>
            </w:r>
          </w:p>
        </w:tc>
      </w:tr>
      <w:tr>
        <w:tc>
          <w:tcPr>
            <w:tcW w:type="dxa" w:w="1750"/>
            <w:shd w:fill="F8FAFC"/>
          </w:tcPr>
          <w:p>
            <w:pPr>
              <w:spacing w:before="40" w:after="40" w:line="252" w:lineRule="auto"/>
            </w:pPr>
            <w:r>
              <w:rPr>
                <w:rFonts w:ascii="Calibri" w:hAnsi="Calibri"/>
                <w:color w:val="1F2937"/>
                <w:sz w:val="17"/>
              </w:rPr>
              <w:t>Hybrid runtime model</w:t>
            </w:r>
          </w:p>
        </w:tc>
        <w:tc>
          <w:tcPr>
            <w:tcW w:type="dxa" w:w="2600"/>
            <w:shd w:fill="F8FAFC"/>
          </w:tcPr>
          <w:p>
            <w:pPr>
              <w:spacing w:before="40" w:after="40" w:line="252" w:lineRule="auto"/>
            </w:pPr>
            <w:r>
              <w:rPr>
                <w:rFonts w:ascii="Calibri" w:hAnsi="Calibri"/>
                <w:color w:val="1F2937"/>
                <w:sz w:val="17"/>
              </w:rPr>
              <w:t>Grounding, validation, and projection code</w:t>
            </w:r>
          </w:p>
        </w:tc>
        <w:tc>
          <w:tcPr>
            <w:tcW w:type="dxa" w:w="5010"/>
            <w:shd w:fill="F8FAFC"/>
          </w:tcPr>
          <w:p>
            <w:pPr>
              <w:spacing w:before="40" w:after="40" w:line="252" w:lineRule="auto"/>
            </w:pPr>
            <w:r>
              <w:rPr>
                <w:rFonts w:ascii="Calibri" w:hAnsi="Calibri"/>
                <w:color w:val="1F2937"/>
                <w:sz w:val="17"/>
              </w:rPr>
              <w:t>Turn valid semantics into a canonical executable contract.</w:t>
            </w:r>
          </w:p>
        </w:tc>
      </w:tr>
      <w:tr>
        <w:tc>
          <w:tcPr>
            <w:tcW w:type="dxa" w:w="1750"/>
          </w:tcPr>
          <w:p>
            <w:pPr>
              <w:spacing w:before="40" w:after="40" w:line="252" w:lineRule="auto"/>
            </w:pPr>
            <w:r>
              <w:rPr>
                <w:rFonts w:ascii="Calibri" w:hAnsi="Calibri"/>
                <w:color w:val="1F2937"/>
                <w:sz w:val="17"/>
              </w:rPr>
              <w:t>Compatibility model</w:t>
            </w:r>
          </w:p>
        </w:tc>
        <w:tc>
          <w:tcPr>
            <w:tcW w:type="dxa" w:w="2600"/>
          </w:tcPr>
          <w:p>
            <w:pPr>
              <w:spacing w:before="40" w:after="40" w:line="252" w:lineRule="auto"/>
            </w:pPr>
            <w:r>
              <w:rPr>
                <w:rFonts w:ascii="Calibri" w:hAnsi="Calibri"/>
                <w:color w:val="1F2937"/>
                <w:sz w:val="17"/>
              </w:rPr>
              <w:t>Projection layer</w:t>
            </w:r>
          </w:p>
        </w:tc>
        <w:tc>
          <w:tcPr>
            <w:tcW w:type="dxa" w:w="5010"/>
          </w:tcPr>
          <w:p>
            <w:pPr>
              <w:spacing w:before="40" w:after="40" w:line="252" w:lineRule="auto"/>
            </w:pPr>
            <w:r>
              <w:rPr>
                <w:rFonts w:ascii="Calibri" w:hAnsi="Calibri"/>
                <w:color w:val="1F2937"/>
                <w:sz w:val="17"/>
              </w:rPr>
              <w:t xml:space="preserve">Expose stable </w:t>
            </w:r>
            <w:r>
              <w:rPr>
                <w:rFonts w:ascii="Consolas" w:hAnsi="Consolas"/>
                <w:color w:val="17365D"/>
                <w:sz w:val="16"/>
              </w:rPr>
              <w:t>instruction_runtime_model</w:t>
            </w:r>
            <w:r>
              <w:rPr>
                <w:rFonts w:ascii="Calibri" w:hAnsi="Calibri"/>
                <w:color w:val="1F2937"/>
                <w:sz w:val="17"/>
              </w:rPr>
              <w:t xml:space="preserve"> fields to existing consumers.</w:t>
            </w:r>
          </w:p>
        </w:tc>
      </w:tr>
    </w:tbl>
    <w:p>
      <w:pPr>
        <w:spacing w:after="40"/>
      </w:pPr>
    </w:p>
    <w:p>
      <w:pPr>
        <w:keepLines w:val="0"/>
        <w:spacing w:before="0" w:after="120" w:line="283" w:lineRule="auto"/>
      </w:pPr>
      <w:r>
        <w:rPr>
          <w:rFonts w:ascii="Calibri" w:hAnsi="Calibri"/>
          <w:color w:val="1F2937"/>
          <w:sz w:val="21"/>
        </w:rPr>
        <w:t>This layering explains why the compiled artifact is more than a summary. It contains runtime identities, references, validation metadata, source hashes, version markers, and execution-relevant structures. The artifact can be cached, compared, reviewed, restored, published, or rejected. A summary cannot provide those lifecycle guarantees.</w:t>
      </w:r>
    </w:p>
    <w:p>
      <w:pPr>
        <w:keepLines w:val="0"/>
        <w:spacing w:before="0" w:after="120" w:line="283" w:lineRule="auto"/>
      </w:pPr>
      <w:r>
        <w:rPr>
          <w:rFonts w:ascii="Calibri" w:hAnsi="Calibri"/>
          <w:color w:val="1F2937"/>
          <w:sz w:val="21"/>
        </w:rPr>
        <w:t xml:space="preserve">The Builder inspection contract captures the operational distinction neatly: Markdown preview answers </w:t>
      </w:r>
      <w:r>
        <w:rPr>
          <w:rFonts w:ascii="Calibri" w:hAnsi="Calibri"/>
          <w:b/>
          <w:color w:val="1F2937"/>
          <w:sz w:val="21"/>
        </w:rPr>
        <w:t>what the designer wrote</w:t>
      </w:r>
      <w:r>
        <w:rPr>
          <w:rFonts w:ascii="Calibri" w:hAnsi="Calibri"/>
          <w:color w:val="1F2937"/>
          <w:sz w:val="21"/>
        </w:rPr>
        <w:t xml:space="preserve">; Runtime Model answers </w:t>
      </w:r>
      <w:r>
        <w:rPr>
          <w:rFonts w:ascii="Calibri" w:hAnsi="Calibri"/>
          <w:b/>
          <w:color w:val="1F2937"/>
          <w:sz w:val="21"/>
        </w:rPr>
        <w:t>what the runtime compiled and uses</w:t>
      </w:r>
      <w:r>
        <w:rPr>
          <w:rFonts w:ascii="Calibri" w:hAnsi="Calibri"/>
          <w:color w:val="1F2937"/>
          <w:sz w:val="21"/>
        </w:rPr>
        <w:t>. A friendly UI projection is allowed, but it must derive from the same compiled artifact rather than re-parsing Markdown with Builder-only heuristics.</w:t>
      </w:r>
    </w:p>
    <w:p>
      <w:pPr>
        <w:spacing w:before="40" w:after="160"/>
        <w:ind w:left="259"/>
      </w:pPr>
      <w:r>
        <w:rPr>
          <w:rFonts w:ascii="Calibri" w:hAnsi="Calibri"/>
          <w:b/>
          <w:color w:val="2E74B5"/>
          <w:sz w:val="17"/>
        </w:rPr>
        <w:t xml:space="preserve">Repository note. </w:t>
      </w:r>
      <w:r>
        <w:rPr>
          <w:rFonts w:ascii="Calibri" w:hAnsi="Calibri"/>
          <w:i/>
          <w:color w:val="5B6573"/>
          <w:sz w:val="17"/>
        </w:rPr>
        <w:t>The model/display distinction comes from `ragenius_builder/docs/builder_gui_instruction_model_contract.md`; the layer implementation comes from `instruction_understanding_service.py` and `load_template_registry.py`.</w:t>
      </w:r>
    </w:p>
    <w:p>
      <w:pPr>
        <w:pStyle w:val="Heading1"/>
        <w:keepNext/>
      </w:pPr>
      <w:r>
        <w:t>4. The compilation pipeline</w:t>
      </w:r>
    </w:p>
    <w:p>
      <w:pPr>
        <w:keepLines w:val="0"/>
        <w:spacing w:before="0" w:after="120" w:line="283" w:lineRule="auto"/>
      </w:pPr>
      <w:r>
        <w:rPr>
          <w:rFonts w:ascii="Calibri" w:hAnsi="Calibri"/>
          <w:color w:val="1F2937"/>
          <w:sz w:val="21"/>
        </w:rPr>
        <w:t>The compilation pipeline is the heart of the RAGenius instruction-understanding model. Its most important stage is LLM semantic interpretation, but that stage is deliberately surrounded by deterministic controls. The pipeline can be understood as ten operations.</w:t>
      </w:r>
    </w:p>
    <w:p>
      <w:pPr>
        <w:pStyle w:val="ListNumber"/>
        <w:keepLines w:val="0"/>
        <w:spacing w:before="0" w:after="80" w:line="276" w:lineRule="auto"/>
        <w:ind w:left="720" w:hanging="360"/>
      </w:pPr>
      <w:r>
        <w:rPr>
          <w:rFonts w:ascii="Calibri" w:hAnsi="Calibri"/>
          <w:b/>
          <w:color w:val="1F2937"/>
          <w:sz w:val="21"/>
        </w:rPr>
        <w:t>Load application-scoped sources.</w:t>
      </w:r>
      <w:r>
        <w:rPr>
          <w:rFonts w:ascii="Calibri" w:hAnsi="Calibri"/>
          <w:color w:val="1F2937"/>
          <w:sz w:val="21"/>
        </w:rPr>
        <w:t xml:space="preserve"> The runtime loads the Markdown instruction body and the registered document catalog for one </w:t>
      </w:r>
      <w:r>
        <w:rPr>
          <w:rFonts w:ascii="Consolas" w:hAnsi="Consolas"/>
          <w:color w:val="17365D"/>
          <w:sz w:val="18"/>
        </w:rPr>
        <w:t>app_id</w:t>
      </w:r>
      <w:r>
        <w:rPr>
          <w:rFonts w:ascii="Calibri" w:hAnsi="Calibri"/>
          <w:color w:val="1F2937"/>
          <w:sz w:val="21"/>
        </w:rPr>
        <w:t>.</w:t>
      </w:r>
    </w:p>
    <w:p>
      <w:pPr>
        <w:pStyle w:val="ListNumber"/>
        <w:keepLines w:val="0"/>
        <w:spacing w:before="0" w:after="80" w:line="276" w:lineRule="auto"/>
        <w:ind w:left="720" w:hanging="360"/>
      </w:pPr>
      <w:r>
        <w:rPr>
          <w:rFonts w:ascii="Calibri" w:hAnsi="Calibri"/>
          <w:b/>
          <w:color w:val="1F2937"/>
          <w:sz w:val="21"/>
        </w:rPr>
        <w:t>Normalize and fingerprint inputs.</w:t>
      </w:r>
      <w:r>
        <w:rPr>
          <w:rFonts w:ascii="Calibri" w:hAnsi="Calibri"/>
          <w:color w:val="1F2937"/>
          <w:sz w:val="21"/>
        </w:rPr>
        <w:t xml:space="preserve"> It normalizes instruction line endings and hashes the instruction body. It separately normalizes document metadata and hashes the resource catalog.</w:t>
      </w:r>
    </w:p>
    <w:p>
      <w:pPr>
        <w:pStyle w:val="ListNumber"/>
        <w:keepLines w:val="0"/>
        <w:spacing w:before="0" w:after="80" w:line="276" w:lineRule="auto"/>
        <w:ind w:left="720" w:hanging="360"/>
      </w:pPr>
      <w:r>
        <w:rPr>
          <w:rFonts w:ascii="Calibri" w:hAnsi="Calibri"/>
          <w:b/>
          <w:color w:val="1F2937"/>
          <w:sz w:val="21"/>
        </w:rPr>
        <w:t>Build deterministic evidence.</w:t>
      </w:r>
      <w:r>
        <w:rPr>
          <w:rFonts w:ascii="Calibri" w:hAnsi="Calibri"/>
          <w:color w:val="1F2937"/>
          <w:sz w:val="21"/>
        </w:rPr>
        <w:t xml:space="preserve"> Parser helpers extract a heading tree, structural candidate graph, blocks, workflows, procedures, steps, roles, trigger candidates, policies, resource references, and an initial parser runtime model.</w:t>
      </w:r>
    </w:p>
    <w:p>
      <w:pPr>
        <w:pStyle w:val="ListNumber"/>
        <w:keepLines w:val="0"/>
        <w:spacing w:before="0" w:after="80" w:line="276" w:lineRule="auto"/>
        <w:ind w:left="720" w:hanging="360"/>
      </w:pPr>
      <w:r>
        <w:rPr>
          <w:rFonts w:ascii="Calibri" w:hAnsi="Calibri"/>
          <w:b/>
          <w:color w:val="1F2937"/>
          <w:sz w:val="21"/>
        </w:rPr>
        <w:t>Invoke the LLM semantic compiler.</w:t>
      </w:r>
      <w:r>
        <w:rPr>
          <w:rFonts w:ascii="Calibri" w:hAnsi="Calibri"/>
          <w:color w:val="1F2937"/>
          <w:sz w:val="21"/>
        </w:rPr>
        <w:t xml:space="preserve"> If a task model is configured, RAGenius passes the bounded deterministic context to the </w:t>
      </w:r>
      <w:r>
        <w:rPr>
          <w:rFonts w:ascii="Consolas" w:hAnsi="Consolas"/>
          <w:color w:val="17365D"/>
          <w:sz w:val="18"/>
        </w:rPr>
        <w:t>instruction_understanding_compile</w:t>
      </w:r>
      <w:r>
        <w:rPr>
          <w:rFonts w:ascii="Calibri" w:hAnsi="Calibri"/>
          <w:color w:val="1F2937"/>
          <w:sz w:val="21"/>
        </w:rPr>
        <w:t xml:space="preserve"> task. The tool response must contain an </w:t>
      </w:r>
      <w:r>
        <w:rPr>
          <w:rFonts w:ascii="Consolas" w:hAnsi="Consolas"/>
          <w:color w:val="17365D"/>
          <w:sz w:val="18"/>
        </w:rPr>
        <w:t>app_semantic_model</w:t>
      </w:r>
      <w:r>
        <w:rPr>
          <w:rFonts w:ascii="Calibri" w:hAnsi="Calibri"/>
          <w:color w:val="1F2937"/>
          <w:sz w:val="21"/>
        </w:rPr>
        <w:t xml:space="preserve"> object.</w:t>
      </w:r>
    </w:p>
    <w:p>
      <w:pPr>
        <w:pStyle w:val="ListNumber"/>
        <w:keepLines w:val="0"/>
        <w:spacing w:before="0" w:after="80" w:line="276" w:lineRule="auto"/>
        <w:ind w:left="720" w:hanging="360"/>
      </w:pPr>
      <w:r>
        <w:rPr>
          <w:rFonts w:ascii="Calibri" w:hAnsi="Calibri"/>
          <w:b/>
          <w:color w:val="1F2937"/>
          <w:sz w:val="21"/>
        </w:rPr>
        <w:t>Interpret operational meaning.</w:t>
      </w:r>
      <w:r>
        <w:rPr>
          <w:rFonts w:ascii="Calibri" w:hAnsi="Calibri"/>
          <w:color w:val="1F2937"/>
          <w:sz w:val="21"/>
        </w:rPr>
        <w:t xml:space="preserve"> The LLM determines relationships that are hard to recover from syntax alone: primary service mode, workflow status, role behavior, routing intent, module orchestration, clarification gates, and resource bindings.</w:t>
      </w:r>
    </w:p>
    <w:p>
      <w:pPr>
        <w:pStyle w:val="ListNumber"/>
        <w:keepLines w:val="0"/>
        <w:spacing w:before="0" w:after="80" w:line="276" w:lineRule="auto"/>
        <w:ind w:left="720" w:hanging="360"/>
      </w:pPr>
      <w:r>
        <w:rPr>
          <w:rFonts w:ascii="Calibri" w:hAnsi="Calibri"/>
          <w:b/>
          <w:color w:val="1F2937"/>
          <w:sz w:val="21"/>
        </w:rPr>
        <w:t>Canonicalize and ground.</w:t>
      </w:r>
      <w:r>
        <w:rPr>
          <w:rFonts w:ascii="Calibri" w:hAnsi="Calibri"/>
          <w:color w:val="1F2937"/>
          <w:sz w:val="21"/>
        </w:rPr>
        <w:t xml:space="preserve"> Provider-specific names and identifiers are normalized. Semantic claims are reconciled with deterministic candidates so that the LLM cannot freely create unsupported structures.</w:t>
      </w:r>
    </w:p>
    <w:p>
      <w:pPr>
        <w:pStyle w:val="ListNumber"/>
        <w:keepLines w:val="0"/>
        <w:spacing w:before="0" w:after="80" w:line="276" w:lineRule="auto"/>
        <w:ind w:left="720" w:hanging="360"/>
      </w:pPr>
      <w:r>
        <w:rPr>
          <w:rFonts w:ascii="Calibri" w:hAnsi="Calibri"/>
          <w:b/>
          <w:color w:val="1F2937"/>
          <w:sz w:val="21"/>
        </w:rPr>
        <w:t>Validate the semantic candidate.</w:t>
      </w:r>
      <w:r>
        <w:rPr>
          <w:rFonts w:ascii="Calibri" w:hAnsi="Calibri"/>
          <w:color w:val="1F2937"/>
          <w:sz w:val="21"/>
        </w:rPr>
        <w:t xml:space="preserve"> Code checks modes, defaults, target references, executable steps, role and module links, clarification gates, resource references, and orchestration constraints.</w:t>
      </w:r>
    </w:p>
    <w:p>
      <w:pPr>
        <w:pStyle w:val="ListNumber"/>
        <w:keepLines w:val="0"/>
        <w:spacing w:before="0" w:after="80" w:line="276" w:lineRule="auto"/>
        <w:ind w:left="720" w:hanging="360"/>
      </w:pPr>
      <w:r>
        <w:rPr>
          <w:rFonts w:ascii="Calibri" w:hAnsi="Calibri"/>
          <w:b/>
          <w:color w:val="1F2937"/>
          <w:sz w:val="21"/>
        </w:rPr>
        <w:t>Build the hybrid runtime model.</w:t>
      </w:r>
      <w:r>
        <w:rPr>
          <w:rFonts w:ascii="Calibri" w:hAnsi="Calibri"/>
          <w:color w:val="1F2937"/>
          <w:sz w:val="21"/>
        </w:rPr>
        <w:t xml:space="preserve"> A valid semantic candidate is combined with grounded deterministic structures into </w:t>
      </w:r>
      <w:r>
        <w:rPr>
          <w:rFonts w:ascii="Consolas" w:hAnsi="Consolas"/>
          <w:color w:val="17365D"/>
          <w:sz w:val="18"/>
        </w:rPr>
        <w:t>hybrid_instruction_runtime_model</w:t>
      </w:r>
      <w:r>
        <w:rPr>
          <w:rFonts w:ascii="Calibri" w:hAnsi="Calibri"/>
          <w:color w:val="1F2937"/>
          <w:sz w:val="21"/>
        </w:rPr>
        <w:t>.</w:t>
      </w:r>
    </w:p>
    <w:p>
      <w:pPr>
        <w:pStyle w:val="ListNumber"/>
        <w:keepLines w:val="0"/>
        <w:spacing w:before="0" w:after="80" w:line="276" w:lineRule="auto"/>
        <w:ind w:left="720" w:hanging="360"/>
      </w:pPr>
      <w:r>
        <w:rPr>
          <w:rFonts w:ascii="Calibri" w:hAnsi="Calibri"/>
          <w:b/>
          <w:color w:val="1F2937"/>
          <w:sz w:val="21"/>
        </w:rPr>
        <w:t>Project compatibility fields.</w:t>
      </w:r>
      <w:r>
        <w:rPr>
          <w:rFonts w:ascii="Calibri" w:hAnsi="Calibri"/>
          <w:color w:val="1F2937"/>
          <w:sz w:val="21"/>
        </w:rPr>
        <w:t xml:space="preserve"> The hybrid model updates </w:t>
      </w:r>
      <w:r>
        <w:rPr>
          <w:rFonts w:ascii="Consolas" w:hAnsi="Consolas"/>
          <w:color w:val="17365D"/>
          <w:sz w:val="18"/>
        </w:rPr>
        <w:t>instruction_runtime_model</w:t>
      </w:r>
      <w:r>
        <w:rPr>
          <w:rFonts w:ascii="Calibri" w:hAnsi="Calibri"/>
          <w:color w:val="1F2937"/>
          <w:sz w:val="21"/>
        </w:rPr>
        <w:t xml:space="preserve"> and top-level compatibility collections used by existing runtime consumers.</w:t>
      </w:r>
    </w:p>
    <w:p>
      <w:pPr>
        <w:pStyle w:val="ListNumber"/>
        <w:keepLines w:val="0"/>
        <w:spacing w:before="0" w:after="80" w:line="276" w:lineRule="auto"/>
        <w:ind w:left="720" w:hanging="360"/>
      </w:pPr>
      <w:r>
        <w:rPr>
          <w:rFonts w:ascii="Calibri" w:hAnsi="Calibri"/>
          <w:b/>
          <w:color w:val="1F2937"/>
          <w:sz w:val="21"/>
        </w:rPr>
        <w:t>Persist and publish conditionally.</w:t>
      </w:r>
      <w:r>
        <w:rPr>
          <w:rFonts w:ascii="Calibri" w:hAnsi="Calibri"/>
          <w:color w:val="1F2937"/>
          <w:sz w:val="21"/>
        </w:rPr>
        <w:t xml:space="preserve"> The attempt is stored and snapshotted. A valid semantic result can become active; an invalid result remains diagnostic-only while a prior valid active record is preserved.</w:t>
      </w:r>
    </w:p>
    <w:p>
      <w:pPr>
        <w:spacing w:before="80" w:after="60"/>
        <w:jc w:val="center"/>
      </w:pPr>
      <w:r>
        <w:drawing>
          <wp:inline xmlns:a="http://schemas.openxmlformats.org/drawingml/2006/main" xmlns:pic="http://schemas.openxmlformats.org/drawingml/2006/picture">
            <wp:extent cx="5806440" cy="2999994"/>
            <wp:docPr id="2" name="RAGenius compilation pipeline" title="RAGenius compilation pipeline" descr="Pipeline from Builder Markdown and registered documents through deterministic parsing, LLM semantic compilation, grounding, validation, hybrid model, compatibility projection, active snapshot, and planner. An invalid branch preserves the last valid model."/>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06440" cy="2999994"/>
                    </a:xfrm>
                    <a:prstGeom prst="rect"/>
                  </pic:spPr>
                </pic:pic>
              </a:graphicData>
            </a:graphic>
          </wp:inline>
        </w:drawing>
      </w:r>
    </w:p>
    <w:p>
      <w:pPr>
        <w:spacing w:before="0" w:after="160"/>
        <w:jc w:val="center"/>
      </w:pPr>
      <w:r>
        <w:rPr>
          <w:rFonts w:ascii="Calibri" w:hAnsi="Calibri"/>
          <w:i/>
          <w:color w:val="5B6573"/>
          <w:sz w:val="17"/>
        </w:rPr>
        <w:t>Figure 2. The LLM performs semantic interpretation inside a deterministic evidence and publication envelope.</w:t>
      </w:r>
    </w:p>
    <w:p>
      <w:pPr>
        <w:pStyle w:val="Heading2"/>
        <w:keepNext/>
      </w:pPr>
      <w:r>
        <w:t>4.1 Why the LLM stage is central</w:t>
      </w:r>
    </w:p>
    <w:p>
      <w:pPr>
        <w:keepLines w:val="0"/>
        <w:spacing w:before="0" w:after="120" w:line="283" w:lineRule="auto"/>
      </w:pPr>
      <w:r>
        <w:rPr>
          <w:rFonts w:ascii="Calibri" w:hAnsi="Calibri"/>
          <w:color w:val="1F2937"/>
          <w:sz w:val="21"/>
        </w:rPr>
        <w:t xml:space="preserve">Step 4 is not a cosmetic classifier. It is the stage where the system attempts to understand what the application instructions </w:t>
      </w:r>
      <w:r>
        <w:rPr>
          <w:rFonts w:ascii="Calibri" w:hAnsi="Calibri"/>
          <w:b/>
          <w:color w:val="1F2937"/>
          <w:sz w:val="21"/>
        </w:rPr>
        <w:t>mean</w:t>
      </w:r>
      <w:r>
        <w:rPr>
          <w:rFonts w:ascii="Calibri" w:hAnsi="Calibri"/>
          <w:color w:val="1F2937"/>
          <w:sz w:val="21"/>
        </w:rPr>
        <w:t>. Deterministic parsing can find headings, numbered items, resource-like filenames, and conditional phrases. It cannot reliably decide whether a section is a primary workflow, a support module, a global policy, an example, or a role-specific method. Those decisions depend on context across the whole instruction document.</w:t>
      </w:r>
    </w:p>
    <w:p>
      <w:pPr>
        <w:keepLines w:val="0"/>
        <w:spacing w:before="0" w:after="120" w:line="283" w:lineRule="auto"/>
      </w:pPr>
      <w:r>
        <w:rPr>
          <w:rFonts w:ascii="Calibri" w:hAnsi="Calibri"/>
          <w:color w:val="1F2937"/>
          <w:sz w:val="21"/>
        </w:rPr>
        <w:t xml:space="preserve">RAGenius therefore builds a task-specific LLM callable using Builder model settings. The compile prompt identifies the permitted service modes and instructs the model to classify only supplied candidates. The structured tool contract requires </w:t>
      </w:r>
      <w:r>
        <w:rPr>
          <w:rFonts w:ascii="Consolas" w:hAnsi="Consolas"/>
          <w:color w:val="17365D"/>
          <w:sz w:val="18"/>
        </w:rPr>
        <w:t>app_semantic_model</w:t>
      </w:r>
      <w:r>
        <w:rPr>
          <w:rFonts w:ascii="Calibri" w:hAnsi="Calibri"/>
          <w:color w:val="1F2937"/>
          <w:sz w:val="21"/>
        </w:rPr>
        <w:t>. The context includes the full instruction text as well as the deterministic candidate graph, meaning the LLM can read global context without losing the evidence boundary.</w:t>
      </w:r>
    </w:p>
    <w:p>
      <w:pPr>
        <w:spacing w:before="120" w:after="160" w:line="276" w:lineRule="auto"/>
        <w:ind w:left="173" w:right="86"/>
        <w:shd w:fill="EEF4FA"/>
        <w:pBdr>
          <w:left w:val="single" w:sz="18" w:space="8" w:color="2E74B5"/>
        </w:pBdr>
      </w:pPr>
      <w:r>
        <w:rPr>
          <w:rFonts w:ascii="Calibri" w:hAnsi="Calibri"/>
          <w:b/>
          <w:color w:val="2E74B5"/>
          <w:sz w:val="20"/>
        </w:rPr>
        <w:t xml:space="preserve">Semantic responsibility. </w:t>
      </w:r>
      <w:r>
        <w:rPr>
          <w:rFonts w:ascii="Calibri" w:hAnsi="Calibri"/>
          <w:color w:val="1F2937"/>
          <w:sz w:val="20"/>
        </w:rPr>
        <w:t>The LLM supplies contextual meaning: what the blocks are, how they relate, and when they should be used. Deterministic code supplies evidence boundaries, canonical identities, referential integrity, versioning, and publication safety.</w:t>
      </w:r>
    </w:p>
    <w:p>
      <w:pPr>
        <w:pStyle w:val="Heading2"/>
        <w:keepNext/>
      </w:pPr>
      <w:r>
        <w:t>4.2 Grounded, not generative-by-default</w:t>
      </w:r>
    </w:p>
    <w:p>
      <w:pPr>
        <w:keepLines w:val="0"/>
        <w:spacing w:before="0" w:after="120" w:line="283" w:lineRule="auto"/>
      </w:pPr>
      <w:r>
        <w:rPr>
          <w:rFonts w:ascii="Calibri" w:hAnsi="Calibri"/>
          <w:color w:val="1F2937"/>
          <w:sz w:val="21"/>
        </w:rPr>
        <w:t xml:space="preserve">The compile prompt explicitly prohibits inventing resources, identifiers, workflows, modules, roles, or rules that are absent from the supplied context. After the call, </w:t>
      </w:r>
      <w:r>
        <w:rPr>
          <w:rFonts w:ascii="Consolas" w:hAnsi="Consolas"/>
          <w:color w:val="17365D"/>
          <w:sz w:val="18"/>
        </w:rPr>
        <w:t>_canonicalize_provider_semantic_model()</w:t>
      </w:r>
      <w:r>
        <w:rPr>
          <w:rFonts w:ascii="Calibri" w:hAnsi="Calibri"/>
          <w:color w:val="1F2937"/>
          <w:sz w:val="21"/>
        </w:rPr>
        <w:t xml:space="preserve"> normalizes the provider result and </w:t>
      </w:r>
      <w:r>
        <w:rPr>
          <w:rFonts w:ascii="Consolas" w:hAnsi="Consolas"/>
          <w:color w:val="17365D"/>
          <w:sz w:val="18"/>
        </w:rPr>
        <w:t>_ground_semantic_model_from_deterministic_contract()</w:t>
      </w:r>
      <w:r>
        <w:rPr>
          <w:rFonts w:ascii="Calibri" w:hAnsi="Calibri"/>
          <w:color w:val="1F2937"/>
          <w:sz w:val="21"/>
        </w:rPr>
        <w:t xml:space="preserve"> reconciles it with parser evidence. Validation then rejects structural contradictions.</w:t>
      </w:r>
    </w:p>
    <w:p>
      <w:pPr>
        <w:keepLines w:val="0"/>
        <w:spacing w:before="0" w:after="120" w:line="283" w:lineRule="auto"/>
      </w:pPr>
      <w:r>
        <w:rPr>
          <w:rFonts w:ascii="Calibri" w:hAnsi="Calibri"/>
          <w:color w:val="1F2937"/>
          <w:sz w:val="21"/>
        </w:rPr>
        <w:t xml:space="preserve">Examples of enforced invariants include exactly one default primary workflow for </w:t>
      </w:r>
      <w:r>
        <w:rPr>
          <w:rFonts w:ascii="Consolas" w:hAnsi="Consolas"/>
          <w:color w:val="17365D"/>
          <w:sz w:val="18"/>
        </w:rPr>
        <w:t>single_default_workflow</w:t>
      </w:r>
      <w:r>
        <w:rPr>
          <w:rFonts w:ascii="Calibri" w:hAnsi="Calibri"/>
          <w:color w:val="1F2937"/>
          <w:sz w:val="21"/>
        </w:rPr>
        <w:t xml:space="preserve">; no default workflow for </w:t>
      </w:r>
      <w:r>
        <w:rPr>
          <w:rFonts w:ascii="Consolas" w:hAnsi="Consolas"/>
          <w:color w:val="17365D"/>
          <w:sz w:val="18"/>
        </w:rPr>
        <w:t>intent_routed_multi_workflow</w:t>
      </w:r>
      <w:r>
        <w:rPr>
          <w:rFonts w:ascii="Calibri" w:hAnsi="Calibri"/>
          <w:color w:val="1F2937"/>
          <w:sz w:val="21"/>
        </w:rPr>
        <w:t xml:space="preserve">; routing rules for multi-workflow service; known workflow, role, and module targets; executable procedure steps where required; known clarification-step references; and </w:t>
      </w:r>
      <w:r>
        <w:rPr>
          <w:rFonts w:ascii="Consolas" w:hAnsi="Consolas"/>
          <w:color w:val="17365D"/>
          <w:sz w:val="18"/>
        </w:rPr>
        <w:t>ordered_sequential</w:t>
      </w:r>
      <w:r>
        <w:rPr>
          <w:rFonts w:ascii="Calibri" w:hAnsi="Calibri"/>
          <w:color w:val="1F2937"/>
          <w:sz w:val="21"/>
        </w:rPr>
        <w:t xml:space="preserve"> as the only accepted module composition mode.</w:t>
      </w:r>
    </w:p>
    <w:p>
      <w:pPr>
        <w:pStyle w:val="Heading2"/>
        <w:keepNext/>
      </w:pPr>
      <w:r>
        <w:t>4.3 Optional does not mean unimportant</w:t>
      </w:r>
    </w:p>
    <w:p>
      <w:pPr>
        <w:keepLines w:val="0"/>
        <w:spacing w:before="0" w:after="120" w:line="283" w:lineRule="auto"/>
      </w:pPr>
      <w:r>
        <w:rPr>
          <w:rFonts w:ascii="Calibri" w:hAnsi="Calibri"/>
          <w:color w:val="1F2937"/>
          <w:sz w:val="21"/>
        </w:rPr>
        <w:t xml:space="preserve">The semantic compiler is configuration-dependent. In </w:t>
      </w:r>
      <w:r>
        <w:rPr>
          <w:rFonts w:ascii="Consolas" w:hAnsi="Consolas"/>
          <w:color w:val="17365D"/>
          <w:sz w:val="18"/>
        </w:rPr>
        <w:t>parser_only</w:t>
      </w:r>
      <w:r>
        <w:rPr>
          <w:rFonts w:ascii="Calibri" w:hAnsi="Calibri"/>
          <w:color w:val="1F2937"/>
          <w:sz w:val="21"/>
        </w:rPr>
        <w:t xml:space="preserve"> mode, or when no task model can be resolved, RAGenius can publish the deterministic parser contract. In hybrid modes, a configured LLM adds the semantic model. This fallback supports operation and migration, but it does not change the architectural point: the hybrid design exists to make LLM interpretation explicit, persistent, and governable instead of hiding it inside every user turn.</w:t>
      </w:r>
    </w:p>
    <w:p>
      <w:pPr>
        <w:spacing w:before="40" w:after="160"/>
        <w:ind w:left="259"/>
      </w:pPr>
      <w:r>
        <w:rPr>
          <w:rFonts w:ascii="Calibri" w:hAnsi="Calibri"/>
          <w:b/>
          <w:color w:val="2E74B5"/>
          <w:sz w:val="17"/>
        </w:rPr>
        <w:t xml:space="preserve">Repository note. </w:t>
      </w:r>
      <w:r>
        <w:rPr>
          <w:rFonts w:ascii="Calibri" w:hAnsi="Calibri"/>
          <w:i/>
          <w:color w:val="5B6573"/>
          <w:sz w:val="17"/>
        </w:rPr>
        <w:t>Core evidence: `instruction_understanding_service.py` functions `_compile_contract`, `_semantic_compile_context`, `build_instruction_understanding_compiler`, `_validate_semantic_compile_candidate`, `_build_hybrid_runtime_model`, and `compile_instruction_understanding`; task-model resolution is in `llm_runtime.py`.</w:t>
      </w:r>
    </w:p>
    <w:p>
      <w:pPr>
        <w:pStyle w:val="Heading1"/>
        <w:keepNext/>
      </w:pPr>
      <w:r>
        <w:t>5. Anatomy of the runtime understanding</w:t>
      </w:r>
    </w:p>
    <w:p>
      <w:pPr>
        <w:keepLines w:val="0"/>
        <w:spacing w:before="0" w:after="120" w:line="283" w:lineRule="auto"/>
      </w:pPr>
      <w:r>
        <w:rPr>
          <w:rFonts w:ascii="Calibri" w:hAnsi="Calibri"/>
          <w:color w:val="1F2937"/>
          <w:sz w:val="21"/>
        </w:rPr>
        <w:t>A valid hybrid runtime model turns prose into explicit runtime concepts. The following fields form its core vocabulary.</w:t>
      </w:r>
    </w:p>
    <w:tbl>
      <w:tblPr>
        <w:tblStyle w:val="TableGrid"/>
        <w:tblW w:type="dxa" w:w="9360"/>
        <w:jc w:val="left"/>
        <w:tblLayout w:type="fixed"/>
        <w:tblLook w:firstColumn="1" w:firstRow="1" w:lastColumn="0" w:lastRow="0" w:noHBand="0" w:noVBand="1" w:val="04A0"/>
        <w:tblInd w:w="120" w:type="dxa"/>
      </w:tblPr>
      <w:tblGrid>
        <w:gridCol w:w="2300"/>
        <w:gridCol w:w="4260"/>
        <w:gridCol w:w="2800"/>
      </w:tblGrid>
      <w:tr>
        <w:trPr>
          <w:tblHeader w:val="true"/>
        </w:trPr>
        <w:tc>
          <w:tcPr>
            <w:tcW w:type="dxa" w:w="2300"/>
            <w:tcMar>
              <w:top w:w="80" w:type="dxa"/>
              <w:start w:w="120" w:type="dxa"/>
              <w:bottom w:w="80" w:type="dxa"/>
              <w:end w:w="120" w:type="dxa"/>
            </w:tcMar>
            <w:vAlign w:val="center"/>
            <w:shd w:fill="DCE6F1"/>
          </w:tcPr>
          <w:p>
            <w:pPr>
              <w:spacing w:before="40" w:after="40"/>
              <w:jc w:val="left"/>
            </w:pPr>
            <w:r>
              <w:rPr>
                <w:rFonts w:ascii="Calibri" w:hAnsi="Calibri"/>
                <w:b/>
                <w:color w:val="17365D"/>
                <w:sz w:val="16"/>
              </w:rPr>
              <w:t>Field or structure</w:t>
            </w:r>
          </w:p>
        </w:tc>
        <w:tc>
          <w:tcPr>
            <w:tcW w:type="dxa" w:w="4260"/>
            <w:tcMar>
              <w:top w:w="80" w:type="dxa"/>
              <w:start w:w="120" w:type="dxa"/>
              <w:bottom w:w="80" w:type="dxa"/>
              <w:end w:w="120" w:type="dxa"/>
            </w:tcMar>
            <w:vAlign w:val="center"/>
            <w:shd w:fill="DCE6F1"/>
          </w:tcPr>
          <w:p>
            <w:pPr>
              <w:spacing w:before="40" w:after="40"/>
              <w:jc w:val="left"/>
            </w:pPr>
            <w:r>
              <w:rPr>
                <w:rFonts w:ascii="Calibri" w:hAnsi="Calibri"/>
                <w:b/>
                <w:color w:val="17365D"/>
                <w:sz w:val="16"/>
              </w:rPr>
              <w:t>Runtime meaning</w:t>
            </w:r>
          </w:p>
        </w:tc>
        <w:tc>
          <w:tcPr>
            <w:tcW w:type="dxa" w:w="2800"/>
            <w:tcMar>
              <w:top w:w="80" w:type="dxa"/>
              <w:start w:w="120" w:type="dxa"/>
              <w:bottom w:w="80" w:type="dxa"/>
              <w:end w:w="120" w:type="dxa"/>
            </w:tcMar>
            <w:vAlign w:val="center"/>
            <w:shd w:fill="DCE6F1"/>
          </w:tcPr>
          <w:p>
            <w:pPr>
              <w:spacing w:before="40" w:after="40"/>
              <w:jc w:val="left"/>
            </w:pPr>
            <w:r>
              <w:rPr>
                <w:rFonts w:ascii="Calibri" w:hAnsi="Calibri"/>
                <w:b/>
                <w:color w:val="17365D"/>
                <w:sz w:val="16"/>
              </w:rPr>
              <w:t>Typical consumer</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primary_service_mode</w:t>
            </w:r>
            <w:r>
              <w:rPr>
                <w:rFonts w:ascii="Calibri" w:hAnsi="Calibri"/>
                <w:color w:val="1F2937"/>
                <w:sz w:val="16"/>
              </w:rPr>
            </w:r>
          </w:p>
        </w:tc>
        <w:tc>
          <w:tcPr>
            <w:tcW w:type="dxa" w:w="4260"/>
          </w:tcPr>
          <w:p>
            <w:pPr>
              <w:spacing w:before="40" w:after="40" w:line="252" w:lineRule="auto"/>
            </w:pPr>
            <w:r>
              <w:rPr>
                <w:rFonts w:ascii="Calibri" w:hAnsi="Calibri"/>
                <w:color w:val="1F2937"/>
                <w:sz w:val="16"/>
              </w:rPr>
              <w:t>Top-level execution pattern: one default workflow, multiple intent-routed workflows, or interaction-logic routing.</w:t>
            </w:r>
          </w:p>
        </w:tc>
        <w:tc>
          <w:tcPr>
            <w:tcW w:type="dxa" w:w="2800"/>
          </w:tcPr>
          <w:p>
            <w:pPr>
              <w:spacing w:before="40" w:after="40" w:line="252" w:lineRule="auto"/>
            </w:pPr>
            <w:r>
              <w:rPr>
                <w:rFonts w:ascii="Calibri" w:hAnsi="Calibri"/>
                <w:color w:val="1F2937"/>
                <w:sz w:val="16"/>
              </w:rPr>
              <w:t>Planner and validation</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default_workflow_id</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Canonical default target when the service has exactly one default workflow.</w:t>
            </w:r>
          </w:p>
        </w:tc>
        <w:tc>
          <w:tcPr>
            <w:tcW w:type="dxa" w:w="2800"/>
            <w:shd w:fill="F8FAFC"/>
          </w:tcPr>
          <w:p>
            <w:pPr>
              <w:spacing w:before="40" w:after="40" w:line="252" w:lineRule="auto"/>
            </w:pPr>
            <w:r>
              <w:rPr>
                <w:rFonts w:ascii="Calibri" w:hAnsi="Calibri"/>
                <w:color w:val="1F2937"/>
                <w:sz w:val="16"/>
              </w:rPr>
              <w:t>Planner and compatibility projection</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global_app_contract</w:t>
            </w:r>
            <w:r>
              <w:rPr>
                <w:rFonts w:ascii="Calibri" w:hAnsi="Calibri"/>
                <w:color w:val="1F2937"/>
                <w:sz w:val="16"/>
              </w:rPr>
            </w:r>
          </w:p>
        </w:tc>
        <w:tc>
          <w:tcPr>
            <w:tcW w:type="dxa" w:w="4260"/>
          </w:tcPr>
          <w:p>
            <w:pPr>
              <w:spacing w:before="40" w:after="40" w:line="252" w:lineRule="auto"/>
            </w:pPr>
            <w:r>
              <w:rPr>
                <w:rFonts w:ascii="Calibri" w:hAnsi="Calibri"/>
                <w:color w:val="1F2937"/>
                <w:sz w:val="16"/>
              </w:rPr>
              <w:t>Mission, objective, constraints, security rules, and boundaries that apply across turns.</w:t>
            </w:r>
          </w:p>
        </w:tc>
        <w:tc>
          <w:tcPr>
            <w:tcW w:type="dxa" w:w="2800"/>
          </w:tcPr>
          <w:p>
            <w:pPr>
              <w:spacing w:before="40" w:after="40" w:line="252" w:lineRule="auto"/>
            </w:pPr>
            <w:r>
              <w:rPr>
                <w:rFonts w:ascii="Calibri" w:hAnsi="Calibri"/>
                <w:color w:val="1F2937"/>
                <w:sz w:val="16"/>
              </w:rPr>
              <w:t>Hybrid decision packet and answer context</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interaction_logic_blocks</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Top-level mode switching, role logic, or orchestration policy that may exist above workflows.</w:t>
            </w:r>
          </w:p>
        </w:tc>
        <w:tc>
          <w:tcPr>
            <w:tcW w:type="dxa" w:w="2800"/>
            <w:shd w:fill="F8FAFC"/>
          </w:tcPr>
          <w:p>
            <w:pPr>
              <w:spacing w:before="40" w:after="40" w:line="252" w:lineRule="auto"/>
            </w:pPr>
            <w:r>
              <w:rPr>
                <w:rFonts w:ascii="Calibri" w:hAnsi="Calibri"/>
                <w:color w:val="1F2937"/>
                <w:sz w:val="16"/>
              </w:rPr>
              <w:t>Hybrid planner</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role_profiles</w:t>
            </w:r>
            <w:r>
              <w:rPr>
                <w:rFonts w:ascii="Calibri" w:hAnsi="Calibri"/>
                <w:color w:val="1F2937"/>
                <w:sz w:val="16"/>
              </w:rPr>
            </w:r>
          </w:p>
        </w:tc>
        <w:tc>
          <w:tcPr>
            <w:tcW w:type="dxa" w:w="4260"/>
          </w:tcPr>
          <w:p>
            <w:pPr>
              <w:spacing w:before="40" w:after="40" w:line="252" w:lineRule="auto"/>
            </w:pPr>
            <w:r>
              <w:rPr>
                <w:rFonts w:ascii="Calibri" w:hAnsi="Calibri"/>
                <w:color w:val="1F2937"/>
                <w:sz w:val="16"/>
              </w:rPr>
              <w:t>Role-specific tone, permissions, defaults, workflow targets, and allowed modules.</w:t>
            </w:r>
          </w:p>
        </w:tc>
        <w:tc>
          <w:tcPr>
            <w:tcW w:type="dxa" w:w="2800"/>
          </w:tcPr>
          <w:p>
            <w:pPr>
              <w:spacing w:before="40" w:after="40" w:line="252" w:lineRule="auto"/>
            </w:pPr>
            <w:r>
              <w:rPr>
                <w:rFonts w:ascii="Calibri" w:hAnsi="Calibri"/>
                <w:color w:val="1F2937"/>
                <w:sz w:val="16"/>
              </w:rPr>
              <w:t>Role selection and response behavior</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routing_rules</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Prioritized conditions that resolve intent toward logic, role, workflow, or module targets.</w:t>
            </w:r>
          </w:p>
        </w:tc>
        <w:tc>
          <w:tcPr>
            <w:tcW w:type="dxa" w:w="2800"/>
            <w:shd w:fill="F8FAFC"/>
          </w:tcPr>
          <w:p>
            <w:pPr>
              <w:spacing w:before="40" w:after="40" w:line="252" w:lineRule="auto"/>
            </w:pPr>
            <w:r>
              <w:rPr>
                <w:rFonts w:ascii="Calibri" w:hAnsi="Calibri"/>
                <w:color w:val="1F2937"/>
                <w:sz w:val="16"/>
              </w:rPr>
              <w:t>Hybrid planner and fallback routing</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instruction_service_blocks</w:t>
            </w:r>
            <w:r>
              <w:rPr>
                <w:rFonts w:ascii="Calibri" w:hAnsi="Calibri"/>
                <w:color w:val="1F2937"/>
                <w:sz w:val="16"/>
              </w:rPr>
            </w:r>
          </w:p>
        </w:tc>
        <w:tc>
          <w:tcPr>
            <w:tcW w:type="dxa" w:w="4260"/>
          </w:tcPr>
          <w:p>
            <w:pPr>
              <w:spacing w:before="40" w:after="40" w:line="252" w:lineRule="auto"/>
            </w:pPr>
            <w:r>
              <w:rPr>
                <w:rFonts w:ascii="Calibri" w:hAnsi="Calibri"/>
                <w:color w:val="1F2937"/>
                <w:sz w:val="16"/>
              </w:rPr>
              <w:t>Canonical primary workflows, entry modes, supplementary workflows, support modules, and follow-up modules.</w:t>
            </w:r>
          </w:p>
        </w:tc>
        <w:tc>
          <w:tcPr>
            <w:tcW w:type="dxa" w:w="2800"/>
          </w:tcPr>
          <w:p>
            <w:pPr>
              <w:spacing w:before="40" w:after="40" w:line="252" w:lineRule="auto"/>
            </w:pPr>
            <w:r>
              <w:rPr>
                <w:rFonts w:ascii="Calibri" w:hAnsi="Calibri"/>
                <w:color w:val="1F2937"/>
                <w:sz w:val="16"/>
              </w:rPr>
              <w:t>Workflow and module selection</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instruction_procedures</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Executable procedures linked to service blocks.</w:t>
            </w:r>
          </w:p>
        </w:tc>
        <w:tc>
          <w:tcPr>
            <w:tcW w:type="dxa" w:w="2800"/>
            <w:shd w:fill="F8FAFC"/>
          </w:tcPr>
          <w:p>
            <w:pPr>
              <w:spacing w:before="40" w:after="40" w:line="252" w:lineRule="auto"/>
            </w:pPr>
            <w:r>
              <w:rPr>
                <w:rFonts w:ascii="Calibri" w:hAnsi="Calibri"/>
                <w:color w:val="1F2937"/>
                <w:sz w:val="16"/>
              </w:rPr>
              <w:t>Step planning and state transitions</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procedure_steps</w:t>
            </w:r>
            <w:r>
              <w:rPr>
                <w:rFonts w:ascii="Calibri" w:hAnsi="Calibri"/>
                <w:color w:val="1F2937"/>
                <w:sz w:val="16"/>
              </w:rPr>
            </w:r>
          </w:p>
        </w:tc>
        <w:tc>
          <w:tcPr>
            <w:tcW w:type="dxa" w:w="4260"/>
          </w:tcPr>
          <w:p>
            <w:pPr>
              <w:spacing w:before="40" w:after="40" w:line="252" w:lineRule="auto"/>
            </w:pPr>
            <w:r>
              <w:rPr>
                <w:rFonts w:ascii="Calibri" w:hAnsi="Calibri"/>
                <w:color w:val="1F2937"/>
                <w:sz w:val="16"/>
              </w:rPr>
              <w:t>Ordered interactive or bundled execution units with resource references and progression semantics.</w:t>
            </w:r>
          </w:p>
        </w:tc>
        <w:tc>
          <w:tcPr>
            <w:tcW w:type="dxa" w:w="2800"/>
          </w:tcPr>
          <w:p>
            <w:pPr>
              <w:spacing w:before="40" w:after="40" w:line="252" w:lineRule="auto"/>
            </w:pPr>
            <w:r>
              <w:rPr>
                <w:rFonts w:ascii="Calibri" w:hAnsi="Calibri"/>
                <w:color w:val="1F2937"/>
                <w:sz w:val="16"/>
              </w:rPr>
              <w:t>Turn execution</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clarification_gate_rules</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Conditions and thresholds that require information before execution can advance.</w:t>
            </w:r>
          </w:p>
        </w:tc>
        <w:tc>
          <w:tcPr>
            <w:tcW w:type="dxa" w:w="2800"/>
            <w:shd w:fill="F8FAFC"/>
          </w:tcPr>
          <w:p>
            <w:pPr>
              <w:spacing w:before="40" w:after="40" w:line="252" w:lineRule="auto"/>
            </w:pPr>
            <w:r>
              <w:rPr>
                <w:rFonts w:ascii="Calibri" w:hAnsi="Calibri"/>
                <w:color w:val="1F2937"/>
                <w:sz w:val="16"/>
              </w:rPr>
              <w:t>Session state and planner</w:t>
            </w:r>
          </w:p>
        </w:tc>
      </w:tr>
      <w:tr>
        <w:tc>
          <w:tcPr>
            <w:tcW w:type="dxa" w:w="2300"/>
          </w:tcPr>
          <w:p>
            <w:pPr>
              <w:spacing w:before="40" w:after="40" w:line="252" w:lineRule="auto"/>
            </w:pPr>
            <w:r>
              <w:rPr>
                <w:rFonts w:ascii="Calibri" w:hAnsi="Calibri"/>
                <w:color w:val="1F2937"/>
                <w:sz w:val="16"/>
              </w:rPr>
            </w:r>
            <w:r>
              <w:rPr>
                <w:rFonts w:ascii="Consolas" w:hAnsi="Consolas"/>
                <w:color w:val="17365D"/>
                <w:sz w:val="15"/>
              </w:rPr>
              <w:t>module_orchestration</w:t>
            </w:r>
            <w:r>
              <w:rPr>
                <w:rFonts w:ascii="Calibri" w:hAnsi="Calibri"/>
                <w:color w:val="1F2937"/>
                <w:sz w:val="16"/>
              </w:rPr>
            </w:r>
          </w:p>
        </w:tc>
        <w:tc>
          <w:tcPr>
            <w:tcW w:type="dxa" w:w="4260"/>
          </w:tcPr>
          <w:p>
            <w:pPr>
              <w:spacing w:before="40" w:after="40" w:line="252" w:lineRule="auto"/>
            </w:pPr>
            <w:r>
              <w:rPr>
                <w:rFonts w:ascii="Calibri" w:hAnsi="Calibri"/>
                <w:color w:val="1F2937"/>
                <w:sz w:val="16"/>
              </w:rPr>
              <w:t>Ordered composition of multiple modules for one task.</w:t>
            </w:r>
          </w:p>
        </w:tc>
        <w:tc>
          <w:tcPr>
            <w:tcW w:type="dxa" w:w="2800"/>
          </w:tcPr>
          <w:p>
            <w:pPr>
              <w:spacing w:before="40" w:after="40" w:line="252" w:lineRule="auto"/>
            </w:pPr>
            <w:r>
              <w:rPr>
                <w:rFonts w:ascii="Calibri" w:hAnsi="Calibri"/>
                <w:color w:val="1F2937"/>
                <w:sz w:val="16"/>
              </w:rPr>
              <w:t>Module queue and execution</w:t>
            </w:r>
          </w:p>
        </w:tc>
      </w:tr>
      <w:tr>
        <w:tc>
          <w:tcPr>
            <w:tcW w:type="dxa" w:w="2300"/>
            <w:shd w:fill="F8FAFC"/>
          </w:tcPr>
          <w:p>
            <w:pPr>
              <w:spacing w:before="40" w:after="40" w:line="252" w:lineRule="auto"/>
            </w:pPr>
            <w:r>
              <w:rPr>
                <w:rFonts w:ascii="Calibri" w:hAnsi="Calibri"/>
                <w:color w:val="1F2937"/>
                <w:sz w:val="16"/>
              </w:rPr>
            </w:r>
            <w:r>
              <w:rPr>
                <w:rFonts w:ascii="Consolas" w:hAnsi="Consolas"/>
                <w:color w:val="17365D"/>
                <w:sz w:val="15"/>
              </w:rPr>
              <w:t>resource_bindings</w:t>
            </w:r>
            <w:r>
              <w:rPr>
                <w:rFonts w:ascii="Calibri" w:hAnsi="Calibri"/>
                <w:color w:val="1F2937"/>
                <w:sz w:val="16"/>
              </w:rPr>
            </w:r>
          </w:p>
        </w:tc>
        <w:tc>
          <w:tcPr>
            <w:tcW w:type="dxa" w:w="4260"/>
            <w:shd w:fill="F8FAFC"/>
          </w:tcPr>
          <w:p>
            <w:pPr>
              <w:spacing w:before="40" w:after="40" w:line="252" w:lineRule="auto"/>
            </w:pPr>
            <w:r>
              <w:rPr>
                <w:rFonts w:ascii="Calibri" w:hAnsi="Calibri"/>
                <w:color w:val="1F2937"/>
                <w:sz w:val="16"/>
              </w:rPr>
              <w:t>Grounded links between runtime units and registered resources.</w:t>
            </w:r>
          </w:p>
        </w:tc>
        <w:tc>
          <w:tcPr>
            <w:tcW w:type="dxa" w:w="2800"/>
            <w:shd w:fill="F8FAFC"/>
          </w:tcPr>
          <w:p>
            <w:pPr>
              <w:spacing w:before="40" w:after="40" w:line="252" w:lineRule="auto"/>
            </w:pPr>
            <w:r>
              <w:rPr>
                <w:rFonts w:ascii="Calibri" w:hAnsi="Calibri"/>
                <w:color w:val="1F2937"/>
                <w:sz w:val="16"/>
              </w:rPr>
              <w:t>Planning, retrieval, and answer context</w:t>
            </w:r>
          </w:p>
        </w:tc>
      </w:tr>
      <w:tr>
        <w:tc>
          <w:tcPr>
            <w:tcW w:type="dxa" w:w="2300"/>
          </w:tcPr>
          <w:p>
            <w:pPr>
              <w:spacing w:before="40" w:after="40" w:line="252" w:lineRule="auto"/>
            </w:pPr>
            <w:r>
              <w:rPr>
                <w:rFonts w:ascii="Calibri" w:hAnsi="Calibri"/>
                <w:color w:val="1F2937"/>
                <w:sz w:val="16"/>
              </w:rPr>
              <w:t>Warnings/confidence/validation</w:t>
            </w:r>
          </w:p>
        </w:tc>
        <w:tc>
          <w:tcPr>
            <w:tcW w:type="dxa" w:w="4260"/>
          </w:tcPr>
          <w:p>
            <w:pPr>
              <w:spacing w:before="40" w:after="40" w:line="252" w:lineRule="auto"/>
            </w:pPr>
            <w:r>
              <w:rPr>
                <w:rFonts w:ascii="Calibri" w:hAnsi="Calibri"/>
                <w:color w:val="1F2937"/>
                <w:sz w:val="16"/>
              </w:rPr>
              <w:t>Signals about uncertainty, unresolved references, and contract validity.</w:t>
            </w:r>
          </w:p>
        </w:tc>
        <w:tc>
          <w:tcPr>
            <w:tcW w:type="dxa" w:w="2800"/>
          </w:tcPr>
          <w:p>
            <w:pPr>
              <w:spacing w:before="40" w:after="40" w:line="252" w:lineRule="auto"/>
            </w:pPr>
            <w:r>
              <w:rPr>
                <w:rFonts w:ascii="Calibri" w:hAnsi="Calibri"/>
                <w:color w:val="1F2937"/>
                <w:sz w:val="16"/>
              </w:rPr>
              <w:t>Publication, inspection, and review</w:t>
            </w:r>
          </w:p>
        </w:tc>
      </w:tr>
    </w:tbl>
    <w:p>
      <w:pPr>
        <w:spacing w:after="40"/>
      </w:pPr>
    </w:p>
    <w:p>
      <w:pPr>
        <w:pStyle w:val="Heading2"/>
        <w:keepNext/>
      </w:pPr>
      <w:r>
        <w:t>5.1 The three primary service modes</w:t>
      </w:r>
    </w:p>
    <w:p>
      <w:pPr>
        <w:keepLines w:val="0"/>
        <w:spacing w:before="0" w:after="120" w:line="283" w:lineRule="auto"/>
      </w:pPr>
      <w:r>
        <w:rPr>
          <w:rFonts w:ascii="Consolas" w:hAnsi="Consolas"/>
          <w:color w:val="17365D"/>
          <w:sz w:val="18"/>
        </w:rPr>
        <w:t>single_default_workflow</w:t>
      </w:r>
      <w:r>
        <w:rPr>
          <w:rFonts w:ascii="Calibri" w:hAnsi="Calibri"/>
          <w:color w:val="1F2937"/>
          <w:sz w:val="21"/>
        </w:rPr>
        <w:t xml:space="preserve"> describes an app whose ordinary requests enter one default primary workflow. Validation requires exactly one default block and a </w:t>
      </w:r>
      <w:r>
        <w:rPr>
          <w:rFonts w:ascii="Consolas" w:hAnsi="Consolas"/>
          <w:color w:val="17365D"/>
          <w:sz w:val="18"/>
        </w:rPr>
        <w:t>default_workflow_id</w:t>
      </w:r>
      <w:r>
        <w:rPr>
          <w:rFonts w:ascii="Calibri" w:hAnsi="Calibri"/>
          <w:color w:val="1F2937"/>
          <w:sz w:val="21"/>
        </w:rPr>
        <w:t>. Alternate workflow routing is not allowed because it would contradict the service mode.</w:t>
      </w:r>
    </w:p>
    <w:p>
      <w:pPr>
        <w:keepLines w:val="0"/>
        <w:spacing w:before="0" w:after="120" w:line="283" w:lineRule="auto"/>
      </w:pPr>
      <w:r>
        <w:rPr>
          <w:rFonts w:ascii="Consolas" w:hAnsi="Consolas"/>
          <w:color w:val="17365D"/>
          <w:sz w:val="18"/>
        </w:rPr>
        <w:t>intent_routed_multi_workflow</w:t>
      </w:r>
      <w:r>
        <w:rPr>
          <w:rFonts w:ascii="Calibri" w:hAnsi="Calibri"/>
          <w:color w:val="1F2937"/>
          <w:sz w:val="21"/>
        </w:rPr>
        <w:t xml:space="preserve"> describes an app with multiple executable workflows selected by intent. It must not define a default workflow ID. It requires routing rules and at least one primary workflow, and its routes must resolve to executable workflow or module targets rather than labels alone.</w:t>
      </w:r>
    </w:p>
    <w:p>
      <w:pPr>
        <w:keepLines w:val="0"/>
        <w:spacing w:before="0" w:after="120" w:line="283" w:lineRule="auto"/>
      </w:pPr>
      <w:r>
        <w:rPr>
          <w:rFonts w:ascii="Consolas" w:hAnsi="Consolas"/>
          <w:color w:val="17365D"/>
          <w:sz w:val="18"/>
        </w:rPr>
        <w:t>intent_routed_interaction_logic</w:t>
      </w:r>
      <w:r>
        <w:rPr>
          <w:rFonts w:ascii="Calibri" w:hAnsi="Calibri"/>
          <w:color w:val="1F2937"/>
          <w:sz w:val="21"/>
        </w:rPr>
        <w:t xml:space="preserve"> describes an app organized primarily by roles, mode switching, or top-level orchestration policy. It requires routing rules or interaction-logic blocks. Workflows and modules may exist as subordinate targets but are not mandatory merely because the app has interaction logic.</w:t>
      </w:r>
    </w:p>
    <w:p>
      <w:pPr>
        <w:pStyle w:val="Heading2"/>
        <w:keepNext/>
      </w:pPr>
      <w:r>
        <w:t>5.2 Procedures, steps, and execution semantics</w:t>
      </w:r>
    </w:p>
    <w:p>
      <w:pPr>
        <w:keepLines w:val="0"/>
        <w:spacing w:before="0" w:after="120" w:line="283" w:lineRule="auto"/>
      </w:pPr>
      <w:r>
        <w:rPr>
          <w:rFonts w:ascii="Calibri" w:hAnsi="Calibri"/>
          <w:color w:val="1F2937"/>
          <w:sz w:val="21"/>
        </w:rPr>
        <w:t xml:space="preserve">Service blocks say </w:t>
      </w:r>
      <w:r>
        <w:rPr>
          <w:rFonts w:ascii="Calibri" w:hAnsi="Calibri"/>
          <w:b/>
          <w:color w:val="1F2937"/>
          <w:sz w:val="21"/>
        </w:rPr>
        <w:t>what unit is available</w:t>
      </w:r>
      <w:r>
        <w:rPr>
          <w:rFonts w:ascii="Calibri" w:hAnsi="Calibri"/>
          <w:color w:val="1F2937"/>
          <w:sz w:val="21"/>
        </w:rPr>
        <w:t xml:space="preserve">; procedures and steps say </w:t>
      </w:r>
      <w:r>
        <w:rPr>
          <w:rFonts w:ascii="Calibri" w:hAnsi="Calibri"/>
          <w:b/>
          <w:color w:val="1F2937"/>
          <w:sz w:val="21"/>
        </w:rPr>
        <w:t>how it executes</w:t>
      </w:r>
      <w:r>
        <w:rPr>
          <w:rFonts w:ascii="Calibri" w:hAnsi="Calibri"/>
          <w:color w:val="1F2937"/>
          <w:sz w:val="21"/>
        </w:rPr>
        <w:t>. A procedure links to a service block. Its ordered steps carry titles, resource references, execution mode, and optional bundled-step metadata. This separation lets one workflow have a stable identity while its execution details remain inspectable and testable.</w:t>
      </w:r>
    </w:p>
    <w:p>
      <w:pPr>
        <w:keepLines w:val="0"/>
        <w:spacing w:before="0" w:after="120" w:line="283" w:lineRule="auto"/>
      </w:pPr>
      <w:r>
        <w:rPr>
          <w:rFonts w:ascii="Calibri" w:hAnsi="Calibri"/>
          <w:color w:val="1F2937"/>
          <w:sz w:val="21"/>
        </w:rPr>
        <w:t>Clarification gates add conversation state to the contract. A gate can identify a clarification step, a completion step, and required information. The planner compares the gate definition with session state rather than asking the model to rediscover the rule from prose on each turn.</w:t>
      </w:r>
    </w:p>
    <w:p>
      <w:pPr>
        <w:spacing w:before="40" w:after="160"/>
        <w:ind w:left="259"/>
      </w:pPr>
      <w:r>
        <w:rPr>
          <w:rFonts w:ascii="Calibri" w:hAnsi="Calibri"/>
          <w:b/>
          <w:color w:val="2E74B5"/>
          <w:sz w:val="17"/>
        </w:rPr>
        <w:t xml:space="preserve">Repository note. </w:t>
      </w:r>
      <w:r>
        <w:rPr>
          <w:rFonts w:ascii="Calibri" w:hAnsi="Calibri"/>
          <w:i/>
          <w:color w:val="5B6573"/>
          <w:sz w:val="17"/>
        </w:rPr>
        <w:t>Field definitions and invariants are implemented in `_validate_semantic_compile_candidate` and `_build_hybrid_runtime_model`.</w:t>
      </w:r>
    </w:p>
    <w:p>
      <w:pPr>
        <w:pStyle w:val="Heading1"/>
        <w:keepNext/>
      </w:pPr>
      <w:r>
        <w:t>6. How the runtime uses the model</w:t>
      </w:r>
    </w:p>
    <w:p>
      <w:pPr>
        <w:keepLines w:val="0"/>
        <w:spacing w:before="0" w:after="120" w:line="283" w:lineRule="auto"/>
      </w:pPr>
      <w:r>
        <w:rPr>
          <w:rFonts w:ascii="Calibri" w:hAnsi="Calibri"/>
          <w:color w:val="1F2937"/>
          <w:sz w:val="21"/>
        </w:rPr>
        <w:t xml:space="preserve">Compilation has value only if execution consumes the result. RAGenius inserts the compiled contract into the template registry. </w:t>
      </w:r>
      <w:r>
        <w:rPr>
          <w:rFonts w:ascii="Consolas" w:hAnsi="Consolas"/>
          <w:color w:val="17365D"/>
          <w:sz w:val="18"/>
        </w:rPr>
        <w:t>load_template_registry</w:t>
      </w:r>
      <w:r>
        <w:rPr>
          <w:rFonts w:ascii="Calibri" w:hAnsi="Calibri"/>
          <w:color w:val="1F2937"/>
          <w:sz w:val="21"/>
        </w:rPr>
        <w:t xml:space="preserve"> prefers </w:t>
      </w:r>
      <w:r>
        <w:rPr>
          <w:rFonts w:ascii="Consolas" w:hAnsi="Consolas"/>
          <w:color w:val="17365D"/>
          <w:sz w:val="18"/>
        </w:rPr>
        <w:t>compiled_instruction_understanding</w:t>
      </w:r>
      <w:r>
        <w:rPr>
          <w:rFonts w:ascii="Calibri" w:hAnsi="Calibri"/>
          <w:color w:val="1F2937"/>
          <w:sz w:val="21"/>
        </w:rPr>
        <w:t xml:space="preserve"> when it contains an </w:t>
      </w:r>
      <w:r>
        <w:rPr>
          <w:rFonts w:ascii="Consolas" w:hAnsi="Consolas"/>
          <w:color w:val="17365D"/>
          <w:sz w:val="18"/>
        </w:rPr>
        <w:t>instruction_runtime_model</w:t>
      </w:r>
      <w:r>
        <w:rPr>
          <w:rFonts w:ascii="Calibri" w:hAnsi="Calibri"/>
          <w:color w:val="1F2937"/>
          <w:sz w:val="21"/>
        </w:rPr>
        <w:t>; otherwise it can build parser-derived structures directly from Builder Markdown. The selected runtime model is then copied into graph state for downstream nodes.</w:t>
      </w:r>
    </w:p>
    <w:p>
      <w:pPr>
        <w:pStyle w:val="Heading2"/>
        <w:keepNext/>
      </w:pPr>
      <w:r>
        <w:t>6.1 Two independent mode controls</w:t>
      </w:r>
    </w:p>
    <w:p>
      <w:pPr>
        <w:keepLines w:val="0"/>
        <w:spacing w:before="0" w:after="120" w:line="283" w:lineRule="auto"/>
      </w:pPr>
      <w:r>
        <w:rPr>
          <w:rFonts w:ascii="Calibri" w:hAnsi="Calibri"/>
          <w:color w:val="1F2937"/>
          <w:sz w:val="21"/>
        </w:rPr>
        <w:t xml:space="preserve">RAGenius separates </w:t>
      </w:r>
      <w:r>
        <w:rPr>
          <w:rFonts w:ascii="Calibri" w:hAnsi="Calibri"/>
          <w:b/>
          <w:color w:val="1F2937"/>
          <w:sz w:val="21"/>
        </w:rPr>
        <w:t>how understanding is produced</w:t>
      </w:r>
      <w:r>
        <w:rPr>
          <w:rFonts w:ascii="Calibri" w:hAnsi="Calibri"/>
          <w:color w:val="1F2937"/>
          <w:sz w:val="21"/>
        </w:rPr>
        <w:t xml:space="preserve"> from </w:t>
      </w:r>
      <w:r>
        <w:rPr>
          <w:rFonts w:ascii="Calibri" w:hAnsi="Calibri"/>
          <w:b/>
          <w:color w:val="1F2937"/>
          <w:sz w:val="21"/>
        </w:rPr>
        <w:t>how planning uses it</w:t>
      </w:r>
      <w:r>
        <w:rPr>
          <w:rFonts w:ascii="Calibri" w:hAnsi="Calibri"/>
          <w:color w:val="1F2937"/>
          <w:sz w:val="21"/>
        </w:rPr>
        <w:t>. These settings are easy to confuse:</w:t>
      </w:r>
    </w:p>
    <w:tbl>
      <w:tblPr>
        <w:tblStyle w:val="TableGrid"/>
        <w:tblW w:type="dxa" w:w="9360"/>
        <w:jc w:val="left"/>
        <w:tblLayout w:type="fixed"/>
        <w:tblLook w:firstColumn="1" w:firstRow="1" w:lastColumn="0" w:lastRow="0" w:noHBand="0" w:noVBand="1" w:val="04A0"/>
        <w:tblInd w:w="120" w:type="dxa"/>
      </w:tblPr>
      <w:tblGrid>
        <w:gridCol w:w="2600"/>
        <w:gridCol w:w="3300"/>
        <w:gridCol w:w="3460"/>
      </w:tblGrid>
      <w:tr>
        <w:trPr>
          <w:tblHeader w:val="true"/>
        </w:trPr>
        <w:tc>
          <w:tcPr>
            <w:tcW w:type="dxa" w:w="2600"/>
            <w:tcMar>
              <w:top w:w="80" w:type="dxa"/>
              <w:start w:w="120" w:type="dxa"/>
              <w:bottom w:w="80" w:type="dxa"/>
              <w:end w:w="120" w:type="dxa"/>
            </w:tcMar>
            <w:vAlign w:val="center"/>
            <w:shd w:fill="DCE6F1"/>
          </w:tcPr>
          <w:p>
            <w:pPr>
              <w:spacing w:before="40" w:after="40"/>
              <w:jc w:val="left"/>
            </w:pPr>
            <w:r>
              <w:rPr>
                <w:rFonts w:ascii="Calibri" w:hAnsi="Calibri"/>
                <w:b/>
                <w:color w:val="17365D"/>
                <w:sz w:val="17"/>
              </w:rPr>
              <w:t>Control</w:t>
            </w:r>
          </w:p>
        </w:tc>
        <w:tc>
          <w:tcPr>
            <w:tcW w:type="dxa" w:w="3300"/>
            <w:tcMar>
              <w:top w:w="80" w:type="dxa"/>
              <w:start w:w="120" w:type="dxa"/>
              <w:bottom w:w="80" w:type="dxa"/>
              <w:end w:w="120" w:type="dxa"/>
            </w:tcMar>
            <w:vAlign w:val="center"/>
            <w:shd w:fill="DCE6F1"/>
          </w:tcPr>
          <w:p>
            <w:pPr>
              <w:spacing w:before="40" w:after="40"/>
              <w:jc w:val="left"/>
            </w:pPr>
            <w:r>
              <w:rPr>
                <w:rFonts w:ascii="Calibri" w:hAnsi="Calibri"/>
                <w:b/>
                <w:color w:val="17365D"/>
                <w:sz w:val="17"/>
              </w:rPr>
              <w:t>Allowed values</w:t>
            </w:r>
          </w:p>
        </w:tc>
        <w:tc>
          <w:tcPr>
            <w:tcW w:type="dxa" w:w="3460"/>
            <w:tcMar>
              <w:top w:w="80" w:type="dxa"/>
              <w:start w:w="120" w:type="dxa"/>
              <w:bottom w:w="80" w:type="dxa"/>
              <w:end w:w="120" w:type="dxa"/>
            </w:tcMar>
            <w:vAlign w:val="center"/>
            <w:shd w:fill="DCE6F1"/>
          </w:tcPr>
          <w:p>
            <w:pPr>
              <w:spacing w:before="40" w:after="40"/>
              <w:jc w:val="left"/>
            </w:pPr>
            <w:r>
              <w:rPr>
                <w:rFonts w:ascii="Calibri" w:hAnsi="Calibri"/>
                <w:b/>
                <w:color w:val="17365D"/>
                <w:sz w:val="17"/>
              </w:rPr>
              <w:t>Question it answers</w:t>
            </w:r>
          </w:p>
        </w:tc>
      </w:tr>
      <w:tr>
        <w:tc>
          <w:tcPr>
            <w:tcW w:type="dxa" w:w="2600"/>
          </w:tcPr>
          <w:p>
            <w:pPr>
              <w:spacing w:before="40" w:after="40" w:line="252" w:lineRule="auto"/>
            </w:pPr>
            <w:r>
              <w:rPr>
                <w:rFonts w:ascii="Calibri" w:hAnsi="Calibri"/>
                <w:color w:val="1F2937"/>
                <w:sz w:val="17"/>
              </w:rPr>
            </w:r>
            <w:r>
              <w:rPr>
                <w:rFonts w:ascii="Consolas" w:hAnsi="Consolas"/>
                <w:color w:val="17365D"/>
                <w:sz w:val="16"/>
              </w:rPr>
              <w:t>instruction_understanding_mode</w:t>
            </w:r>
            <w:r>
              <w:rPr>
                <w:rFonts w:ascii="Calibri" w:hAnsi="Calibri"/>
                <w:color w:val="1F2937"/>
                <w:sz w:val="17"/>
              </w:rPr>
            </w:r>
          </w:p>
        </w:tc>
        <w:tc>
          <w:tcPr>
            <w:tcW w:type="dxa" w:w="3300"/>
          </w:tcPr>
          <w:p>
            <w:pPr>
              <w:spacing w:before="40" w:after="40" w:line="252" w:lineRule="auto"/>
            </w:pPr>
            <w:r>
              <w:rPr>
                <w:rFonts w:ascii="Calibri" w:hAnsi="Calibri"/>
                <w:color w:val="1F2937"/>
                <w:sz w:val="17"/>
              </w:rPr>
            </w:r>
            <w:r>
              <w:rPr>
                <w:rFonts w:ascii="Consolas" w:hAnsi="Consolas"/>
                <w:color w:val="17365D"/>
                <w:sz w:val="16"/>
              </w:rPr>
              <w:t>parser_only</w:t>
            </w:r>
            <w:r>
              <w:rPr>
                <w:rFonts w:ascii="Calibri" w:hAnsi="Calibri"/>
                <w:color w:val="1F2937"/>
                <w:sz w:val="17"/>
              </w:rPr>
              <w:t xml:space="preserve">, </w:t>
            </w:r>
            <w:r>
              <w:rPr>
                <w:rFonts w:ascii="Consolas" w:hAnsi="Consolas"/>
                <w:color w:val="17365D"/>
                <w:sz w:val="16"/>
              </w:rPr>
              <w:t>hybrid_shadow</w:t>
            </w:r>
            <w:r>
              <w:rPr>
                <w:rFonts w:ascii="Calibri" w:hAnsi="Calibri"/>
                <w:color w:val="1F2937"/>
                <w:sz w:val="17"/>
              </w:rPr>
              <w:t xml:space="preserve">, </w:t>
            </w:r>
            <w:r>
              <w:rPr>
                <w:rFonts w:ascii="Consolas" w:hAnsi="Consolas"/>
                <w:color w:val="17365D"/>
                <w:sz w:val="16"/>
              </w:rPr>
              <w:t>hybrid_active</w:t>
            </w:r>
            <w:r>
              <w:rPr>
                <w:rFonts w:ascii="Calibri" w:hAnsi="Calibri"/>
                <w:color w:val="1F2937"/>
                <w:sz w:val="17"/>
              </w:rPr>
            </w:r>
          </w:p>
        </w:tc>
        <w:tc>
          <w:tcPr>
            <w:tcW w:type="dxa" w:w="3460"/>
          </w:tcPr>
          <w:p>
            <w:pPr>
              <w:spacing w:before="40" w:after="40" w:line="252" w:lineRule="auto"/>
            </w:pPr>
            <w:r>
              <w:rPr>
                <w:rFonts w:ascii="Calibri" w:hAnsi="Calibri"/>
                <w:color w:val="1F2937"/>
                <w:sz w:val="17"/>
              </w:rPr>
              <w:t>Should the runtime use only deterministic parsing or attach the configured semantic compiler?</w:t>
            </w:r>
          </w:p>
        </w:tc>
      </w:tr>
      <w:tr>
        <w:tc>
          <w:tcPr>
            <w:tcW w:type="dxa" w:w="2600"/>
            <w:shd w:fill="F8FAFC"/>
          </w:tcPr>
          <w:p>
            <w:pPr>
              <w:spacing w:before="40" w:after="40" w:line="252" w:lineRule="auto"/>
            </w:pPr>
            <w:r>
              <w:rPr>
                <w:rFonts w:ascii="Calibri" w:hAnsi="Calibri"/>
                <w:color w:val="1F2937"/>
                <w:sz w:val="17"/>
              </w:rPr>
            </w:r>
            <w:r>
              <w:rPr>
                <w:rFonts w:ascii="Consolas" w:hAnsi="Consolas"/>
                <w:color w:val="17365D"/>
                <w:sz w:val="16"/>
              </w:rPr>
              <w:t>planner_mode</w:t>
            </w:r>
            <w:r>
              <w:rPr>
                <w:rFonts w:ascii="Calibri" w:hAnsi="Calibri"/>
                <w:color w:val="1F2937"/>
                <w:sz w:val="17"/>
              </w:rPr>
            </w:r>
          </w:p>
        </w:tc>
        <w:tc>
          <w:tcPr>
            <w:tcW w:type="dxa" w:w="3300"/>
            <w:shd w:fill="F8FAFC"/>
          </w:tcPr>
          <w:p>
            <w:pPr>
              <w:spacing w:before="40" w:after="40" w:line="252" w:lineRule="auto"/>
            </w:pPr>
            <w:r>
              <w:rPr>
                <w:rFonts w:ascii="Calibri" w:hAnsi="Calibri"/>
                <w:color w:val="1F2937"/>
                <w:sz w:val="17"/>
              </w:rPr>
            </w:r>
            <w:r>
              <w:rPr>
                <w:rFonts w:ascii="Consolas" w:hAnsi="Consolas"/>
                <w:color w:val="17365D"/>
                <w:sz w:val="16"/>
              </w:rPr>
              <w:t>legacy</w:t>
            </w:r>
            <w:r>
              <w:rPr>
                <w:rFonts w:ascii="Calibri" w:hAnsi="Calibri"/>
                <w:color w:val="1F2937"/>
                <w:sz w:val="17"/>
              </w:rPr>
              <w:t xml:space="preserve">, </w:t>
            </w:r>
            <w:r>
              <w:rPr>
                <w:rFonts w:ascii="Consolas" w:hAnsi="Consolas"/>
                <w:color w:val="17365D"/>
                <w:sz w:val="16"/>
              </w:rPr>
              <w:t>hybrid_shadow</w:t>
            </w:r>
            <w:r>
              <w:rPr>
                <w:rFonts w:ascii="Calibri" w:hAnsi="Calibri"/>
                <w:color w:val="1F2937"/>
                <w:sz w:val="17"/>
              </w:rPr>
              <w:t xml:space="preserve">, </w:t>
            </w:r>
            <w:r>
              <w:rPr>
                <w:rFonts w:ascii="Consolas" w:hAnsi="Consolas"/>
                <w:color w:val="17365D"/>
                <w:sz w:val="16"/>
              </w:rPr>
              <w:t>hybrid_active</w:t>
            </w:r>
            <w:r>
              <w:rPr>
                <w:rFonts w:ascii="Calibri" w:hAnsi="Calibri"/>
                <w:color w:val="1F2937"/>
                <w:sz w:val="17"/>
              </w:rPr>
            </w:r>
          </w:p>
        </w:tc>
        <w:tc>
          <w:tcPr>
            <w:tcW w:type="dxa" w:w="3460"/>
            <w:shd w:fill="F8FAFC"/>
          </w:tcPr>
          <w:p>
            <w:pPr>
              <w:spacing w:before="40" w:after="40" w:line="252" w:lineRule="auto"/>
            </w:pPr>
            <w:r>
              <w:rPr>
                <w:rFonts w:ascii="Calibri" w:hAnsi="Calibri"/>
                <w:color w:val="1F2937"/>
                <w:sz w:val="17"/>
              </w:rPr>
              <w:t>Should semantic planning be absent, observed in shadow, or allowed to drive active selections?</w:t>
            </w:r>
          </w:p>
        </w:tc>
      </w:tr>
    </w:tbl>
    <w:p>
      <w:pPr>
        <w:spacing w:after="40"/>
      </w:pPr>
    </w:p>
    <w:p>
      <w:pPr>
        <w:keepLines w:val="0"/>
        <w:spacing w:before="0" w:after="120" w:line="283" w:lineRule="auto"/>
      </w:pPr>
      <w:r>
        <w:rPr>
          <w:rFonts w:ascii="Calibri" w:hAnsi="Calibri"/>
          <w:color w:val="1F2937"/>
          <w:sz w:val="21"/>
        </w:rPr>
        <w:t xml:space="preserve">A system can therefore compile semantic understanding while leaving planner behavior in shadow, which is valuable for migration and evaluation. Conversely, </w:t>
      </w:r>
      <w:r>
        <w:rPr>
          <w:rFonts w:ascii="Consolas" w:hAnsi="Consolas"/>
          <w:color w:val="17365D"/>
          <w:sz w:val="18"/>
        </w:rPr>
        <w:t>hybrid_active</w:t>
      </w:r>
      <w:r>
        <w:rPr>
          <w:rFonts w:ascii="Calibri" w:hAnsi="Calibri"/>
          <w:color w:val="1F2937"/>
          <w:sz w:val="21"/>
        </w:rPr>
        <w:t xml:space="preserve"> planner behavior depends on a usable compiled hybrid model and compatible runtime settings.</w:t>
      </w:r>
    </w:p>
    <w:p>
      <w:pPr>
        <w:pStyle w:val="Heading2"/>
        <w:keepNext/>
      </w:pPr>
      <w:r>
        <w:t>6.2 The hybrid turn decision packet</w:t>
      </w:r>
    </w:p>
    <w:p>
      <w:pPr>
        <w:keepLines w:val="0"/>
        <w:spacing w:before="0" w:after="120" w:line="283" w:lineRule="auto"/>
      </w:pPr>
      <w:r>
        <w:rPr>
          <w:rFonts w:ascii="Calibri" w:hAnsi="Calibri"/>
          <w:color w:val="1F2937"/>
          <w:sz w:val="21"/>
        </w:rPr>
        <w:t>The planner constructs a decision packet rather than sending the full raw instruction document as undifferentiated text. The packet includes:</w:t>
      </w:r>
    </w:p>
    <w:p>
      <w:pPr>
        <w:pStyle w:val="ListBullet"/>
        <w:keepLines w:val="0"/>
        <w:spacing w:before="0" w:after="60" w:line="276" w:lineRule="auto"/>
        <w:ind w:left="720" w:hanging="360"/>
      </w:pPr>
      <w:r>
        <w:rPr>
          <w:rFonts w:ascii="Calibri" w:hAnsi="Calibri"/>
          <w:color w:val="1F2937"/>
          <w:sz w:val="21"/>
        </w:rPr>
        <w:t>the app mission, objective, constraints, security rules, and boundaries;</w:t>
      </w:r>
    </w:p>
    <w:p>
      <w:pPr>
        <w:pStyle w:val="ListBullet"/>
        <w:keepLines w:val="0"/>
        <w:spacing w:before="0" w:after="60" w:line="276" w:lineRule="auto"/>
        <w:ind w:left="720" w:hanging="360"/>
      </w:pPr>
      <w:r>
        <w:rPr>
          <w:rFonts w:ascii="Calibri" w:hAnsi="Calibri"/>
          <w:color w:val="1F2937"/>
          <w:sz w:val="21"/>
        </w:rPr>
        <w:t>interaction-logic summaries and the current session state;</w:t>
      </w:r>
    </w:p>
    <w:p>
      <w:pPr>
        <w:pStyle w:val="ListBullet"/>
        <w:keepLines w:val="0"/>
        <w:spacing w:before="0" w:after="60" w:line="276" w:lineRule="auto"/>
        <w:ind w:left="720" w:hanging="360"/>
      </w:pPr>
      <w:r>
        <w:rPr>
          <w:rFonts w:ascii="Calibri" w:hAnsi="Calibri"/>
          <w:color w:val="1F2937"/>
          <w:sz w:val="21"/>
        </w:rPr>
        <w:t>candidate roles, workflows, support modules, follow-up modules, supplementary workflows, procedures, and reachable steps;</w:t>
      </w:r>
    </w:p>
    <w:p>
      <w:pPr>
        <w:pStyle w:val="ListBullet"/>
        <w:keepLines w:val="0"/>
        <w:spacing w:before="0" w:after="60" w:line="276" w:lineRule="auto"/>
        <w:ind w:left="720" w:hanging="360"/>
      </w:pPr>
      <w:r>
        <w:rPr>
          <w:rFonts w:ascii="Calibri" w:hAnsi="Calibri"/>
          <w:color w:val="1F2937"/>
          <w:sz w:val="21"/>
        </w:rPr>
        <w:t>routing rules, module orchestration, and clarification-gate state;</w:t>
      </w:r>
    </w:p>
    <w:p>
      <w:pPr>
        <w:pStyle w:val="ListBullet"/>
        <w:keepLines w:val="0"/>
        <w:spacing w:before="0" w:after="60" w:line="276" w:lineRule="auto"/>
        <w:ind w:left="720" w:hanging="360"/>
      </w:pPr>
      <w:r>
        <w:rPr>
          <w:rFonts w:ascii="Calibri" w:hAnsi="Calibri"/>
          <w:color w:val="1F2937"/>
          <w:sz w:val="21"/>
        </w:rPr>
        <w:t>required decisions such as intent, role, target scope, continue-or-switch, clarification completion, and next execution unit.</w:t>
      </w:r>
    </w:p>
    <w:p>
      <w:pPr>
        <w:keepLines w:val="0"/>
        <w:spacing w:before="0" w:after="120" w:line="283" w:lineRule="auto"/>
      </w:pPr>
      <w:r>
        <w:rPr>
          <w:rFonts w:ascii="Calibri" w:hAnsi="Calibri"/>
          <w:color w:val="1F2937"/>
          <w:sz w:val="21"/>
        </w:rPr>
        <w:t xml:space="preserve">In </w:t>
      </w:r>
      <w:r>
        <w:rPr>
          <w:rFonts w:ascii="Consolas" w:hAnsi="Consolas"/>
          <w:color w:val="17365D"/>
          <w:sz w:val="18"/>
        </w:rPr>
        <w:t>hybrid_shadow</w:t>
      </w:r>
      <w:r>
        <w:rPr>
          <w:rFonts w:ascii="Calibri" w:hAnsi="Calibri"/>
          <w:color w:val="1F2937"/>
          <w:sz w:val="21"/>
        </w:rPr>
        <w:t xml:space="preserve">, the system can compute this semantic decision output for comparison without allowing it to control all execution choices. In </w:t>
      </w:r>
      <w:r>
        <w:rPr>
          <w:rFonts w:ascii="Consolas" w:hAnsi="Consolas"/>
          <w:color w:val="17365D"/>
          <w:sz w:val="18"/>
        </w:rPr>
        <w:t>hybrid_active</w:t>
      </w:r>
      <w:r>
        <w:rPr>
          <w:rFonts w:ascii="Calibri" w:hAnsi="Calibri"/>
          <w:color w:val="1F2937"/>
          <w:sz w:val="21"/>
        </w:rPr>
        <w:t>, helper functions use the selected workflow, role, routing rule, module queue, interaction-logic block, and step to influence the actual turn plan.</w:t>
      </w:r>
    </w:p>
    <w:p>
      <w:pPr>
        <w:pStyle w:val="Heading2"/>
        <w:keepNext/>
      </w:pPr>
      <w:r>
        <w:t>6.3 Compatibility consumers</w:t>
      </w:r>
    </w:p>
    <w:p>
      <w:pPr>
        <w:keepLines w:val="0"/>
        <w:spacing w:before="0" w:after="120" w:line="283" w:lineRule="auto"/>
      </w:pPr>
      <w:r>
        <w:rPr>
          <w:rFonts w:ascii="Calibri" w:hAnsi="Calibri"/>
          <w:color w:val="1F2937"/>
          <w:sz w:val="21"/>
        </w:rPr>
        <w:t xml:space="preserve">Not every runtime helper reads </w:t>
      </w:r>
      <w:r>
        <w:rPr>
          <w:rFonts w:ascii="Consolas" w:hAnsi="Consolas"/>
          <w:color w:val="17365D"/>
          <w:sz w:val="18"/>
        </w:rPr>
        <w:t>hybrid_instruction_runtime_model</w:t>
      </w:r>
      <w:r>
        <w:rPr>
          <w:rFonts w:ascii="Calibri" w:hAnsi="Calibri"/>
          <w:color w:val="1F2937"/>
          <w:sz w:val="21"/>
        </w:rPr>
        <w:t xml:space="preserve"> directly. Many existing functions consume </w:t>
      </w:r>
      <w:r>
        <w:rPr>
          <w:rFonts w:ascii="Consolas" w:hAnsi="Consolas"/>
          <w:color w:val="17365D"/>
          <w:sz w:val="18"/>
        </w:rPr>
        <w:t>state['instruction_runtime_model']</w:t>
      </w:r>
      <w:r>
        <w:rPr>
          <w:rFonts w:ascii="Calibri" w:hAnsi="Calibri"/>
          <w:color w:val="1F2937"/>
          <w:sz w:val="21"/>
        </w:rPr>
        <w:t xml:space="preserve"> for service blocks, procedures, steps, resources, dependency groups, and support modules. The compatibility projection deliberately copies validated hybrid fields into this established shape. This is incremental migration, not duplicated semantic authority.</w:t>
      </w:r>
    </w:p>
    <w:p>
      <w:pPr>
        <w:spacing w:before="120" w:after="160" w:line="276" w:lineRule="auto"/>
        <w:ind w:left="173" w:right="86"/>
        <w:shd w:fill="EEF4FA"/>
        <w:pBdr>
          <w:left w:val="single" w:sz="18" w:space="8" w:color="2E74B5"/>
        </w:pBdr>
      </w:pPr>
      <w:r>
        <w:rPr>
          <w:rFonts w:ascii="Calibri" w:hAnsi="Calibri"/>
          <w:b/>
          <w:color w:val="2E74B5"/>
          <w:sz w:val="20"/>
        </w:rPr>
        <w:t xml:space="preserve">Practical implication. </w:t>
      </w:r>
      <w:r>
        <w:rPr>
          <w:rFonts w:ascii="Calibri" w:hAnsi="Calibri"/>
          <w:color w:val="1F2937"/>
          <w:sz w:val="20"/>
        </w:rPr>
        <w:t>When debugging a turn, inspect both the hybrid model and the projected runtime model. The hybrid model shows semantic intent; the projection shows what compatibility-oriented consumers actually received.</w:t>
      </w:r>
    </w:p>
    <w:p>
      <w:pPr>
        <w:spacing w:before="40" w:after="160"/>
        <w:ind w:left="259"/>
      </w:pPr>
      <w:r>
        <w:rPr>
          <w:rFonts w:ascii="Calibri" w:hAnsi="Calibri"/>
          <w:b/>
          <w:color w:val="2E74B5"/>
          <w:sz w:val="17"/>
        </w:rPr>
        <w:t xml:space="preserve">Repository note. </w:t>
      </w:r>
      <w:r>
        <w:rPr>
          <w:rFonts w:ascii="Calibri" w:hAnsi="Calibri"/>
          <w:i/>
          <w:color w:val="5B6573"/>
          <w:sz w:val="17"/>
        </w:rPr>
        <w:t>Runtime loading is in `load_template_registry.py`; hybrid decision and active-selection behavior is in `workflows/nodes/planner.py`.</w:t>
      </w:r>
    </w:p>
    <w:p>
      <w:pPr>
        <w:pStyle w:val="Heading1"/>
        <w:keepNext/>
      </w:pPr>
      <w:r>
        <w:t>7. Persistence, freshness, and safety</w:t>
      </w:r>
    </w:p>
    <w:p>
      <w:pPr>
        <w:keepLines w:val="0"/>
        <w:spacing w:before="0" w:after="120" w:line="283" w:lineRule="auto"/>
      </w:pPr>
      <w:r>
        <w:rPr>
          <w:rFonts w:ascii="Calibri" w:hAnsi="Calibri"/>
          <w:color w:val="1F2937"/>
          <w:sz w:val="21"/>
        </w:rPr>
        <w:t>RAGenius treats compiled understanding as state, not an ephemeral prompt response. Each record stores the app ID, instruction hash and version, instruction URI, parser contract version, binding logic version, resource catalog hash, compile status and duration, errors, compiled contract, metadata, timestamp, and active flag.</w:t>
      </w:r>
    </w:p>
    <w:p>
      <w:pPr>
        <w:pStyle w:val="Heading2"/>
        <w:keepNext/>
      </w:pPr>
      <w:r>
        <w:t>7.1 Active record versus latest attempt</w:t>
      </w:r>
    </w:p>
    <w:p>
      <w:pPr>
        <w:keepLines w:val="0"/>
        <w:spacing w:before="0" w:after="120" w:line="283" w:lineRule="auto"/>
      </w:pPr>
      <w:r>
        <w:rPr>
          <w:rFonts w:ascii="Calibri" w:hAnsi="Calibri"/>
          <w:color w:val="1F2937"/>
          <w:sz w:val="21"/>
        </w:rPr>
        <w:t xml:space="preserve">The persistence API distinguishes the active record from the latest compiled record. That difference implements a last-known-good pattern. If semantic validation succeeds, the new record can become active and older records for the app are deactivated. If an attached semantic compile fails validation, the attempt is saved with </w:t>
      </w:r>
      <w:r>
        <w:rPr>
          <w:rFonts w:ascii="Consolas" w:hAnsi="Consolas"/>
          <w:color w:val="17365D"/>
          <w:sz w:val="18"/>
        </w:rPr>
        <w:t>publish_status = diagnostic_only</w:t>
      </w:r>
      <w:r>
        <w:rPr>
          <w:rFonts w:ascii="Calibri" w:hAnsi="Calibri"/>
          <w:color w:val="1F2937"/>
          <w:sz w:val="21"/>
        </w:rPr>
        <w:t>; the active record is not displaced, and metadata records the preserved active record ID.</w:t>
      </w:r>
    </w:p>
    <w:p>
      <w:pPr>
        <w:keepLines w:val="0"/>
        <w:spacing w:before="0" w:after="120" w:line="283" w:lineRule="auto"/>
      </w:pPr>
      <w:r>
        <w:rPr>
          <w:rFonts w:ascii="Calibri" w:hAnsi="Calibri"/>
          <w:color w:val="1F2937"/>
          <w:sz w:val="21"/>
        </w:rPr>
        <w:t>This prevents a transient model error, malformed tool response, or newly ambiguous instruction edit from silently changing production behavior. Operators can inspect the failed attempt while sessions continue using the valid contract.</w:t>
      </w:r>
    </w:p>
    <w:p>
      <w:pPr>
        <w:pStyle w:val="Heading2"/>
        <w:keepNext/>
      </w:pPr>
      <w:r>
        <w:t>7.2 Snapshots and recovery</w:t>
      </w:r>
    </w:p>
    <w:p>
      <w:pPr>
        <w:keepLines w:val="0"/>
        <w:spacing w:before="0" w:after="120" w:line="283" w:lineRule="auto"/>
      </w:pPr>
      <w:r>
        <w:rPr>
          <w:rFonts w:ascii="Calibri" w:hAnsi="Calibri"/>
          <w:color w:val="1F2937"/>
          <w:sz w:val="21"/>
        </w:rPr>
        <w:t xml:space="preserve">The service writes a full </w:t>
      </w:r>
      <w:r>
        <w:rPr>
          <w:rFonts w:ascii="Consolas" w:hAnsi="Consolas"/>
          <w:color w:val="17365D"/>
          <w:sz w:val="18"/>
        </w:rPr>
        <w:t>understanding.json</w:t>
      </w:r>
      <w:r>
        <w:rPr>
          <w:rFonts w:ascii="Calibri" w:hAnsi="Calibri"/>
          <w:color w:val="1F2937"/>
          <w:sz w:val="21"/>
        </w:rPr>
        <w:t xml:space="preserve"> snapshot and a concise </w:t>
      </w:r>
      <w:r>
        <w:rPr>
          <w:rFonts w:ascii="Consolas" w:hAnsi="Consolas"/>
          <w:color w:val="17365D"/>
          <w:sz w:val="18"/>
        </w:rPr>
        <w:t>understanding.md</w:t>
      </w:r>
      <w:r>
        <w:rPr>
          <w:rFonts w:ascii="Calibri" w:hAnsi="Calibri"/>
          <w:color w:val="1F2937"/>
          <w:sz w:val="21"/>
        </w:rPr>
        <w:t xml:space="preserve"> summary. It can hydrate runtime state from snapshots when no active database record is present. Candidate snapshot roots are ranked, and only records with valid semantic runtime evidence are accepted for restoration. This supports local inspection and recovery without turning the snapshot path into an independent source of semantic truth.</w:t>
      </w:r>
    </w:p>
    <w:p>
      <w:pPr>
        <w:pStyle w:val="Heading2"/>
        <w:keepNext/>
      </w:pPr>
      <w:r>
        <w:t>7.3 Freshness is multidimensional</w:t>
      </w:r>
    </w:p>
    <w:p>
      <w:pPr>
        <w:keepLines w:val="0"/>
        <w:spacing w:before="0" w:after="120" w:line="283" w:lineRule="auto"/>
      </w:pPr>
      <w:r>
        <w:rPr>
          <w:rFonts w:ascii="Calibri" w:hAnsi="Calibri"/>
          <w:color w:val="1F2937"/>
          <w:sz w:val="21"/>
        </w:rPr>
        <w:t xml:space="preserve">A compiled model can be stale even when the Markdown has not changed. </w:t>
      </w:r>
      <w:r>
        <w:rPr>
          <w:rFonts w:ascii="Consolas" w:hAnsi="Consolas"/>
          <w:color w:val="17365D"/>
          <w:sz w:val="18"/>
        </w:rPr>
        <w:t>evaluate_instruction_understanding_cache()</w:t>
      </w:r>
      <w:r>
        <w:rPr>
          <w:rFonts w:ascii="Calibri" w:hAnsi="Calibri"/>
          <w:color w:val="1F2937"/>
          <w:sz w:val="21"/>
        </w:rPr>
        <w:t xml:space="preserve"> checks the following in order:</w:t>
      </w:r>
    </w:p>
    <w:p>
      <w:pPr>
        <w:pStyle w:val="ListBullet"/>
        <w:keepLines w:val="0"/>
        <w:spacing w:before="0" w:after="60" w:line="276" w:lineRule="auto"/>
        <w:ind w:left="720" w:hanging="360"/>
      </w:pPr>
      <w:r>
        <w:rPr>
          <w:rFonts w:ascii="Calibri" w:hAnsi="Calibri"/>
          <w:color w:val="1F2937"/>
          <w:sz w:val="21"/>
        </w:rPr>
        <w:t>instruction source hash;</w:t>
      </w:r>
    </w:p>
    <w:p>
      <w:pPr>
        <w:pStyle w:val="ListBullet"/>
        <w:keepLines w:val="0"/>
        <w:spacing w:before="0" w:after="60" w:line="276" w:lineRule="auto"/>
        <w:ind w:left="720" w:hanging="360"/>
      </w:pPr>
      <w:r>
        <w:rPr>
          <w:rFonts w:ascii="Calibri" w:hAnsi="Calibri"/>
          <w:color w:val="1F2937"/>
          <w:sz w:val="21"/>
        </w:rPr>
        <w:t>parser contract version;</w:t>
      </w:r>
    </w:p>
    <w:p>
      <w:pPr>
        <w:pStyle w:val="ListBullet"/>
        <w:keepLines w:val="0"/>
        <w:spacing w:before="0" w:after="60" w:line="276" w:lineRule="auto"/>
        <w:ind w:left="720" w:hanging="360"/>
      </w:pPr>
      <w:r>
        <w:rPr>
          <w:rFonts w:ascii="Calibri" w:hAnsi="Calibri"/>
          <w:color w:val="1F2937"/>
          <w:sz w:val="21"/>
        </w:rPr>
        <w:t>binding logic version;</w:t>
      </w:r>
    </w:p>
    <w:p>
      <w:pPr>
        <w:pStyle w:val="ListBullet"/>
        <w:keepLines w:val="0"/>
        <w:spacing w:before="0" w:after="60" w:line="276" w:lineRule="auto"/>
        <w:ind w:left="720" w:hanging="360"/>
      </w:pPr>
      <w:r>
        <w:rPr>
          <w:rFonts w:ascii="Calibri" w:hAnsi="Calibri"/>
          <w:color w:val="1F2937"/>
          <w:sz w:val="21"/>
        </w:rPr>
        <w:t>resource catalog hash;</w:t>
      </w:r>
    </w:p>
    <w:p>
      <w:pPr>
        <w:pStyle w:val="ListBullet"/>
        <w:keepLines w:val="0"/>
        <w:spacing w:before="0" w:after="60" w:line="276" w:lineRule="auto"/>
        <w:ind w:left="720" w:hanging="360"/>
      </w:pPr>
      <w:r>
        <w:rPr>
          <w:rFonts w:ascii="Calibri" w:hAnsi="Calibri"/>
          <w:color w:val="1F2937"/>
          <w:sz w:val="21"/>
        </w:rPr>
        <w:t>semantic compiler version and semantic compile prompt version, when applicable;</w:t>
      </w:r>
    </w:p>
    <w:p>
      <w:pPr>
        <w:pStyle w:val="ListBullet"/>
        <w:keepLines w:val="0"/>
        <w:spacing w:before="0" w:after="60" w:line="276" w:lineRule="auto"/>
        <w:ind w:left="720" w:hanging="360"/>
      </w:pPr>
      <w:r>
        <w:rPr>
          <w:rFonts w:ascii="Calibri" w:hAnsi="Calibri"/>
          <w:color w:val="1F2937"/>
          <w:sz w:val="21"/>
        </w:rPr>
        <w:t>compiled status.</w:t>
      </w:r>
    </w:p>
    <w:p>
      <w:pPr>
        <w:keepLines w:val="0"/>
        <w:spacing w:before="0" w:after="120" w:line="283" w:lineRule="auto"/>
      </w:pPr>
      <w:r>
        <w:rPr>
          <w:rFonts w:ascii="Calibri" w:hAnsi="Calibri"/>
          <w:color w:val="1F2937"/>
          <w:sz w:val="21"/>
        </w:rPr>
        <w:t>This matters because application meaning depends on more than prose. Adding, renaming, or removing a registered document can invalidate bindings. Updating the parser or grounding logic can change structure. Updating the semantic compiler prompt can change interpretation. The cache status reports both an overall state and explicit stale reasons.</w:t>
      </w:r>
    </w:p>
    <w:p>
      <w:pPr>
        <w:pStyle w:val="Heading2"/>
        <w:keepNext/>
      </w:pPr>
      <w:r>
        <w:t>7.4 Application scope is a security boundary</w:t>
      </w:r>
    </w:p>
    <w:p>
      <w:pPr>
        <w:keepLines w:val="0"/>
        <w:spacing w:before="0" w:after="120" w:line="283" w:lineRule="auto"/>
      </w:pPr>
      <w:r>
        <w:rPr>
          <w:rFonts w:ascii="Calibri" w:hAnsi="Calibri"/>
          <w:color w:val="1F2937"/>
          <w:sz w:val="21"/>
        </w:rPr>
        <w:t xml:space="preserve">Every compile, persistence, hydration, review, planning, and retrieval operation must resolve against the intended </w:t>
      </w:r>
      <w:r>
        <w:rPr>
          <w:rFonts w:ascii="Consolas" w:hAnsi="Consolas"/>
          <w:color w:val="17365D"/>
          <w:sz w:val="18"/>
        </w:rPr>
        <w:t>app_id</w:t>
      </w:r>
      <w:r>
        <w:rPr>
          <w:rFonts w:ascii="Calibri" w:hAnsi="Calibri"/>
          <w:color w:val="1F2937"/>
          <w:sz w:val="21"/>
        </w:rPr>
        <w:t xml:space="preserve">. The compiler context carries the </w:t>
      </w:r>
      <w:r>
        <w:rPr>
          <w:rFonts w:ascii="Consolas" w:hAnsi="Consolas"/>
          <w:color w:val="17365D"/>
          <w:sz w:val="18"/>
        </w:rPr>
        <w:t>app_id</w:t>
      </w:r>
      <w:r>
        <w:rPr>
          <w:rFonts w:ascii="Calibri" w:hAnsi="Calibri"/>
          <w:color w:val="1F2937"/>
          <w:sz w:val="21"/>
        </w:rPr>
        <w:t xml:space="preserve">; records and snapshots are keyed by </w:t>
      </w:r>
      <w:r>
        <w:rPr>
          <w:rFonts w:ascii="Consolas" w:hAnsi="Consolas"/>
          <w:color w:val="17365D"/>
          <w:sz w:val="18"/>
        </w:rPr>
        <w:t>app_id</w:t>
      </w:r>
      <w:r>
        <w:rPr>
          <w:rFonts w:ascii="Calibri" w:hAnsi="Calibri"/>
          <w:color w:val="1F2937"/>
          <w:sz w:val="21"/>
        </w:rPr>
        <w:t>; the planner decision packet uses the application collection ID; and retrieval filters are enforced back to the application scope. These are not merely organizational labels. They prevent one application's instructions, documents, routes, or evidence from influencing another application's runtime behavior.</w:t>
      </w:r>
    </w:p>
    <w:p>
      <w:pPr>
        <w:keepLines w:val="0"/>
        <w:spacing w:before="0" w:after="120" w:line="283" w:lineRule="auto"/>
      </w:pPr>
      <w:r>
        <w:rPr>
          <w:rFonts w:ascii="Calibri" w:hAnsi="Calibri"/>
          <w:color w:val="1F2937"/>
          <w:sz w:val="21"/>
        </w:rPr>
        <w:t xml:space="preserve">Shared compiler code is therefore safe only when all inputs and outputs preserve this boundary. A cache keyed solely by instruction text, a snapshot loaded without checking its </w:t>
      </w:r>
      <w:r>
        <w:rPr>
          <w:rFonts w:ascii="Consolas" w:hAnsi="Consolas"/>
          <w:color w:val="17365D"/>
          <w:sz w:val="18"/>
        </w:rPr>
        <w:t>app_id</w:t>
      </w:r>
      <w:r>
        <w:rPr>
          <w:rFonts w:ascii="Calibri" w:hAnsi="Calibri"/>
          <w:color w:val="1F2937"/>
          <w:sz w:val="21"/>
        </w:rPr>
        <w:t>, or a retrieval plan allowed to override the collection filter would weaken the platform's central isolation guarantee.</w:t>
      </w:r>
    </w:p>
    <w:p>
      <w:pPr>
        <w:spacing w:before="120" w:after="160" w:line="276" w:lineRule="auto"/>
        <w:ind w:left="173" w:right="86"/>
        <w:shd w:fill="EEF4FA"/>
        <w:pBdr>
          <w:left w:val="single" w:sz="18" w:space="8" w:color="2E74B5"/>
        </w:pBdr>
      </w:pPr>
      <w:r>
        <w:rPr>
          <w:rFonts w:ascii="Calibri" w:hAnsi="Calibri"/>
          <w:b/>
          <w:color w:val="2E74B5"/>
          <w:sz w:val="20"/>
        </w:rPr>
        <w:t xml:space="preserve">Safety model. </w:t>
      </w:r>
      <w:r>
        <w:rPr>
          <w:rFonts w:ascii="Calibri" w:hAnsi="Calibri"/>
          <w:color w:val="1F2937"/>
          <w:sz w:val="20"/>
        </w:rPr>
        <w:t>The active artifact is trusted because it matches known source fingerprints and contract versions and has passed the publication rule - not merely because a compile call returned JSON.</w:t>
      </w:r>
    </w:p>
    <w:p>
      <w:pPr>
        <w:spacing w:before="40" w:after="160"/>
        <w:ind w:left="259"/>
      </w:pPr>
      <w:r>
        <w:rPr>
          <w:rFonts w:ascii="Calibri" w:hAnsi="Calibri"/>
          <w:b/>
          <w:color w:val="2E74B5"/>
          <w:sz w:val="17"/>
        </w:rPr>
        <w:t xml:space="preserve">Repository note. </w:t>
      </w:r>
      <w:r>
        <w:rPr>
          <w:rFonts w:ascii="Calibri" w:hAnsi="Calibri"/>
          <w:i/>
          <w:color w:val="5B6573"/>
          <w:sz w:val="17"/>
        </w:rPr>
        <w:t>Persistence methods are in `chat_repos.py`; hashing, snapshots, hydration, status, and publication are in `instruction_understanding_service.py`.</w:t>
      </w:r>
    </w:p>
    <w:p>
      <w:pPr>
        <w:pStyle w:val="Heading1"/>
        <w:keepNext/>
      </w:pPr>
      <w:r>
        <w:t>8. Review, approval, and revision</w:t>
      </w:r>
    </w:p>
    <w:p>
      <w:pPr>
        <w:keepLines w:val="0"/>
        <w:spacing w:before="0" w:after="120" w:line="283" w:lineRule="auto"/>
      </w:pPr>
      <w:r>
        <w:rPr>
          <w:rFonts w:ascii="Calibri" w:hAnsi="Calibri"/>
          <w:color w:val="1F2937"/>
          <w:sz w:val="21"/>
        </w:rPr>
        <w:t>Compilation answers 'what does this instruction document mean operationally?' Review asks a different question: 'is that interpretation plausible, internally consistent, and safe to use?' RAGenius models review as a separate advisory lifecycle.</w:t>
      </w:r>
    </w:p>
    <w:p>
      <w:pPr>
        <w:keepLines w:val="0"/>
        <w:spacing w:before="0" w:after="120" w:line="283" w:lineRule="auto"/>
      </w:pPr>
      <w:r>
        <w:rPr>
          <w:rFonts w:ascii="Calibri" w:hAnsi="Calibri"/>
          <w:color w:val="1F2937"/>
          <w:sz w:val="21"/>
        </w:rPr>
        <w:t>The review prompt looks for false triggers, phantom resources, empty step bodies, prose-only procedures, incorrect default-workflow assumptions, weak role routing, and inconsistent module orchestration. Review findings are linked to the compiled source state, including instruction hash, parser contract version, binding version, and resource catalog hash. A review for an older compiled state is not silently treated as current.</w:t>
      </w:r>
    </w:p>
    <w:p>
      <w:pPr>
        <w:keepLines w:val="0"/>
        <w:spacing w:before="0" w:after="120" w:line="283" w:lineRule="auto"/>
      </w:pPr>
      <w:r>
        <w:rPr>
          <w:rFonts w:ascii="Calibri" w:hAnsi="Calibri"/>
          <w:color w:val="1F2937"/>
          <w:sz w:val="21"/>
        </w:rPr>
        <w:t>Human approval selects findings that are authorized to affect revision. The reviser receives the compiled contract, review findings, and only the approved findings. Its prompt instructs it to revise approved areas and preserve IDs where possible. The revised semantic model is validated again, and the revision record captures preserved IDs, changed IDs, notes, confidence, and validation status.</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tcMar>
              <w:top w:w="80" w:type="dxa"/>
              <w:start w:w="120" w:type="dxa"/>
              <w:bottom w:w="80" w:type="dxa"/>
              <w:end w:w="120" w:type="dxa"/>
            </w:tcMar>
            <w:vAlign w:val="center"/>
            <w:shd w:fill="DCE6F1"/>
          </w:tcPr>
          <w:p>
            <w:pPr>
              <w:spacing w:before="40" w:after="40"/>
              <w:jc w:val="left"/>
            </w:pPr>
            <w:r>
              <w:rPr>
                <w:rFonts w:ascii="Calibri" w:hAnsi="Calibri"/>
                <w:b/>
                <w:color w:val="17365D"/>
                <w:sz w:val="17"/>
              </w:rPr>
              <w:t>Lifecycle stage</w:t>
            </w:r>
          </w:p>
        </w:tc>
        <w:tc>
          <w:tcPr>
            <w:tcW w:type="dxa" w:w="3300"/>
            <w:tcMar>
              <w:top w:w="80" w:type="dxa"/>
              <w:start w:w="120" w:type="dxa"/>
              <w:bottom w:w="80" w:type="dxa"/>
              <w:end w:w="120" w:type="dxa"/>
            </w:tcMar>
            <w:vAlign w:val="center"/>
            <w:shd w:fill="DCE6F1"/>
          </w:tcPr>
          <w:p>
            <w:pPr>
              <w:spacing w:before="40" w:after="40"/>
              <w:jc w:val="left"/>
            </w:pPr>
            <w:r>
              <w:rPr>
                <w:rFonts w:ascii="Calibri" w:hAnsi="Calibri"/>
                <w:b/>
                <w:color w:val="17365D"/>
                <w:sz w:val="17"/>
              </w:rPr>
              <w:t>Authority</w:t>
            </w:r>
          </w:p>
        </w:tc>
        <w:tc>
          <w:tcPr>
            <w:tcW w:type="dxa" w:w="4260"/>
            <w:tcMar>
              <w:top w:w="80" w:type="dxa"/>
              <w:start w:w="120" w:type="dxa"/>
              <w:bottom w:w="80" w:type="dxa"/>
              <w:end w:w="120" w:type="dxa"/>
            </w:tcMar>
            <w:vAlign w:val="center"/>
            <w:shd w:fill="DCE6F1"/>
          </w:tcPr>
          <w:p>
            <w:pPr>
              <w:spacing w:before="40" w:after="40"/>
              <w:jc w:val="left"/>
            </w:pPr>
            <w:r>
              <w:rPr>
                <w:rFonts w:ascii="Calibri" w:hAnsi="Calibri"/>
                <w:b/>
                <w:color w:val="17365D"/>
                <w:sz w:val="17"/>
              </w:rPr>
              <w:t>Mutation behavior</w:t>
            </w:r>
          </w:p>
        </w:tc>
      </w:tr>
      <w:tr>
        <w:tc>
          <w:tcPr>
            <w:tcW w:type="dxa" w:w="1800"/>
          </w:tcPr>
          <w:p>
            <w:pPr>
              <w:spacing w:before="40" w:after="40" w:line="252" w:lineRule="auto"/>
            </w:pPr>
            <w:r>
              <w:rPr>
                <w:rFonts w:ascii="Calibri" w:hAnsi="Calibri"/>
                <w:color w:val="1F2937"/>
                <w:sz w:val="17"/>
              </w:rPr>
              <w:t>Compile</w:t>
            </w:r>
          </w:p>
        </w:tc>
        <w:tc>
          <w:tcPr>
            <w:tcW w:type="dxa" w:w="3300"/>
          </w:tcPr>
          <w:p>
            <w:pPr>
              <w:spacing w:before="40" w:after="40" w:line="252" w:lineRule="auto"/>
            </w:pPr>
            <w:r>
              <w:rPr>
                <w:rFonts w:ascii="Calibri" w:hAnsi="Calibri"/>
                <w:color w:val="1F2937"/>
                <w:sz w:val="17"/>
              </w:rPr>
              <w:t>Parser + configured semantic LLM + validator</w:t>
            </w:r>
          </w:p>
        </w:tc>
        <w:tc>
          <w:tcPr>
            <w:tcW w:type="dxa" w:w="4260"/>
          </w:tcPr>
          <w:p>
            <w:pPr>
              <w:spacing w:before="40" w:after="40" w:line="252" w:lineRule="auto"/>
            </w:pPr>
            <w:r>
              <w:rPr>
                <w:rFonts w:ascii="Calibri" w:hAnsi="Calibri"/>
                <w:color w:val="1F2937"/>
                <w:sz w:val="17"/>
              </w:rPr>
              <w:t>May publish a valid new active record.</w:t>
            </w:r>
          </w:p>
        </w:tc>
      </w:tr>
      <w:tr>
        <w:tc>
          <w:tcPr>
            <w:tcW w:type="dxa" w:w="1800"/>
            <w:shd w:fill="F8FAFC"/>
          </w:tcPr>
          <w:p>
            <w:pPr>
              <w:spacing w:before="40" w:after="40" w:line="252" w:lineRule="auto"/>
            </w:pPr>
            <w:r>
              <w:rPr>
                <w:rFonts w:ascii="Calibri" w:hAnsi="Calibri"/>
                <w:color w:val="1F2937"/>
                <w:sz w:val="17"/>
              </w:rPr>
              <w:t>Review</w:t>
            </w:r>
          </w:p>
        </w:tc>
        <w:tc>
          <w:tcPr>
            <w:tcW w:type="dxa" w:w="3300"/>
            <w:shd w:fill="F8FAFC"/>
          </w:tcPr>
          <w:p>
            <w:pPr>
              <w:spacing w:before="40" w:after="40" w:line="252" w:lineRule="auto"/>
            </w:pPr>
            <w:r>
              <w:rPr>
                <w:rFonts w:ascii="Calibri" w:hAnsi="Calibri"/>
                <w:color w:val="1F2937"/>
                <w:sz w:val="17"/>
              </w:rPr>
              <w:t>Configured review LLM</w:t>
            </w:r>
          </w:p>
        </w:tc>
        <w:tc>
          <w:tcPr>
            <w:tcW w:type="dxa" w:w="4260"/>
            <w:shd w:fill="F8FAFC"/>
          </w:tcPr>
          <w:p>
            <w:pPr>
              <w:spacing w:before="40" w:after="40" w:line="252" w:lineRule="auto"/>
            </w:pPr>
            <w:r>
              <w:rPr>
                <w:rFonts w:ascii="Calibri" w:hAnsi="Calibri"/>
                <w:color w:val="1F2937"/>
                <w:sz w:val="17"/>
              </w:rPr>
              <w:t>Advisory; persists findings and recommendations without directly changing runtime execution.</w:t>
            </w:r>
          </w:p>
        </w:tc>
      </w:tr>
      <w:tr>
        <w:tc>
          <w:tcPr>
            <w:tcW w:type="dxa" w:w="1800"/>
          </w:tcPr>
          <w:p>
            <w:pPr>
              <w:spacing w:before="40" w:after="40" w:line="252" w:lineRule="auto"/>
            </w:pPr>
            <w:r>
              <w:rPr>
                <w:rFonts w:ascii="Calibri" w:hAnsi="Calibri"/>
                <w:color w:val="1F2937"/>
                <w:sz w:val="17"/>
              </w:rPr>
              <w:t>Approve</w:t>
            </w:r>
          </w:p>
        </w:tc>
        <w:tc>
          <w:tcPr>
            <w:tcW w:type="dxa" w:w="3300"/>
          </w:tcPr>
          <w:p>
            <w:pPr>
              <w:spacing w:before="40" w:after="40" w:line="252" w:lineRule="auto"/>
            </w:pPr>
            <w:r>
              <w:rPr>
                <w:rFonts w:ascii="Calibri" w:hAnsi="Calibri"/>
                <w:color w:val="1F2937"/>
                <w:sz w:val="17"/>
              </w:rPr>
              <w:t>Human or administrative actor</w:t>
            </w:r>
          </w:p>
        </w:tc>
        <w:tc>
          <w:tcPr>
            <w:tcW w:type="dxa" w:w="4260"/>
          </w:tcPr>
          <w:p>
            <w:pPr>
              <w:spacing w:before="40" w:after="40" w:line="252" w:lineRule="auto"/>
            </w:pPr>
            <w:r>
              <w:rPr>
                <w:rFonts w:ascii="Calibri" w:hAnsi="Calibri"/>
                <w:color w:val="1F2937"/>
                <w:sz w:val="17"/>
              </w:rPr>
              <w:t>Selects which findings may drive revision.</w:t>
            </w:r>
          </w:p>
        </w:tc>
      </w:tr>
      <w:tr>
        <w:tc>
          <w:tcPr>
            <w:tcW w:type="dxa" w:w="1800"/>
            <w:shd w:fill="F8FAFC"/>
          </w:tcPr>
          <w:p>
            <w:pPr>
              <w:spacing w:before="40" w:after="40" w:line="252" w:lineRule="auto"/>
            </w:pPr>
            <w:r>
              <w:rPr>
                <w:rFonts w:ascii="Calibri" w:hAnsi="Calibri"/>
                <w:color w:val="1F2937"/>
                <w:sz w:val="17"/>
              </w:rPr>
              <w:t>Revise</w:t>
            </w:r>
          </w:p>
        </w:tc>
        <w:tc>
          <w:tcPr>
            <w:tcW w:type="dxa" w:w="3300"/>
            <w:shd w:fill="F8FAFC"/>
          </w:tcPr>
          <w:p>
            <w:pPr>
              <w:spacing w:before="40" w:after="40" w:line="252" w:lineRule="auto"/>
            </w:pPr>
            <w:r>
              <w:rPr>
                <w:rFonts w:ascii="Calibri" w:hAnsi="Calibri"/>
                <w:color w:val="1F2937"/>
                <w:sz w:val="17"/>
              </w:rPr>
              <w:t>Configured revision LLM + validator</w:t>
            </w:r>
          </w:p>
        </w:tc>
        <w:tc>
          <w:tcPr>
            <w:tcW w:type="dxa" w:w="4260"/>
            <w:shd w:fill="F8FAFC"/>
          </w:tcPr>
          <w:p>
            <w:pPr>
              <w:spacing w:before="40" w:after="40" w:line="252" w:lineRule="auto"/>
            </w:pPr>
            <w:r>
              <w:rPr>
                <w:rFonts w:ascii="Calibri" w:hAnsi="Calibri"/>
                <w:color w:val="1F2937"/>
                <w:sz w:val="17"/>
              </w:rPr>
              <w:t>Creates a validated revision record constrained to approved findings.</w:t>
            </w:r>
          </w:p>
        </w:tc>
      </w:tr>
      <w:tr>
        <w:tc>
          <w:tcPr>
            <w:tcW w:type="dxa" w:w="1800"/>
          </w:tcPr>
          <w:p>
            <w:pPr>
              <w:spacing w:before="40" w:after="40" w:line="252" w:lineRule="auto"/>
            </w:pPr>
            <w:r>
              <w:rPr>
                <w:rFonts w:ascii="Calibri" w:hAnsi="Calibri"/>
                <w:color w:val="1F2937"/>
                <w:sz w:val="17"/>
              </w:rPr>
              <w:t>Inspect</w:t>
            </w:r>
          </w:p>
        </w:tc>
        <w:tc>
          <w:tcPr>
            <w:tcW w:type="dxa" w:w="3300"/>
          </w:tcPr>
          <w:p>
            <w:pPr>
              <w:spacing w:before="40" w:after="40" w:line="252" w:lineRule="auto"/>
            </w:pPr>
            <w:r>
              <w:rPr>
                <w:rFonts w:ascii="Calibri" w:hAnsi="Calibri"/>
                <w:color w:val="1F2937"/>
                <w:sz w:val="17"/>
              </w:rPr>
              <w:t>Builder read-only projection</w:t>
            </w:r>
          </w:p>
        </w:tc>
        <w:tc>
          <w:tcPr>
            <w:tcW w:type="dxa" w:w="4260"/>
          </w:tcPr>
          <w:p>
            <w:pPr>
              <w:spacing w:before="40" w:after="40" w:line="252" w:lineRule="auto"/>
            </w:pPr>
            <w:r>
              <w:rPr>
                <w:rFonts w:ascii="Calibri" w:hAnsi="Calibri"/>
                <w:color w:val="1F2937"/>
                <w:sz w:val="17"/>
              </w:rPr>
              <w:t>Displays the runtime artifact; must not invent a second interpretation.</w:t>
            </w:r>
          </w:p>
        </w:tc>
      </w:tr>
    </w:tbl>
    <w:p>
      <w:pPr>
        <w:spacing w:after="40"/>
      </w:pPr>
    </w:p>
    <w:p>
      <w:pPr>
        <w:keepLines w:val="0"/>
        <w:spacing w:before="0" w:after="120" w:line="283" w:lineRule="auto"/>
      </w:pPr>
      <w:r>
        <w:rPr>
          <w:rFonts w:ascii="Calibri" w:hAnsi="Calibri"/>
          <w:color w:val="1F2937"/>
          <w:sz w:val="21"/>
        </w:rPr>
        <w:t>The Builder GUI contract requires designers to see compile status, runtime mode, service blocks, procedures, resources, policies, validation, staleness, and raw JSON. It also preserves an important boundary: opening a passive preview should not silently mutate runtime state. Compile, review, and refresh are explicit actions.</w:t>
      </w:r>
    </w:p>
    <w:p>
      <w:pPr>
        <w:spacing w:before="40" w:after="160"/>
        <w:ind w:left="259"/>
      </w:pPr>
      <w:r>
        <w:rPr>
          <w:rFonts w:ascii="Calibri" w:hAnsi="Calibri"/>
          <w:b/>
          <w:color w:val="2E74B5"/>
          <w:sz w:val="17"/>
        </w:rPr>
        <w:t xml:space="preserve">Repository note. </w:t>
      </w:r>
      <w:r>
        <w:rPr>
          <w:rFonts w:ascii="Calibri" w:hAnsi="Calibri"/>
          <w:i/>
          <w:color w:val="5B6573"/>
          <w:sz w:val="17"/>
        </w:rPr>
        <w:t>Lifecycle functions are in `instruction_understanding_service.py`; persistence records are in `chat_repos.py`; UI consistency rules are in `builder_gui_instruction_model_contract.md`.</w:t>
      </w:r>
    </w:p>
    <w:p>
      <w:pPr>
        <w:pStyle w:val="Heading1"/>
        <w:keepNext/>
      </w:pPr>
      <w:r>
        <w:t>9. Worked example: a research assistant</w:t>
      </w:r>
    </w:p>
    <w:p>
      <w:pPr>
        <w:spacing w:before="120" w:after="160" w:line="276" w:lineRule="auto"/>
        <w:ind w:left="173" w:right="86"/>
        <w:shd w:fill="FFF8E8"/>
        <w:pBdr>
          <w:left w:val="single" w:sz="18" w:space="8" w:color="B07D21"/>
        </w:pBdr>
      </w:pPr>
      <w:r>
        <w:rPr>
          <w:rFonts w:ascii="Calibri" w:hAnsi="Calibri"/>
          <w:b/>
          <w:color w:val="B07D21"/>
          <w:sz w:val="20"/>
        </w:rPr>
        <w:t xml:space="preserve">Illustrative example. </w:t>
      </w:r>
      <w:r>
        <w:rPr>
          <w:rFonts w:ascii="Calibri" w:hAnsi="Calibri"/>
          <w:color w:val="1F2937"/>
          <w:sz w:val="20"/>
        </w:rPr>
        <w:t>The following model is designed to explain the architecture. It is not an exact production snapshot and omits many low-level fields for readability.</w:t>
      </w:r>
    </w:p>
    <w:p>
      <w:pPr>
        <w:pStyle w:val="Heading2"/>
        <w:keepNext/>
      </w:pPr>
      <w:r>
        <w:t>9.1 Authored instructions</w:t>
      </w:r>
    </w:p>
    <w:p>
      <w:pPr>
        <w:keepLines w:val="0"/>
        <w:spacing w:before="0" w:after="120" w:line="283" w:lineRule="auto"/>
      </w:pPr>
      <w:r>
        <w:rPr>
          <w:rFonts w:ascii="Calibri" w:hAnsi="Calibri"/>
          <w:color w:val="1F2937"/>
          <w:sz w:val="21"/>
        </w:rPr>
        <w:t xml:space="preserve">Imagine an application named </w:t>
      </w:r>
      <w:r>
        <w:rPr>
          <w:rFonts w:ascii="Calibri" w:hAnsi="Calibri"/>
          <w:b/>
          <w:color w:val="1F2937"/>
          <w:sz w:val="21"/>
        </w:rPr>
        <w:t>Evidence Research Assistant</w:t>
      </w:r>
      <w:r>
        <w:rPr>
          <w:rFonts w:ascii="Calibri" w:hAnsi="Calibri"/>
          <w:color w:val="1F2937"/>
          <w:sz w:val="21"/>
        </w:rPr>
        <w:t>. Its Builder instructions contain the following intent:</w:t>
      </w:r>
    </w:p>
    <w:p>
      <w:pPr>
        <w:pStyle w:val="ListBullet"/>
        <w:keepLines w:val="0"/>
        <w:spacing w:before="0" w:after="60" w:line="276" w:lineRule="auto"/>
        <w:ind w:left="720" w:hanging="360"/>
      </w:pPr>
      <w:r>
        <w:rPr>
          <w:rFonts w:ascii="Calibri" w:hAnsi="Calibri"/>
          <w:color w:val="1F2937"/>
          <w:sz w:val="21"/>
        </w:rPr>
        <w:t>Mission: help researchers produce evidence-grounded literature syntheses.</w:t>
      </w:r>
    </w:p>
    <w:p>
      <w:pPr>
        <w:pStyle w:val="ListBullet"/>
        <w:keepLines w:val="0"/>
        <w:spacing w:before="0" w:after="60" w:line="276" w:lineRule="auto"/>
        <w:ind w:left="720" w:hanging="360"/>
      </w:pPr>
      <w:r>
        <w:rPr>
          <w:rFonts w:ascii="Calibri" w:hAnsi="Calibri"/>
          <w:color w:val="1F2937"/>
          <w:sz w:val="21"/>
        </w:rPr>
        <w:t>Default workflow - Literature Review: clarify the research question, retrieve registered papers, compare findings, and write a synthesis with citations.</w:t>
      </w:r>
    </w:p>
    <w:p>
      <w:pPr>
        <w:pStyle w:val="ListBullet"/>
        <w:keepLines w:val="0"/>
        <w:spacing w:before="0" w:after="60" w:line="276" w:lineRule="auto"/>
        <w:ind w:left="720" w:hanging="360"/>
      </w:pPr>
      <w:r>
        <w:rPr>
          <w:rFonts w:ascii="Calibri" w:hAnsi="Calibri"/>
          <w:color w:val="1F2937"/>
          <w:sz w:val="21"/>
        </w:rPr>
        <w:t>Support module - Source Quality Evaluation: use when the user asks about study credibility, methodology, or evidence strength.</w:t>
      </w:r>
    </w:p>
    <w:p>
      <w:pPr>
        <w:pStyle w:val="ListBullet"/>
        <w:keepLines w:val="0"/>
        <w:spacing w:before="0" w:after="60" w:line="276" w:lineRule="auto"/>
        <w:ind w:left="720" w:hanging="360"/>
      </w:pPr>
      <w:r>
        <w:rPr>
          <w:rFonts w:ascii="Calibri" w:hAnsi="Calibri"/>
          <w:color w:val="1F2937"/>
          <w:sz w:val="21"/>
        </w:rPr>
        <w:t>Clarification gate: do not begin the review until topic, population, and date range are known.</w:t>
      </w:r>
    </w:p>
    <w:p>
      <w:pPr>
        <w:pStyle w:val="ListBullet"/>
        <w:keepLines w:val="0"/>
        <w:spacing w:before="0" w:after="60" w:line="276" w:lineRule="auto"/>
        <w:ind w:left="720" w:hanging="360"/>
      </w:pPr>
      <w:r>
        <w:rPr>
          <w:rFonts w:ascii="Calibri" w:hAnsi="Calibri"/>
          <w:color w:val="1F2937"/>
          <w:sz w:val="21"/>
        </w:rPr>
        <w:t xml:space="preserve">Registered resources: </w:t>
      </w:r>
      <w:r>
        <w:rPr>
          <w:rFonts w:ascii="Consolas" w:hAnsi="Consolas"/>
          <w:color w:val="17365D"/>
          <w:sz w:val="18"/>
        </w:rPr>
        <w:t>screening_criteria.md</w:t>
      </w:r>
      <w:r>
        <w:rPr>
          <w:rFonts w:ascii="Calibri" w:hAnsi="Calibri"/>
          <w:color w:val="1F2937"/>
          <w:sz w:val="21"/>
        </w:rPr>
        <w:t xml:space="preserve"> and </w:t>
      </w:r>
      <w:r>
        <w:rPr>
          <w:rFonts w:ascii="Consolas" w:hAnsi="Consolas"/>
          <w:color w:val="17365D"/>
          <w:sz w:val="18"/>
        </w:rPr>
        <w:t>quality_rubric.md</w:t>
      </w:r>
      <w:r>
        <w:rPr>
          <w:rFonts w:ascii="Calibri" w:hAnsi="Calibri"/>
          <w:color w:val="1F2937"/>
          <w:sz w:val="21"/>
        </w:rPr>
        <w:t>.</w:t>
      </w:r>
    </w:p>
    <w:p>
      <w:pPr>
        <w:pStyle w:val="ListBullet"/>
        <w:keepLines w:val="0"/>
        <w:spacing w:before="0" w:after="60" w:line="276" w:lineRule="auto"/>
        <w:ind w:left="720" w:hanging="360"/>
      </w:pPr>
      <w:r>
        <w:rPr>
          <w:rFonts w:ascii="Calibri" w:hAnsi="Calibri"/>
          <w:color w:val="1F2937"/>
          <w:sz w:val="21"/>
        </w:rPr>
        <w:t>Policy: distinguish source findings from the assistant's inference.</w:t>
      </w:r>
    </w:p>
    <w:p>
      <w:pPr>
        <w:pStyle w:val="Heading2"/>
        <w:keepNext/>
      </w:pPr>
      <w:r>
        <w:t>9.2 Deterministic candidates</w:t>
      </w:r>
    </w:p>
    <w:p>
      <w:pPr>
        <w:keepLines w:val="0"/>
        <w:spacing w:before="0" w:after="120" w:line="283" w:lineRule="auto"/>
      </w:pPr>
      <w:r>
        <w:rPr>
          <w:rFonts w:ascii="Calibri" w:hAnsi="Calibri"/>
          <w:color w:val="1F2937"/>
          <w:sz w:val="21"/>
        </w:rPr>
        <w:t>The parser can reliably find a default-workflow heading, a support-module heading, a four-step ordered list, two resource-like filenames, a conditional phrase, and a global policy. These become candidates. At this point, however, the parser may not fully know whether 'Source Quality Evaluation' is a subordinate procedure, a separately routable workflow, or an on-demand support module.</w:t>
      </w:r>
    </w:p>
    <w:p>
      <w:pPr>
        <w:pStyle w:val="Heading2"/>
        <w:keepNext/>
      </w:pPr>
      <w:r>
        <w:t>9.3 LLM semantic interpretation</w:t>
      </w:r>
    </w:p>
    <w:p>
      <w:pPr>
        <w:keepLines w:val="0"/>
        <w:spacing w:before="0" w:after="120" w:line="283" w:lineRule="auto"/>
      </w:pPr>
      <w:r>
        <w:rPr>
          <w:rFonts w:ascii="Calibri" w:hAnsi="Calibri"/>
          <w:color w:val="1F2937"/>
          <w:sz w:val="21"/>
        </w:rPr>
        <w:t xml:space="preserve">The semantic compiler sees the full instructions and the candidate graph. A plausible </w:t>
      </w:r>
      <w:r>
        <w:rPr>
          <w:rFonts w:ascii="Consolas" w:hAnsi="Consolas"/>
          <w:color w:val="17365D"/>
          <w:sz w:val="18"/>
        </w:rPr>
        <w:t>app_semantic_model</w:t>
      </w:r>
      <w:r>
        <w:rPr>
          <w:rFonts w:ascii="Calibri" w:hAnsi="Calibri"/>
          <w:color w:val="1F2937"/>
          <w:sz w:val="21"/>
        </w:rPr>
        <w:t xml:space="preserve"> would classify the app as </w:t>
      </w:r>
      <w:r>
        <w:rPr>
          <w:rFonts w:ascii="Consolas" w:hAnsi="Consolas"/>
          <w:color w:val="17365D"/>
          <w:sz w:val="18"/>
        </w:rPr>
        <w:t>single_default_workflow</w:t>
      </w:r>
      <w:r>
        <w:rPr>
          <w:rFonts w:ascii="Calibri" w:hAnsi="Calibri"/>
          <w:color w:val="1F2937"/>
          <w:sz w:val="21"/>
        </w:rPr>
        <w:t xml:space="preserve">, identify one default primary workflow, classify Source Quality Evaluation as a </w:t>
      </w:r>
      <w:r>
        <w:rPr>
          <w:rFonts w:ascii="Consolas" w:hAnsi="Consolas"/>
          <w:color w:val="17365D"/>
          <w:sz w:val="18"/>
        </w:rPr>
        <w:t>support_module</w:t>
      </w:r>
      <w:r>
        <w:rPr>
          <w:rFonts w:ascii="Calibri" w:hAnsi="Calibri"/>
          <w:color w:val="1F2937"/>
          <w:sz w:val="21"/>
        </w:rPr>
        <w:t>, create a clarification gate for topic/population/date range, bind the two registered resources, and preserve the global evidence/inference policy.</w:t>
      </w:r>
    </w:p>
    <w:p>
      <w:pPr>
        <w:keepLines w:val="0"/>
        <w:spacing w:before="0" w:after="120" w:line="283" w:lineRule="auto"/>
      </w:pPr>
      <w:r>
        <w:rPr>
          <w:rFonts w:ascii="Calibri" w:hAnsi="Calibri"/>
          <w:color w:val="1F2937"/>
          <w:sz w:val="21"/>
        </w:rPr>
        <w:t>The semantic compiler does not create a third resource called 'citation guide' merely because that would be useful. It may only model resources grounded in the registered catalog and extracted references. Validation confirms that the default workflow exists, that there is exactly one default, that the support module has a known identity, and that referenced steps and resources resolve.</w:t>
      </w:r>
    </w:p>
    <w:p>
      <w:pPr>
        <w:pStyle w:val="Heading2"/>
        <w:keepNext/>
      </w:pPr>
      <w:r>
        <w:t>9.4 Representative runtime projection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DCE6F1"/>
          </w:tcPr>
          <w:p>
            <w:pPr>
              <w:spacing w:before="40" w:after="40"/>
              <w:jc w:val="left"/>
            </w:pPr>
            <w:r>
              <w:rPr>
                <w:rFonts w:ascii="Calibri" w:hAnsi="Calibri"/>
                <w:b/>
                <w:color w:val="17365D"/>
                <w:sz w:val="17"/>
              </w:rPr>
              <w:t>Runtime element</w:t>
            </w:r>
          </w:p>
        </w:tc>
        <w:tc>
          <w:tcPr>
            <w:tcW w:type="dxa" w:w="6760"/>
            <w:tcMar>
              <w:top w:w="80" w:type="dxa"/>
              <w:start w:w="120" w:type="dxa"/>
              <w:bottom w:w="80" w:type="dxa"/>
              <w:end w:w="120" w:type="dxa"/>
            </w:tcMar>
            <w:vAlign w:val="center"/>
            <w:shd w:fill="DCE6F1"/>
          </w:tcPr>
          <w:p>
            <w:pPr>
              <w:spacing w:before="40" w:after="40"/>
              <w:jc w:val="left"/>
            </w:pPr>
            <w:r>
              <w:rPr>
                <w:rFonts w:ascii="Calibri" w:hAnsi="Calibri"/>
                <w:b/>
                <w:color w:val="17365D"/>
                <w:sz w:val="17"/>
              </w:rPr>
              <w:t>Illustrative value</w:t>
            </w:r>
          </w:p>
        </w:tc>
      </w:tr>
      <w:tr>
        <w:tc>
          <w:tcPr>
            <w:tcW w:type="dxa" w:w="2600"/>
          </w:tcPr>
          <w:p>
            <w:pPr>
              <w:spacing w:before="40" w:after="40" w:line="252" w:lineRule="auto"/>
            </w:pPr>
            <w:r>
              <w:rPr>
                <w:rFonts w:ascii="Calibri" w:hAnsi="Calibri"/>
                <w:color w:val="1F2937"/>
                <w:sz w:val="17"/>
              </w:rPr>
            </w:r>
            <w:r>
              <w:rPr>
                <w:rFonts w:ascii="Consolas" w:hAnsi="Consolas"/>
                <w:color w:val="17365D"/>
                <w:sz w:val="16"/>
              </w:rPr>
              <w:t>primary_service_mode</w:t>
            </w:r>
            <w:r>
              <w:rPr>
                <w:rFonts w:ascii="Calibri" w:hAnsi="Calibri"/>
                <w:color w:val="1F2937"/>
                <w:sz w:val="17"/>
              </w:rPr>
            </w:r>
          </w:p>
        </w:tc>
        <w:tc>
          <w:tcPr>
            <w:tcW w:type="dxa" w:w="6760"/>
          </w:tcPr>
          <w:p>
            <w:pPr>
              <w:spacing w:before="40" w:after="40" w:line="252" w:lineRule="auto"/>
            </w:pPr>
            <w:r>
              <w:rPr>
                <w:rFonts w:ascii="Calibri" w:hAnsi="Calibri"/>
                <w:color w:val="1F2937"/>
                <w:sz w:val="17"/>
              </w:rPr>
            </w:r>
            <w:r>
              <w:rPr>
                <w:rFonts w:ascii="Consolas" w:hAnsi="Consolas"/>
                <w:color w:val="17365D"/>
                <w:sz w:val="16"/>
              </w:rPr>
              <w:t>single_default_workflow</w:t>
            </w:r>
            <w:r>
              <w:rPr>
                <w:rFonts w:ascii="Calibri" w:hAnsi="Calibri"/>
                <w:color w:val="1F2937"/>
                <w:sz w:val="17"/>
              </w:rPr>
            </w:r>
          </w:p>
        </w:tc>
      </w:tr>
      <w:tr>
        <w:tc>
          <w:tcPr>
            <w:tcW w:type="dxa" w:w="2600"/>
            <w:shd w:fill="F8FAFC"/>
          </w:tcPr>
          <w:p>
            <w:pPr>
              <w:spacing w:before="40" w:after="40" w:line="252" w:lineRule="auto"/>
            </w:pPr>
            <w:r>
              <w:rPr>
                <w:rFonts w:ascii="Calibri" w:hAnsi="Calibri"/>
                <w:color w:val="1F2937"/>
                <w:sz w:val="17"/>
              </w:rPr>
            </w:r>
            <w:r>
              <w:rPr>
                <w:rFonts w:ascii="Consolas" w:hAnsi="Consolas"/>
                <w:color w:val="17365D"/>
                <w:sz w:val="16"/>
              </w:rPr>
              <w:t>default_workflow_id</w:t>
            </w:r>
            <w:r>
              <w:rPr>
                <w:rFonts w:ascii="Calibri" w:hAnsi="Calibri"/>
                <w:color w:val="1F2937"/>
                <w:sz w:val="17"/>
              </w:rPr>
            </w:r>
          </w:p>
        </w:tc>
        <w:tc>
          <w:tcPr>
            <w:tcW w:type="dxa" w:w="6760"/>
            <w:shd w:fill="F8FAFC"/>
          </w:tcPr>
          <w:p>
            <w:pPr>
              <w:spacing w:before="40" w:after="40" w:line="252" w:lineRule="auto"/>
            </w:pPr>
            <w:r>
              <w:rPr>
                <w:rFonts w:ascii="Calibri" w:hAnsi="Calibri"/>
                <w:color w:val="1F2937"/>
                <w:sz w:val="17"/>
              </w:rPr>
            </w:r>
            <w:r>
              <w:rPr>
                <w:rFonts w:ascii="Consolas" w:hAnsi="Consolas"/>
                <w:color w:val="17365D"/>
                <w:sz w:val="16"/>
              </w:rPr>
              <w:t>workflow:literature_review</w:t>
            </w:r>
            <w:r>
              <w:rPr>
                <w:rFonts w:ascii="Calibri" w:hAnsi="Calibri"/>
                <w:color w:val="1F2937"/>
                <w:sz w:val="17"/>
              </w:rPr>
            </w:r>
          </w:p>
        </w:tc>
      </w:tr>
      <w:tr>
        <w:tc>
          <w:tcPr>
            <w:tcW w:type="dxa" w:w="2600"/>
          </w:tcPr>
          <w:p>
            <w:pPr>
              <w:spacing w:before="40" w:after="40" w:line="252" w:lineRule="auto"/>
            </w:pPr>
            <w:r>
              <w:rPr>
                <w:rFonts w:ascii="Calibri" w:hAnsi="Calibri"/>
                <w:color w:val="1F2937"/>
                <w:sz w:val="17"/>
              </w:rPr>
              <w:t>Primary service block</w:t>
            </w:r>
          </w:p>
        </w:tc>
        <w:tc>
          <w:tcPr>
            <w:tcW w:type="dxa" w:w="6760"/>
          </w:tcPr>
          <w:p>
            <w:pPr>
              <w:spacing w:before="40" w:after="40" w:line="252" w:lineRule="auto"/>
            </w:pPr>
            <w:r>
              <w:rPr>
                <w:rFonts w:ascii="Calibri" w:hAnsi="Calibri"/>
                <w:color w:val="1F2937"/>
                <w:sz w:val="17"/>
              </w:rPr>
              <w:t>Literature Review; default = true</w:t>
            </w:r>
          </w:p>
        </w:tc>
      </w:tr>
      <w:tr>
        <w:tc>
          <w:tcPr>
            <w:tcW w:type="dxa" w:w="2600"/>
            <w:shd w:fill="F8FAFC"/>
          </w:tcPr>
          <w:p>
            <w:pPr>
              <w:spacing w:before="40" w:after="40" w:line="252" w:lineRule="auto"/>
            </w:pPr>
            <w:r>
              <w:rPr>
                <w:rFonts w:ascii="Calibri" w:hAnsi="Calibri"/>
                <w:color w:val="1F2937"/>
                <w:sz w:val="17"/>
              </w:rPr>
              <w:t>Support module</w:t>
            </w:r>
          </w:p>
        </w:tc>
        <w:tc>
          <w:tcPr>
            <w:tcW w:type="dxa" w:w="6760"/>
            <w:shd w:fill="F8FAFC"/>
          </w:tcPr>
          <w:p>
            <w:pPr>
              <w:spacing w:before="40" w:after="40" w:line="252" w:lineRule="auto"/>
            </w:pPr>
            <w:r>
              <w:rPr>
                <w:rFonts w:ascii="Calibri" w:hAnsi="Calibri"/>
                <w:color w:val="1F2937"/>
                <w:sz w:val="17"/>
              </w:rPr>
            </w:r>
            <w:r>
              <w:rPr>
                <w:rFonts w:ascii="Consolas" w:hAnsi="Consolas"/>
                <w:color w:val="17365D"/>
                <w:sz w:val="16"/>
              </w:rPr>
              <w:t>support_module:source_quality_evaluation</w:t>
            </w:r>
            <w:r>
              <w:rPr>
                <w:rFonts w:ascii="Calibri" w:hAnsi="Calibri"/>
                <w:color w:val="1F2937"/>
                <w:sz w:val="17"/>
              </w:rPr>
            </w:r>
          </w:p>
        </w:tc>
      </w:tr>
      <w:tr>
        <w:tc>
          <w:tcPr>
            <w:tcW w:type="dxa" w:w="2600"/>
          </w:tcPr>
          <w:p>
            <w:pPr>
              <w:spacing w:before="40" w:after="40" w:line="252" w:lineRule="auto"/>
            </w:pPr>
            <w:r>
              <w:rPr>
                <w:rFonts w:ascii="Calibri" w:hAnsi="Calibri"/>
                <w:color w:val="1F2937"/>
                <w:sz w:val="17"/>
              </w:rPr>
              <w:t>Procedure steps</w:t>
            </w:r>
          </w:p>
        </w:tc>
        <w:tc>
          <w:tcPr>
            <w:tcW w:type="dxa" w:w="6760"/>
          </w:tcPr>
          <w:p>
            <w:pPr>
              <w:spacing w:before="40" w:after="40" w:line="252" w:lineRule="auto"/>
            </w:pPr>
            <w:r>
              <w:rPr>
                <w:rFonts w:ascii="Calibri" w:hAnsi="Calibri"/>
                <w:color w:val="1F2937"/>
                <w:sz w:val="17"/>
              </w:rPr>
              <w:t>clarify scope -&gt; retrieve papers -&gt; compare findings -&gt; synthesize with citations</w:t>
            </w:r>
          </w:p>
        </w:tc>
      </w:tr>
      <w:tr>
        <w:tc>
          <w:tcPr>
            <w:tcW w:type="dxa" w:w="2600"/>
            <w:shd w:fill="F8FAFC"/>
          </w:tcPr>
          <w:p>
            <w:pPr>
              <w:spacing w:before="40" w:after="40" w:line="252" w:lineRule="auto"/>
            </w:pPr>
            <w:r>
              <w:rPr>
                <w:rFonts w:ascii="Calibri" w:hAnsi="Calibri"/>
                <w:color w:val="1F2937"/>
                <w:sz w:val="17"/>
              </w:rPr>
              <w:t>Clarification gate</w:t>
            </w:r>
          </w:p>
        </w:tc>
        <w:tc>
          <w:tcPr>
            <w:tcW w:type="dxa" w:w="6760"/>
            <w:shd w:fill="F8FAFC"/>
          </w:tcPr>
          <w:p>
            <w:pPr>
              <w:spacing w:before="40" w:after="40" w:line="252" w:lineRule="auto"/>
            </w:pPr>
            <w:r>
              <w:rPr>
                <w:rFonts w:ascii="Calibri" w:hAnsi="Calibri"/>
                <w:color w:val="1F2937"/>
                <w:sz w:val="17"/>
              </w:rPr>
              <w:t>requires topic, population, and date range before retrieval</w:t>
            </w:r>
          </w:p>
        </w:tc>
      </w:tr>
      <w:tr>
        <w:tc>
          <w:tcPr>
            <w:tcW w:type="dxa" w:w="2600"/>
          </w:tcPr>
          <w:p>
            <w:pPr>
              <w:spacing w:before="40" w:after="40" w:line="252" w:lineRule="auto"/>
            </w:pPr>
            <w:r>
              <w:rPr>
                <w:rFonts w:ascii="Calibri" w:hAnsi="Calibri"/>
                <w:color w:val="1F2937"/>
                <w:sz w:val="17"/>
              </w:rPr>
              <w:t>Resource bindings</w:t>
            </w:r>
          </w:p>
        </w:tc>
        <w:tc>
          <w:tcPr>
            <w:tcW w:type="dxa" w:w="6760"/>
          </w:tcPr>
          <w:p>
            <w:pPr>
              <w:spacing w:before="40" w:after="40" w:line="252" w:lineRule="auto"/>
            </w:pPr>
            <w:r>
              <w:rPr>
                <w:rFonts w:ascii="Calibri" w:hAnsi="Calibri"/>
                <w:color w:val="1F2937"/>
                <w:sz w:val="17"/>
              </w:rPr>
            </w:r>
            <w:r>
              <w:rPr>
                <w:rFonts w:ascii="Consolas" w:hAnsi="Consolas"/>
                <w:color w:val="17365D"/>
                <w:sz w:val="16"/>
              </w:rPr>
              <w:t>screening_criteria.md</w:t>
            </w:r>
            <w:r>
              <w:rPr>
                <w:rFonts w:ascii="Calibri" w:hAnsi="Calibri"/>
                <w:color w:val="1F2937"/>
                <w:sz w:val="17"/>
              </w:rPr>
              <w:t xml:space="preserve">; </w:t>
            </w:r>
            <w:r>
              <w:rPr>
                <w:rFonts w:ascii="Consolas" w:hAnsi="Consolas"/>
                <w:color w:val="17365D"/>
                <w:sz w:val="16"/>
              </w:rPr>
              <w:t>quality_rubric.md</w:t>
            </w:r>
            <w:r>
              <w:rPr>
                <w:rFonts w:ascii="Calibri" w:hAnsi="Calibri"/>
                <w:color w:val="1F2937"/>
                <w:sz w:val="17"/>
              </w:rPr>
            </w:r>
          </w:p>
        </w:tc>
      </w:tr>
      <w:tr>
        <w:tc>
          <w:tcPr>
            <w:tcW w:type="dxa" w:w="2600"/>
            <w:shd w:fill="F8FAFC"/>
          </w:tcPr>
          <w:p>
            <w:pPr>
              <w:spacing w:before="40" w:after="40" w:line="252" w:lineRule="auto"/>
            </w:pPr>
            <w:r>
              <w:rPr>
                <w:rFonts w:ascii="Calibri" w:hAnsi="Calibri"/>
                <w:color w:val="1F2937"/>
                <w:sz w:val="17"/>
              </w:rPr>
              <w:t>Global policy</w:t>
            </w:r>
          </w:p>
        </w:tc>
        <w:tc>
          <w:tcPr>
            <w:tcW w:type="dxa" w:w="6760"/>
            <w:shd w:fill="F8FAFC"/>
          </w:tcPr>
          <w:p>
            <w:pPr>
              <w:spacing w:before="40" w:after="40" w:line="252" w:lineRule="auto"/>
            </w:pPr>
            <w:r>
              <w:rPr>
                <w:rFonts w:ascii="Calibri" w:hAnsi="Calibri"/>
                <w:color w:val="1F2937"/>
                <w:sz w:val="17"/>
              </w:rPr>
              <w:t>separate source findings from assistant inference</w:t>
            </w:r>
          </w:p>
        </w:tc>
      </w:tr>
    </w:tbl>
    <w:p>
      <w:pPr>
        <w:spacing w:after="40"/>
      </w:pPr>
    </w:p>
    <w:p>
      <w:pPr>
        <w:pStyle w:val="Heading2"/>
        <w:keepNext/>
      </w:pPr>
      <w:r>
        <w:t>9.5 Two user turns</w:t>
      </w:r>
    </w:p>
    <w:p>
      <w:pPr>
        <w:keepLines w:val="0"/>
        <w:spacing w:before="0" w:after="120" w:line="283" w:lineRule="auto"/>
      </w:pPr>
      <w:r>
        <w:rPr>
          <w:rFonts w:ascii="Calibri" w:hAnsi="Calibri"/>
          <w:b/>
          <w:color w:val="1F2937"/>
          <w:sz w:val="21"/>
        </w:rPr>
        <w:t>Turn A: 'Review recent evidence on retrieval-augmented generation for clinical decision support.'</w:t>
      </w:r>
      <w:r>
        <w:rPr>
          <w:rFonts w:ascii="Calibri" w:hAnsi="Calibri"/>
          <w:color w:val="1F2937"/>
          <w:sz w:val="21"/>
        </w:rPr>
        <w:t xml:space="preserve"> The planner selects the default Literature Review workflow. Because population and date range are incomplete, the clarification gate keeps the session in a clarification step. Once the slots are filled, the procedure advances to retrieval and synthesis.</w:t>
      </w:r>
    </w:p>
    <w:p>
      <w:pPr>
        <w:keepLines w:val="0"/>
        <w:spacing w:before="0" w:after="120" w:line="283" w:lineRule="auto"/>
      </w:pPr>
      <w:r>
        <w:rPr>
          <w:rFonts w:ascii="Calibri" w:hAnsi="Calibri"/>
          <w:b/>
          <w:color w:val="1F2937"/>
          <w:sz w:val="21"/>
        </w:rPr>
        <w:t>Turn B: 'Which of these papers has the strongest methodology?'</w:t>
      </w:r>
      <w:r>
        <w:rPr>
          <w:rFonts w:ascii="Calibri" w:hAnsi="Calibri"/>
          <w:color w:val="1F2937"/>
          <w:sz w:val="21"/>
        </w:rPr>
        <w:t xml:space="preserve"> The planner recognizes a source-quality intent and activates the Source Quality Evaluation support module. It keeps the default workflow context but adds the quality rubric and module-specific behavior. The route is explicit in the compiled contract rather than inferred solely from a phrase match in the raw Markdown.</w:t>
      </w:r>
    </w:p>
    <w:p>
      <w:pPr>
        <w:pStyle w:val="Heading2"/>
        <w:keepNext/>
      </w:pPr>
      <w:r>
        <w:t>9.6 What happens after an edit</w:t>
      </w:r>
    </w:p>
    <w:p>
      <w:pPr>
        <w:keepLines w:val="0"/>
        <w:spacing w:before="0" w:after="120" w:line="283" w:lineRule="auto"/>
      </w:pPr>
      <w:r>
        <w:rPr>
          <w:rFonts w:ascii="Calibri" w:hAnsi="Calibri"/>
          <w:color w:val="1F2937"/>
          <w:sz w:val="21"/>
        </w:rPr>
        <w:t xml:space="preserve">If the designer renames </w:t>
      </w:r>
      <w:r>
        <w:rPr>
          <w:rFonts w:ascii="Consolas" w:hAnsi="Consolas"/>
          <w:color w:val="17365D"/>
          <w:sz w:val="18"/>
        </w:rPr>
        <w:t>quality_rubric.md</w:t>
      </w:r>
      <w:r>
        <w:rPr>
          <w:rFonts w:ascii="Calibri" w:hAnsi="Calibri"/>
          <w:color w:val="1F2937"/>
          <w:sz w:val="21"/>
        </w:rPr>
        <w:t xml:space="preserve"> in the document catalog but does not update instructions, the resource catalog hash changes. The compiled understanding becomes stale even though the Markdown hash is unchanged. Recompilation may produce an unresolved-resource warning or validation problem. A failed semantic attempt remains diagnostic-only, and the previous active model stays available until the author repairs the binding.</w:t>
      </w:r>
    </w:p>
    <w:p>
      <w:pPr>
        <w:pStyle w:val="Heading1"/>
        <w:keepNext/>
      </w:pPr>
      <w:r>
        <w:t>10. Authoring guidance</w:t>
      </w:r>
    </w:p>
    <w:p>
      <w:pPr>
        <w:keepLines w:val="0"/>
        <w:spacing w:before="0" w:after="120" w:line="283" w:lineRule="auto"/>
      </w:pPr>
      <w:r>
        <w:rPr>
          <w:rFonts w:ascii="Calibri" w:hAnsi="Calibri"/>
          <w:color w:val="1F2937"/>
          <w:sz w:val="21"/>
        </w:rPr>
        <w:t>RAGenius can interpret natural language, but good instruction architecture still matters. Clear source instructions reduce semantic uncertainty and make compiler output easier to review.</w:t>
      </w:r>
    </w:p>
    <w:p>
      <w:pPr>
        <w:pStyle w:val="Heading2"/>
        <w:keepNext/>
      </w:pPr>
      <w:r>
        <w:t>10.1 Ten authoring rules</w:t>
      </w:r>
    </w:p>
    <w:p>
      <w:pPr>
        <w:pStyle w:val="Heading3"/>
        <w:keepNext/>
      </w:pPr>
      <w:r>
        <w:t>Declare the service shape</w:t>
      </w:r>
    </w:p>
    <w:p>
      <w:pPr>
        <w:keepLines w:val="0"/>
        <w:spacing w:before="0" w:after="100" w:line="283" w:lineRule="auto"/>
      </w:pPr>
      <w:r>
        <w:rPr>
          <w:rFonts w:ascii="Calibri" w:hAnsi="Calibri"/>
          <w:color w:val="1F2937"/>
          <w:sz w:val="21"/>
        </w:rPr>
        <w:t>Say whether the app has one default workflow, several intent-routed workflows, or primarily role/mode-based interaction logic.</w:t>
      </w:r>
    </w:p>
    <w:p>
      <w:pPr>
        <w:pStyle w:val="Heading3"/>
        <w:keepNext/>
      </w:pPr>
      <w:r>
        <w:t>Use unambiguous headings</w:t>
      </w:r>
    </w:p>
    <w:p>
      <w:pPr>
        <w:keepLines w:val="0"/>
        <w:spacing w:before="0" w:after="100" w:line="283" w:lineRule="auto"/>
      </w:pPr>
      <w:r>
        <w:rPr>
          <w:rFonts w:ascii="Calibri" w:hAnsi="Calibri"/>
          <w:color w:val="1F2937"/>
          <w:sz w:val="21"/>
        </w:rPr>
        <w:t>Do not label one section as both a module and a workflow. The compiler treats that combination as ambiguous authoring.</w:t>
      </w:r>
    </w:p>
    <w:p>
      <w:pPr>
        <w:pStyle w:val="Heading3"/>
        <w:keepNext/>
      </w:pPr>
      <w:r>
        <w:t>Separate policy from execution</w:t>
      </w:r>
    </w:p>
    <w:p>
      <w:pPr>
        <w:keepLines w:val="0"/>
        <w:spacing w:before="0" w:after="100" w:line="283" w:lineRule="auto"/>
      </w:pPr>
      <w:r>
        <w:rPr>
          <w:rFonts w:ascii="Calibri" w:hAnsi="Calibri"/>
          <w:color w:val="1F2937"/>
          <w:sz w:val="21"/>
        </w:rPr>
        <w:t>Keep global mission, security, and response constraints distinct from workflow steps and activation rules.</w:t>
      </w:r>
    </w:p>
    <w:p>
      <w:pPr>
        <w:pStyle w:val="Heading3"/>
        <w:keepNext/>
      </w:pPr>
      <w:r>
        <w:t>Write executable steps</w:t>
      </w:r>
    </w:p>
    <w:p>
      <w:pPr>
        <w:keepLines w:val="0"/>
        <w:spacing w:before="0" w:after="100" w:line="283" w:lineRule="auto"/>
      </w:pPr>
      <w:r>
        <w:rPr>
          <w:rFonts w:ascii="Calibri" w:hAnsi="Calibri"/>
          <w:color w:val="1F2937"/>
          <w:sz w:val="21"/>
        </w:rPr>
        <w:t>A procedure should contain concrete ordered actions. A paragraph describing a process is not automatically an executable procedure.</w:t>
      </w:r>
    </w:p>
    <w:p>
      <w:pPr>
        <w:pStyle w:val="Heading3"/>
        <w:keepNext/>
      </w:pPr>
      <w:r>
        <w:t>Define routing explicitly</w:t>
      </w:r>
    </w:p>
    <w:p>
      <w:pPr>
        <w:keepLines w:val="0"/>
        <w:spacing w:before="0" w:after="100" w:line="283" w:lineRule="auto"/>
      </w:pPr>
      <w:r>
        <w:rPr>
          <w:rFonts w:ascii="Calibri" w:hAnsi="Calibri"/>
          <w:color w:val="1F2937"/>
          <w:sz w:val="21"/>
        </w:rPr>
        <w:t>State the intent or condition, the target, and the priority. Avoid relying only on examples to imply activation.</w:t>
      </w:r>
    </w:p>
    <w:p>
      <w:pPr>
        <w:pStyle w:val="Heading3"/>
        <w:keepNext/>
      </w:pPr>
      <w:r>
        <w:t>Define clarification completion</w:t>
      </w:r>
    </w:p>
    <w:p>
      <w:pPr>
        <w:keepLines w:val="0"/>
        <w:spacing w:before="0" w:after="100" w:line="283" w:lineRule="auto"/>
      </w:pPr>
      <w:r>
        <w:rPr>
          <w:rFonts w:ascii="Calibri" w:hAnsi="Calibri"/>
          <w:color w:val="1F2937"/>
          <w:sz w:val="21"/>
        </w:rPr>
        <w:t>Name the required information and the condition that lets execution advance.</w:t>
      </w:r>
    </w:p>
    <w:p>
      <w:pPr>
        <w:pStyle w:val="Heading3"/>
        <w:keepNext/>
      </w:pPr>
      <w:r>
        <w:t>Reference registered resources exactly</w:t>
      </w:r>
    </w:p>
    <w:p>
      <w:pPr>
        <w:keepLines w:val="0"/>
        <w:spacing w:before="0" w:after="100" w:line="283" w:lineRule="auto"/>
      </w:pPr>
      <w:r>
        <w:rPr>
          <w:rFonts w:ascii="Calibri" w:hAnsi="Calibri"/>
          <w:color w:val="1F2937"/>
          <w:sz w:val="21"/>
        </w:rPr>
        <w:t>Use stable filenames that exist in the app's document catalog. Avoid aspirational or illustrative filenames.</w:t>
      </w:r>
    </w:p>
    <w:p>
      <w:pPr>
        <w:pStyle w:val="Heading3"/>
        <w:keepNext/>
      </w:pPr>
      <w:r>
        <w:t>Keep identities durable</w:t>
      </w:r>
    </w:p>
    <w:p>
      <w:pPr>
        <w:keepLines w:val="0"/>
        <w:spacing w:before="0" w:after="100" w:line="283" w:lineRule="auto"/>
      </w:pPr>
      <w:r>
        <w:rPr>
          <w:rFonts w:ascii="Calibri" w:hAnsi="Calibri"/>
          <w:color w:val="1F2937"/>
          <w:sz w:val="21"/>
        </w:rPr>
        <w:t>Use consistent conceptual names so canonical IDs can be preserved across revisions.</w:t>
      </w:r>
    </w:p>
    <w:p>
      <w:pPr>
        <w:pStyle w:val="Heading3"/>
        <w:keepNext/>
      </w:pPr>
      <w:r>
        <w:t>Constrain orchestration</w:t>
      </w:r>
    </w:p>
    <w:p>
      <w:pPr>
        <w:keepLines w:val="0"/>
        <w:spacing w:before="0" w:after="100" w:line="283" w:lineRule="auto"/>
      </w:pPr>
      <w:r>
        <w:rPr>
          <w:rFonts w:ascii="Calibri" w:hAnsi="Calibri"/>
          <w:color w:val="1F2937"/>
          <w:sz w:val="21"/>
        </w:rPr>
        <w:t>If multiple modules compose one result, state their order. Current validation accepts ordered-sequential composition.</w:t>
      </w:r>
    </w:p>
    <w:p>
      <w:pPr>
        <w:pStyle w:val="Heading3"/>
        <w:keepNext/>
      </w:pPr>
      <w:r>
        <w:t>Compile after meaningful changes</w:t>
      </w:r>
    </w:p>
    <w:p>
      <w:pPr>
        <w:keepLines w:val="0"/>
        <w:spacing w:before="0" w:after="100" w:line="283" w:lineRule="auto"/>
      </w:pPr>
      <w:r>
        <w:rPr>
          <w:rFonts w:ascii="Calibri" w:hAnsi="Calibri"/>
          <w:color w:val="1F2937"/>
          <w:sz w:val="21"/>
        </w:rPr>
        <w:t>Instruction edits, document-catalog changes, parser updates, binding changes, and semantic prompt changes can all make the active model stale.</w:t>
      </w:r>
    </w:p>
    <w:p>
      <w:pPr>
        <w:spacing w:before="120" w:after="160" w:line="276" w:lineRule="auto"/>
        <w:ind w:left="173" w:right="86"/>
        <w:shd w:fill="EEF4FA"/>
        <w:pBdr>
          <w:left w:val="single" w:sz="18" w:space="8" w:color="2E74B5"/>
        </w:pBdr>
      </w:pPr>
      <w:r>
        <w:rPr>
          <w:rFonts w:ascii="Calibri" w:hAnsi="Calibri"/>
          <w:b/>
          <w:color w:val="2E74B5"/>
          <w:sz w:val="20"/>
        </w:rPr>
        <w:t xml:space="preserve">Authoring test. </w:t>
      </w:r>
      <w:r>
        <w:rPr>
          <w:rFonts w:ascii="Calibri" w:hAnsi="Calibri"/>
          <w:color w:val="1F2937"/>
          <w:sz w:val="20"/>
        </w:rPr>
        <w:t>For every major section, ask: Is this policy, interaction logic, a workflow, a module, a procedure, a step, an example, or a resource reference? If a human reviewer cannot answer confidently, the compiler may not be able to either.</w:t>
      </w:r>
    </w:p>
    <w:p>
      <w:pPr>
        <w:pStyle w:val="Heading1"/>
        <w:keepNext/>
      </w:pPr>
      <w:r>
        <w:t>11. Failure modes and diagnostics</w:t>
      </w:r>
    </w:p>
    <w:p>
      <w:pPr>
        <w:keepLines w:val="0"/>
        <w:spacing w:before="0" w:after="120" w:line="283" w:lineRule="auto"/>
      </w:pPr>
      <w:r>
        <w:rPr>
          <w:rFonts w:ascii="Calibri" w:hAnsi="Calibri"/>
          <w:color w:val="1F2937"/>
          <w:sz w:val="21"/>
        </w:rPr>
        <w:t>Instruction compilation failures are usually not random. They arise where natural-language ambiguity meets an executable contract. A disciplined diagnostic sequence is more effective than repeatedly changing the semantic prompt.</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tcMar>
              <w:top w:w="80" w:type="dxa"/>
              <w:start w:w="120" w:type="dxa"/>
              <w:bottom w:w="80" w:type="dxa"/>
              <w:end w:w="120" w:type="dxa"/>
            </w:tcMar>
            <w:vAlign w:val="center"/>
            <w:shd w:fill="DCE6F1"/>
          </w:tcPr>
          <w:p>
            <w:pPr>
              <w:spacing w:before="40" w:after="40"/>
              <w:jc w:val="left"/>
            </w:pPr>
            <w:r>
              <w:rPr>
                <w:rFonts w:ascii="Calibri" w:hAnsi="Calibri"/>
                <w:b/>
                <w:color w:val="17365D"/>
                <w:sz w:val="15"/>
              </w:rPr>
              <w:t>Failure mode</w:t>
            </w:r>
          </w:p>
        </w:tc>
        <w:tc>
          <w:tcPr>
            <w:tcW w:type="dxa" w:w="3300"/>
            <w:tcMar>
              <w:top w:w="80" w:type="dxa"/>
              <w:start w:w="120" w:type="dxa"/>
              <w:bottom w:w="80" w:type="dxa"/>
              <w:end w:w="120" w:type="dxa"/>
            </w:tcMar>
            <w:vAlign w:val="center"/>
            <w:shd w:fill="DCE6F1"/>
          </w:tcPr>
          <w:p>
            <w:pPr>
              <w:spacing w:before="40" w:after="40"/>
              <w:jc w:val="left"/>
            </w:pPr>
            <w:r>
              <w:rPr>
                <w:rFonts w:ascii="Calibri" w:hAnsi="Calibri"/>
                <w:b/>
                <w:color w:val="17365D"/>
                <w:sz w:val="15"/>
              </w:rPr>
              <w:t>Why it happens</w:t>
            </w:r>
          </w:p>
        </w:tc>
        <w:tc>
          <w:tcPr>
            <w:tcW w:type="dxa" w:w="4260"/>
            <w:tcMar>
              <w:top w:w="80" w:type="dxa"/>
              <w:start w:w="120" w:type="dxa"/>
              <w:bottom w:w="80" w:type="dxa"/>
              <w:end w:w="120" w:type="dxa"/>
            </w:tcMar>
            <w:vAlign w:val="center"/>
            <w:shd w:fill="DCE6F1"/>
          </w:tcPr>
          <w:p>
            <w:pPr>
              <w:spacing w:before="40" w:after="40"/>
              <w:jc w:val="left"/>
            </w:pPr>
            <w:r>
              <w:rPr>
                <w:rFonts w:ascii="Calibri" w:hAnsi="Calibri"/>
                <w:b/>
                <w:color w:val="17365D"/>
                <w:sz w:val="15"/>
              </w:rPr>
              <w:t>Diagnostic response</w:t>
            </w:r>
          </w:p>
        </w:tc>
      </w:tr>
      <w:tr>
        <w:tc>
          <w:tcPr>
            <w:tcW w:type="dxa" w:w="1800"/>
          </w:tcPr>
          <w:p>
            <w:pPr>
              <w:spacing w:before="40" w:after="40" w:line="252" w:lineRule="auto"/>
            </w:pPr>
            <w:r>
              <w:rPr>
                <w:rFonts w:ascii="Calibri" w:hAnsi="Calibri"/>
                <w:color w:val="1F2937"/>
                <w:sz w:val="15"/>
              </w:rPr>
              <w:t>Phantom resource</w:t>
            </w:r>
          </w:p>
        </w:tc>
        <w:tc>
          <w:tcPr>
            <w:tcW w:type="dxa" w:w="3300"/>
          </w:tcPr>
          <w:p>
            <w:pPr>
              <w:spacing w:before="40" w:after="40" w:line="252" w:lineRule="auto"/>
            </w:pPr>
            <w:r>
              <w:rPr>
                <w:rFonts w:ascii="Calibri" w:hAnsi="Calibri"/>
                <w:color w:val="1F2937"/>
                <w:sz w:val="15"/>
              </w:rPr>
              <w:t>An example or prose phrase resembles a file reference, or the LLM invents a useful resource.</w:t>
            </w:r>
          </w:p>
        </w:tc>
        <w:tc>
          <w:tcPr>
            <w:tcW w:type="dxa" w:w="4260"/>
          </w:tcPr>
          <w:p>
            <w:pPr>
              <w:spacing w:before="40" w:after="40" w:line="252" w:lineRule="auto"/>
            </w:pPr>
            <w:r>
              <w:rPr>
                <w:rFonts w:ascii="Calibri" w:hAnsi="Calibri"/>
                <w:color w:val="1F2937"/>
                <w:sz w:val="15"/>
              </w:rPr>
              <w:t xml:space="preserve">Compare </w:t>
            </w:r>
            <w:r>
              <w:rPr>
                <w:rFonts w:ascii="Consolas" w:hAnsi="Consolas"/>
                <w:color w:val="17365D"/>
                <w:sz w:val="14"/>
              </w:rPr>
              <w:t>resource_reference_catalog</w:t>
            </w:r>
            <w:r>
              <w:rPr>
                <w:rFonts w:ascii="Calibri" w:hAnsi="Calibri"/>
                <w:color w:val="1F2937"/>
                <w:sz w:val="15"/>
              </w:rPr>
              <w:t xml:space="preserve"> with registered documents; repair the source or reject the semantic candidate.</w:t>
            </w:r>
          </w:p>
        </w:tc>
      </w:tr>
      <w:tr>
        <w:tc>
          <w:tcPr>
            <w:tcW w:type="dxa" w:w="1800"/>
            <w:shd w:fill="F8FAFC"/>
          </w:tcPr>
          <w:p>
            <w:pPr>
              <w:spacing w:before="40" w:after="40" w:line="252" w:lineRule="auto"/>
            </w:pPr>
            <w:r>
              <w:rPr>
                <w:rFonts w:ascii="Calibri" w:hAnsi="Calibri"/>
                <w:color w:val="1F2937"/>
                <w:sz w:val="15"/>
              </w:rPr>
              <w:t>False trigger</w:t>
            </w:r>
          </w:p>
        </w:tc>
        <w:tc>
          <w:tcPr>
            <w:tcW w:type="dxa" w:w="3300"/>
            <w:shd w:fill="F8FAFC"/>
          </w:tcPr>
          <w:p>
            <w:pPr>
              <w:spacing w:before="40" w:after="40" w:line="252" w:lineRule="auto"/>
            </w:pPr>
            <w:r>
              <w:rPr>
                <w:rFonts w:ascii="Calibri" w:hAnsi="Calibri"/>
                <w:color w:val="1F2937"/>
                <w:sz w:val="15"/>
              </w:rPr>
              <w:t>Example language is interpreted as a routing condition.</w:t>
            </w:r>
          </w:p>
        </w:tc>
        <w:tc>
          <w:tcPr>
            <w:tcW w:type="dxa" w:w="4260"/>
            <w:shd w:fill="F8FAFC"/>
          </w:tcPr>
          <w:p>
            <w:pPr>
              <w:spacing w:before="40" w:after="40" w:line="252" w:lineRule="auto"/>
            </w:pPr>
            <w:r>
              <w:rPr>
                <w:rFonts w:ascii="Calibri" w:hAnsi="Calibri"/>
                <w:color w:val="1F2937"/>
                <w:sz w:val="15"/>
              </w:rPr>
              <w:t>Inspect trigger candidates and source location; rewrite examples so they cannot be mistaken for activation rules.</w:t>
            </w:r>
          </w:p>
        </w:tc>
      </w:tr>
      <w:tr>
        <w:tc>
          <w:tcPr>
            <w:tcW w:type="dxa" w:w="1800"/>
          </w:tcPr>
          <w:p>
            <w:pPr>
              <w:spacing w:before="40" w:after="40" w:line="252" w:lineRule="auto"/>
            </w:pPr>
            <w:r>
              <w:rPr>
                <w:rFonts w:ascii="Calibri" w:hAnsi="Calibri"/>
                <w:color w:val="1F2937"/>
                <w:sz w:val="15"/>
              </w:rPr>
              <w:t>Ambiguous module/workflow</w:t>
            </w:r>
          </w:p>
        </w:tc>
        <w:tc>
          <w:tcPr>
            <w:tcW w:type="dxa" w:w="3300"/>
          </w:tcPr>
          <w:p>
            <w:pPr>
              <w:spacing w:before="40" w:after="40" w:line="252" w:lineRule="auto"/>
            </w:pPr>
            <w:r>
              <w:rPr>
                <w:rFonts w:ascii="Calibri" w:hAnsi="Calibri"/>
                <w:color w:val="1F2937"/>
                <w:sz w:val="15"/>
              </w:rPr>
              <w:t>A heading contains both structural markers or mixes responsibilities.</w:t>
            </w:r>
          </w:p>
        </w:tc>
        <w:tc>
          <w:tcPr>
            <w:tcW w:type="dxa" w:w="4260"/>
          </w:tcPr>
          <w:p>
            <w:pPr>
              <w:spacing w:before="40" w:after="40" w:line="252" w:lineRule="auto"/>
            </w:pPr>
            <w:r>
              <w:rPr>
                <w:rFonts w:ascii="Calibri" w:hAnsi="Calibri"/>
                <w:color w:val="1F2937"/>
                <w:sz w:val="15"/>
              </w:rPr>
              <w:t>Split or relabel the section; parser warnings can be validation errors.</w:t>
            </w:r>
          </w:p>
        </w:tc>
      </w:tr>
      <w:tr>
        <w:tc>
          <w:tcPr>
            <w:tcW w:type="dxa" w:w="1800"/>
            <w:shd w:fill="F8FAFC"/>
          </w:tcPr>
          <w:p>
            <w:pPr>
              <w:spacing w:before="40" w:after="40" w:line="252" w:lineRule="auto"/>
            </w:pPr>
            <w:r>
              <w:rPr>
                <w:rFonts w:ascii="Calibri" w:hAnsi="Calibri"/>
                <w:color w:val="1F2937"/>
                <w:sz w:val="15"/>
              </w:rPr>
              <w:t>Unreachable route</w:t>
            </w:r>
          </w:p>
        </w:tc>
        <w:tc>
          <w:tcPr>
            <w:tcW w:type="dxa" w:w="3300"/>
            <w:shd w:fill="F8FAFC"/>
          </w:tcPr>
          <w:p>
            <w:pPr>
              <w:spacing w:before="40" w:after="40" w:line="252" w:lineRule="auto"/>
            </w:pPr>
            <w:r>
              <w:rPr>
                <w:rFonts w:ascii="Calibri" w:hAnsi="Calibri"/>
                <w:color w:val="1F2937"/>
                <w:sz w:val="15"/>
              </w:rPr>
              <w:t>A routing rule targets a label, unknown ID, or non-executable block.</w:t>
            </w:r>
          </w:p>
        </w:tc>
        <w:tc>
          <w:tcPr>
            <w:tcW w:type="dxa" w:w="4260"/>
            <w:shd w:fill="F8FAFC"/>
          </w:tcPr>
          <w:p>
            <w:pPr>
              <w:spacing w:before="40" w:after="40" w:line="252" w:lineRule="auto"/>
            </w:pPr>
            <w:r>
              <w:rPr>
                <w:rFonts w:ascii="Calibri" w:hAnsi="Calibri"/>
                <w:color w:val="1F2937"/>
                <w:sz w:val="15"/>
              </w:rPr>
              <w:t>Resolve it to a known workflow, module, role with executable targets, or interaction-logic block.</w:t>
            </w:r>
          </w:p>
        </w:tc>
      </w:tr>
      <w:tr>
        <w:tc>
          <w:tcPr>
            <w:tcW w:type="dxa" w:w="1800"/>
          </w:tcPr>
          <w:p>
            <w:pPr>
              <w:spacing w:before="40" w:after="40" w:line="252" w:lineRule="auto"/>
            </w:pPr>
            <w:r>
              <w:rPr>
                <w:rFonts w:ascii="Calibri" w:hAnsi="Calibri"/>
                <w:color w:val="1F2937"/>
                <w:sz w:val="15"/>
              </w:rPr>
              <w:t>Procedure without steps</w:t>
            </w:r>
          </w:p>
        </w:tc>
        <w:tc>
          <w:tcPr>
            <w:tcW w:type="dxa" w:w="3300"/>
          </w:tcPr>
          <w:p>
            <w:pPr>
              <w:spacing w:before="40" w:after="40" w:line="252" w:lineRule="auto"/>
            </w:pPr>
            <w:r>
              <w:rPr>
                <w:rFonts w:ascii="Calibri" w:hAnsi="Calibri"/>
                <w:color w:val="1F2937"/>
                <w:sz w:val="15"/>
              </w:rPr>
              <w:t>Narrative prose was classified as a procedure but lacks execution units.</w:t>
            </w:r>
          </w:p>
        </w:tc>
        <w:tc>
          <w:tcPr>
            <w:tcW w:type="dxa" w:w="4260"/>
          </w:tcPr>
          <w:p>
            <w:pPr>
              <w:spacing w:before="40" w:after="40" w:line="252" w:lineRule="auto"/>
            </w:pPr>
            <w:r>
              <w:rPr>
                <w:rFonts w:ascii="Calibri" w:hAnsi="Calibri"/>
                <w:color w:val="1F2937"/>
                <w:sz w:val="15"/>
              </w:rPr>
              <w:t>Add explicit ordered steps or reclassify it as policy/background.</w:t>
            </w:r>
          </w:p>
        </w:tc>
      </w:tr>
      <w:tr>
        <w:tc>
          <w:tcPr>
            <w:tcW w:type="dxa" w:w="1800"/>
            <w:shd w:fill="F8FAFC"/>
          </w:tcPr>
          <w:p>
            <w:pPr>
              <w:spacing w:before="40" w:after="40" w:line="252" w:lineRule="auto"/>
            </w:pPr>
            <w:r>
              <w:rPr>
                <w:rFonts w:ascii="Calibri" w:hAnsi="Calibri"/>
                <w:color w:val="1F2937"/>
                <w:sz w:val="15"/>
              </w:rPr>
              <w:t>Broken clarification gate</w:t>
            </w:r>
          </w:p>
        </w:tc>
        <w:tc>
          <w:tcPr>
            <w:tcW w:type="dxa" w:w="3300"/>
            <w:shd w:fill="F8FAFC"/>
          </w:tcPr>
          <w:p>
            <w:pPr>
              <w:spacing w:before="40" w:after="40" w:line="252" w:lineRule="auto"/>
            </w:pPr>
            <w:r>
              <w:rPr>
                <w:rFonts w:ascii="Calibri" w:hAnsi="Calibri"/>
                <w:color w:val="1F2937"/>
                <w:sz w:val="15"/>
              </w:rPr>
              <w:t>Gate references unknown steps or never defines completion.</w:t>
            </w:r>
          </w:p>
        </w:tc>
        <w:tc>
          <w:tcPr>
            <w:tcW w:type="dxa" w:w="4260"/>
            <w:shd w:fill="F8FAFC"/>
          </w:tcPr>
          <w:p>
            <w:pPr>
              <w:spacing w:before="40" w:after="40" w:line="252" w:lineRule="auto"/>
            </w:pPr>
            <w:r>
              <w:rPr>
                <w:rFonts w:ascii="Calibri" w:hAnsi="Calibri"/>
                <w:color w:val="1F2937"/>
                <w:sz w:val="15"/>
              </w:rPr>
              <w:t>Verify procedure ID, clarification step, completion step, required slots, and threshold.</w:t>
            </w:r>
          </w:p>
        </w:tc>
      </w:tr>
      <w:tr>
        <w:tc>
          <w:tcPr>
            <w:tcW w:type="dxa" w:w="1800"/>
          </w:tcPr>
          <w:p>
            <w:pPr>
              <w:spacing w:before="40" w:after="40" w:line="252" w:lineRule="auto"/>
            </w:pPr>
            <w:r>
              <w:rPr>
                <w:rFonts w:ascii="Calibri" w:hAnsi="Calibri"/>
                <w:color w:val="1F2937"/>
                <w:sz w:val="15"/>
              </w:rPr>
              <w:t>Invalid orchestration</w:t>
            </w:r>
          </w:p>
        </w:tc>
        <w:tc>
          <w:tcPr>
            <w:tcW w:type="dxa" w:w="3300"/>
          </w:tcPr>
          <w:p>
            <w:pPr>
              <w:spacing w:before="40" w:after="40" w:line="252" w:lineRule="auto"/>
            </w:pPr>
            <w:r>
              <w:rPr>
                <w:rFonts w:ascii="Calibri" w:hAnsi="Calibri"/>
                <w:color w:val="1F2937"/>
                <w:sz w:val="15"/>
              </w:rPr>
              <w:t>The model proposes unsupported parallel or free-form composition.</w:t>
            </w:r>
          </w:p>
        </w:tc>
        <w:tc>
          <w:tcPr>
            <w:tcW w:type="dxa" w:w="4260"/>
          </w:tcPr>
          <w:p>
            <w:pPr>
              <w:spacing w:before="40" w:after="40" w:line="252" w:lineRule="auto"/>
            </w:pPr>
            <w:r>
              <w:rPr>
                <w:rFonts w:ascii="Calibri" w:hAnsi="Calibri"/>
                <w:color w:val="1F2937"/>
                <w:sz w:val="15"/>
              </w:rPr>
              <w:t xml:space="preserve">Rewrite as </w:t>
            </w:r>
            <w:r>
              <w:rPr>
                <w:rFonts w:ascii="Consolas" w:hAnsi="Consolas"/>
                <w:color w:val="17365D"/>
                <w:sz w:val="14"/>
              </w:rPr>
              <w:t>ordered_sequential</w:t>
            </w:r>
            <w:r>
              <w:rPr>
                <w:rFonts w:ascii="Calibri" w:hAnsi="Calibri"/>
                <w:color w:val="1F2937"/>
                <w:sz w:val="15"/>
              </w:rPr>
              <w:t xml:space="preserve"> or change runtime capability explicitly.</w:t>
            </w:r>
          </w:p>
        </w:tc>
      </w:tr>
      <w:tr>
        <w:tc>
          <w:tcPr>
            <w:tcW w:type="dxa" w:w="1800"/>
            <w:shd w:fill="F8FAFC"/>
          </w:tcPr>
          <w:p>
            <w:pPr>
              <w:spacing w:before="40" w:after="40" w:line="252" w:lineRule="auto"/>
            </w:pPr>
            <w:r>
              <w:rPr>
                <w:rFonts w:ascii="Calibri" w:hAnsi="Calibri"/>
                <w:color w:val="1F2937"/>
                <w:sz w:val="15"/>
              </w:rPr>
              <w:t>Stale active model</w:t>
            </w:r>
          </w:p>
        </w:tc>
        <w:tc>
          <w:tcPr>
            <w:tcW w:type="dxa" w:w="3300"/>
            <w:shd w:fill="F8FAFC"/>
          </w:tcPr>
          <w:p>
            <w:pPr>
              <w:spacing w:before="40" w:after="40" w:line="252" w:lineRule="auto"/>
            </w:pPr>
            <w:r>
              <w:rPr>
                <w:rFonts w:ascii="Calibri" w:hAnsi="Calibri"/>
                <w:color w:val="1F2937"/>
                <w:sz w:val="15"/>
              </w:rPr>
              <w:t>Source, resources, parser, bindings, compiler, or prompt version changed.</w:t>
            </w:r>
          </w:p>
        </w:tc>
        <w:tc>
          <w:tcPr>
            <w:tcW w:type="dxa" w:w="4260"/>
            <w:shd w:fill="F8FAFC"/>
          </w:tcPr>
          <w:p>
            <w:pPr>
              <w:spacing w:before="40" w:after="40" w:line="252" w:lineRule="auto"/>
            </w:pPr>
            <w:r>
              <w:rPr>
                <w:rFonts w:ascii="Calibri" w:hAnsi="Calibri"/>
                <w:color w:val="1F2937"/>
                <w:sz w:val="15"/>
              </w:rPr>
              <w:t xml:space="preserve">Inspect </w:t>
            </w:r>
            <w:r>
              <w:rPr>
                <w:rFonts w:ascii="Consolas" w:hAnsi="Consolas"/>
                <w:color w:val="17365D"/>
                <w:sz w:val="14"/>
              </w:rPr>
              <w:t>cache_status</w:t>
            </w:r>
            <w:r>
              <w:rPr>
                <w:rFonts w:ascii="Calibri" w:hAnsi="Calibri"/>
                <w:color w:val="1F2937"/>
                <w:sz w:val="15"/>
              </w:rPr>
              <w:t xml:space="preserve"> and </w:t>
            </w:r>
            <w:r>
              <w:rPr>
                <w:rFonts w:ascii="Consolas" w:hAnsi="Consolas"/>
                <w:color w:val="17365D"/>
                <w:sz w:val="14"/>
              </w:rPr>
              <w:t>stale_reasons</w:t>
            </w:r>
            <w:r>
              <w:rPr>
                <w:rFonts w:ascii="Calibri" w:hAnsi="Calibri"/>
                <w:color w:val="1F2937"/>
                <w:sz w:val="15"/>
              </w:rPr>
              <w:t>; recompile explicitly.</w:t>
            </w:r>
          </w:p>
        </w:tc>
      </w:tr>
      <w:tr>
        <w:tc>
          <w:tcPr>
            <w:tcW w:type="dxa" w:w="1800"/>
          </w:tcPr>
          <w:p>
            <w:pPr>
              <w:spacing w:before="40" w:after="40" w:line="252" w:lineRule="auto"/>
            </w:pPr>
            <w:r>
              <w:rPr>
                <w:rFonts w:ascii="Calibri" w:hAnsi="Calibri"/>
                <w:color w:val="1F2937"/>
                <w:sz w:val="15"/>
              </w:rPr>
              <w:t>Malformed semantic output</w:t>
            </w:r>
          </w:p>
        </w:tc>
        <w:tc>
          <w:tcPr>
            <w:tcW w:type="dxa" w:w="3300"/>
          </w:tcPr>
          <w:p>
            <w:pPr>
              <w:spacing w:before="40" w:after="40" w:line="252" w:lineRule="auto"/>
            </w:pPr>
            <w:r>
              <w:rPr>
                <w:rFonts w:ascii="Calibri" w:hAnsi="Calibri"/>
                <w:color w:val="1F2937"/>
                <w:sz w:val="15"/>
              </w:rPr>
              <w:t xml:space="preserve">Provider returns non-object or omits </w:t>
            </w:r>
            <w:r>
              <w:rPr>
                <w:rFonts w:ascii="Consolas" w:hAnsi="Consolas"/>
                <w:color w:val="17365D"/>
                <w:sz w:val="14"/>
              </w:rPr>
              <w:t>app_semantic_model</w:t>
            </w:r>
            <w:r>
              <w:rPr>
                <w:rFonts w:ascii="Calibri" w:hAnsi="Calibri"/>
                <w:color w:val="1F2937"/>
                <w:sz w:val="15"/>
              </w:rPr>
              <w:t>.</w:t>
            </w:r>
          </w:p>
        </w:tc>
        <w:tc>
          <w:tcPr>
            <w:tcW w:type="dxa" w:w="4260"/>
          </w:tcPr>
          <w:p>
            <w:pPr>
              <w:spacing w:before="40" w:after="40" w:line="252" w:lineRule="auto"/>
            </w:pPr>
            <w:r>
              <w:rPr>
                <w:rFonts w:ascii="Calibri" w:hAnsi="Calibri"/>
                <w:color w:val="1F2937"/>
                <w:sz w:val="15"/>
              </w:rPr>
              <w:t>Inspect latest diagnostic attempt and task-model/tool-call configuration; preserve active model.</w:t>
            </w:r>
          </w:p>
        </w:tc>
      </w:tr>
      <w:tr>
        <w:tc>
          <w:tcPr>
            <w:tcW w:type="dxa" w:w="1800"/>
            <w:shd w:fill="F8FAFC"/>
          </w:tcPr>
          <w:p>
            <w:pPr>
              <w:spacing w:before="40" w:after="40" w:line="252" w:lineRule="auto"/>
            </w:pPr>
            <w:r>
              <w:rPr>
                <w:rFonts w:ascii="Calibri" w:hAnsi="Calibri"/>
                <w:color w:val="1F2937"/>
                <w:sz w:val="15"/>
              </w:rPr>
              <w:t>Divergent Builder preview</w:t>
            </w:r>
          </w:p>
        </w:tc>
        <w:tc>
          <w:tcPr>
            <w:tcW w:type="dxa" w:w="3300"/>
            <w:shd w:fill="F8FAFC"/>
          </w:tcPr>
          <w:p>
            <w:pPr>
              <w:spacing w:before="40" w:after="40" w:line="252" w:lineRule="auto"/>
            </w:pPr>
            <w:r>
              <w:rPr>
                <w:rFonts w:ascii="Calibri" w:hAnsi="Calibri"/>
                <w:color w:val="1F2937"/>
                <w:sz w:val="15"/>
              </w:rPr>
              <w:t>Builder independently parses Markdown instead of displaying the runtime artifact.</w:t>
            </w:r>
          </w:p>
        </w:tc>
        <w:tc>
          <w:tcPr>
            <w:tcW w:type="dxa" w:w="4260"/>
            <w:shd w:fill="F8FAFC"/>
          </w:tcPr>
          <w:p>
            <w:pPr>
              <w:spacing w:before="40" w:after="40" w:line="252" w:lineRule="auto"/>
            </w:pPr>
            <w:r>
              <w:rPr>
                <w:rFonts w:ascii="Calibri" w:hAnsi="Calibri"/>
                <w:color w:val="1F2937"/>
                <w:sz w:val="15"/>
              </w:rPr>
              <w:t>Use the shared compiled record or exact snapshot shape; treat friendly display as a projection only.</w:t>
            </w:r>
          </w:p>
        </w:tc>
      </w:tr>
    </w:tbl>
    <w:p>
      <w:pPr>
        <w:spacing w:after="40"/>
      </w:pPr>
    </w:p>
    <w:p>
      <w:pPr>
        <w:pStyle w:val="Heading2"/>
        <w:keepNext/>
      </w:pPr>
      <w:r>
        <w:t>11.1 A practical diagnostic sequence</w:t>
      </w:r>
    </w:p>
    <w:p>
      <w:pPr>
        <w:pStyle w:val="ListNumber"/>
        <w:keepLines w:val="0"/>
        <w:spacing w:before="0" w:after="80" w:line="276" w:lineRule="auto"/>
        <w:ind w:left="720" w:hanging="360"/>
      </w:pPr>
      <w:r>
        <w:rPr>
          <w:rFonts w:ascii="Calibri" w:hAnsi="Calibri"/>
          <w:color w:val="1F2937"/>
          <w:sz w:val="21"/>
        </w:rPr>
        <w:t xml:space="preserve">Confirm the target </w:t>
      </w:r>
      <w:r>
        <w:rPr>
          <w:rFonts w:ascii="Consolas" w:hAnsi="Consolas"/>
          <w:color w:val="17365D"/>
          <w:sz w:val="18"/>
        </w:rPr>
        <w:t>app_id</w:t>
      </w:r>
      <w:r>
        <w:rPr>
          <w:rFonts w:ascii="Calibri" w:hAnsi="Calibri"/>
          <w:color w:val="1F2937"/>
          <w:sz w:val="21"/>
        </w:rPr>
        <w:t xml:space="preserve"> and instruction URI.</w:t>
      </w:r>
    </w:p>
    <w:p>
      <w:pPr>
        <w:pStyle w:val="ListNumber"/>
        <w:keepLines w:val="0"/>
        <w:spacing w:before="0" w:after="80" w:line="276" w:lineRule="auto"/>
        <w:ind w:left="720" w:hanging="360"/>
      </w:pPr>
      <w:r>
        <w:rPr>
          <w:rFonts w:ascii="Calibri" w:hAnsi="Calibri"/>
          <w:color w:val="1F2937"/>
          <w:sz w:val="21"/>
        </w:rPr>
        <w:t>Compare current instruction and resource hashes with the active record.</w:t>
      </w:r>
    </w:p>
    <w:p>
      <w:pPr>
        <w:pStyle w:val="ListNumber"/>
        <w:keepLines w:val="0"/>
        <w:spacing w:before="0" w:after="80" w:line="276" w:lineRule="auto"/>
        <w:ind w:left="720" w:hanging="360"/>
      </w:pPr>
      <w:r>
        <w:rPr>
          <w:rFonts w:ascii="Calibri" w:hAnsi="Calibri"/>
          <w:color w:val="1F2937"/>
          <w:sz w:val="21"/>
        </w:rPr>
        <w:t>Inspect parser warnings and the structural candidate graph.</w:t>
      </w:r>
    </w:p>
    <w:p>
      <w:pPr>
        <w:pStyle w:val="ListNumber"/>
        <w:keepLines w:val="0"/>
        <w:spacing w:before="0" w:after="80" w:line="276" w:lineRule="auto"/>
        <w:ind w:left="720" w:hanging="360"/>
      </w:pPr>
      <w:r>
        <w:rPr>
          <w:rFonts w:ascii="Calibri" w:hAnsi="Calibri"/>
          <w:color w:val="1F2937"/>
          <w:sz w:val="21"/>
        </w:rPr>
        <w:t xml:space="preserve">Inspect the semantic compiler's raw </w:t>
      </w:r>
      <w:r>
        <w:rPr>
          <w:rFonts w:ascii="Consolas" w:hAnsi="Consolas"/>
          <w:color w:val="17365D"/>
          <w:sz w:val="18"/>
        </w:rPr>
        <w:t>app_semantic_model</w:t>
      </w:r>
      <w:r>
        <w:rPr>
          <w:rFonts w:ascii="Calibri" w:hAnsi="Calibri"/>
          <w:color w:val="1F2937"/>
          <w:sz w:val="21"/>
        </w:rPr>
        <w:t xml:space="preserve"> and normalization errors.</w:t>
      </w:r>
    </w:p>
    <w:p>
      <w:pPr>
        <w:pStyle w:val="ListNumber"/>
        <w:keepLines w:val="0"/>
        <w:spacing w:before="0" w:after="80" w:line="276" w:lineRule="auto"/>
        <w:ind w:left="720" w:hanging="360"/>
      </w:pPr>
      <w:r>
        <w:rPr>
          <w:rFonts w:ascii="Calibri" w:hAnsi="Calibri"/>
          <w:color w:val="1F2937"/>
          <w:sz w:val="21"/>
        </w:rPr>
        <w:t>Read validation errors and warnings before changing prompts.</w:t>
      </w:r>
    </w:p>
    <w:p>
      <w:pPr>
        <w:pStyle w:val="ListNumber"/>
        <w:keepLines w:val="0"/>
        <w:spacing w:before="0" w:after="80" w:line="276" w:lineRule="auto"/>
        <w:ind w:left="720" w:hanging="360"/>
      </w:pPr>
      <w:r>
        <w:rPr>
          <w:rFonts w:ascii="Calibri" w:hAnsi="Calibri"/>
          <w:color w:val="1F2937"/>
          <w:sz w:val="21"/>
        </w:rPr>
        <w:t>Compare the latest attempt with the active record and note publication status.</w:t>
      </w:r>
    </w:p>
    <w:p>
      <w:pPr>
        <w:pStyle w:val="ListNumber"/>
        <w:keepLines w:val="0"/>
        <w:spacing w:before="0" w:after="80" w:line="276" w:lineRule="auto"/>
        <w:ind w:left="720" w:hanging="360"/>
      </w:pPr>
      <w:r>
        <w:rPr>
          <w:rFonts w:ascii="Calibri" w:hAnsi="Calibri"/>
          <w:color w:val="1F2937"/>
          <w:sz w:val="21"/>
        </w:rPr>
        <w:t>Inspect the hybrid model and the compatibility projection separately.</w:t>
      </w:r>
    </w:p>
    <w:p>
      <w:pPr>
        <w:pStyle w:val="ListNumber"/>
        <w:keepLines w:val="0"/>
        <w:spacing w:before="0" w:after="80" w:line="276" w:lineRule="auto"/>
        <w:ind w:left="720" w:hanging="360"/>
      </w:pPr>
      <w:r>
        <w:rPr>
          <w:rFonts w:ascii="Calibri" w:hAnsi="Calibri"/>
          <w:color w:val="1F2937"/>
          <w:sz w:val="21"/>
        </w:rPr>
        <w:t>Inspect the planner decision packet and session state for the failing turn.</w:t>
      </w:r>
    </w:p>
    <w:p>
      <w:pPr>
        <w:pStyle w:val="ListNumber"/>
        <w:keepLines w:val="0"/>
        <w:spacing w:before="0" w:after="80" w:line="276" w:lineRule="auto"/>
        <w:ind w:left="720" w:hanging="360"/>
      </w:pPr>
      <w:r>
        <w:rPr>
          <w:rFonts w:ascii="Calibri" w:hAnsi="Calibri"/>
          <w:color w:val="1F2937"/>
          <w:sz w:val="21"/>
        </w:rPr>
        <w:t>Repair source ambiguity or broken bindings, then trigger an explicit recompile.</w:t>
      </w:r>
    </w:p>
    <w:p>
      <w:pPr>
        <w:pStyle w:val="ListNumber"/>
        <w:keepLines w:val="0"/>
        <w:spacing w:before="0" w:after="80" w:line="276" w:lineRule="auto"/>
        <w:ind w:left="720" w:hanging="360"/>
      </w:pPr>
      <w:r>
        <w:rPr>
          <w:rFonts w:ascii="Calibri" w:hAnsi="Calibri"/>
          <w:color w:val="1F2937"/>
          <w:sz w:val="21"/>
        </w:rPr>
        <w:t>Review the new record before activating broader planner behavior.</w:t>
      </w:r>
    </w:p>
    <w:p>
      <w:pPr>
        <w:spacing w:before="40" w:after="160"/>
        <w:ind w:left="259"/>
      </w:pPr>
      <w:r>
        <w:rPr>
          <w:rFonts w:ascii="Calibri" w:hAnsi="Calibri"/>
          <w:b/>
          <w:color w:val="2E74B5"/>
          <w:sz w:val="17"/>
        </w:rPr>
        <w:t xml:space="preserve">Repository note. </w:t>
      </w:r>
      <w:r>
        <w:rPr>
          <w:rFonts w:ascii="Calibri" w:hAnsi="Calibri"/>
          <w:i/>
          <w:color w:val="5B6573"/>
          <w:sz w:val="17"/>
        </w:rPr>
        <w:t>Failure checks are grounded in compile/review prompts and validation logic in `instruction_understanding_service.py`, plus Builder consistency rules.</w:t>
      </w:r>
    </w:p>
    <w:p>
      <w:pPr>
        <w:pStyle w:val="Heading1"/>
        <w:keepNext/>
      </w:pPr>
      <w:r>
        <w:t>12. Research and engineering implications</w:t>
      </w:r>
    </w:p>
    <w:p>
      <w:pPr>
        <w:pStyle w:val="Heading2"/>
        <w:keepNext/>
      </w:pPr>
      <w:r>
        <w:t>12.1 A semantic intermediate representation</w:t>
      </w:r>
    </w:p>
    <w:p>
      <w:pPr>
        <w:keepLines w:val="0"/>
        <w:spacing w:before="0" w:after="120" w:line="283" w:lineRule="auto"/>
      </w:pPr>
      <w:r>
        <w:rPr>
          <w:rFonts w:ascii="Calibri" w:hAnsi="Calibri"/>
          <w:color w:val="1F2937"/>
          <w:sz w:val="21"/>
        </w:rPr>
        <w:t>The hybrid runtime model is usefully understood as an intermediate representation, or IR. It sits between a flexible source language and a stricter execution system. Like a compiler IR, it gives multiple downstream consumers a stable vocabulary while allowing source authoring and execution implementation to evolve independently.</w:t>
      </w:r>
    </w:p>
    <w:p>
      <w:pPr>
        <w:keepLines w:val="0"/>
        <w:spacing w:before="0" w:after="120" w:line="283" w:lineRule="auto"/>
      </w:pPr>
      <w:r>
        <w:rPr>
          <w:rFonts w:ascii="Calibri" w:hAnsi="Calibri"/>
          <w:color w:val="1F2937"/>
          <w:sz w:val="21"/>
        </w:rPr>
        <w:t>This framing is valuable for AI systems research because it relocates some model reasoning from per-turn inference to a governed build stage. The output can be evaluated, diffed, cached, versioned, and reviewed before it controls behavior. It also creates a natural unit for regression testing: given instructions and a resource catalog, does the compiler produce an acceptable semantic contract?</w:t>
      </w:r>
    </w:p>
    <w:p>
      <w:pPr>
        <w:pStyle w:val="Heading2"/>
        <w:keepNext/>
      </w:pPr>
      <w:r>
        <w:t>12.2 Probabilistic interpretation, deterministic enforcement</w:t>
      </w:r>
    </w:p>
    <w:p>
      <w:pPr>
        <w:keepLines w:val="0"/>
        <w:spacing w:before="0" w:after="120" w:line="283" w:lineRule="auto"/>
      </w:pPr>
      <w:r>
        <w:rPr>
          <w:rFonts w:ascii="Calibri" w:hAnsi="Calibri"/>
          <w:color w:val="1F2937"/>
          <w:sz w:val="21"/>
        </w:rPr>
        <w:t>Purely deterministic parsing is reproducible but semantically brittle. Purely LLM-driven interpretation is flexible but difficult to constrain and reproduce. RAGenius combines them: deterministic code proposes and records evidence; the LLM interprets meaning; deterministic code grounds and validates the result. This division does not eliminate uncertainty, but it localizes it and makes its consequences inspectable.</w:t>
      </w:r>
    </w:p>
    <w:p>
      <w:pPr>
        <w:pStyle w:val="Heading2"/>
        <w:keepNext/>
      </w:pPr>
      <w:r>
        <w:t>12.3 Governance becomes a first-class artifact</w:t>
      </w:r>
    </w:p>
    <w:p>
      <w:pPr>
        <w:keepLines w:val="0"/>
        <w:spacing w:before="0" w:after="120" w:line="283" w:lineRule="auto"/>
      </w:pPr>
      <w:r>
        <w:rPr>
          <w:rFonts w:ascii="Calibri" w:hAnsi="Calibri"/>
          <w:color w:val="1F2937"/>
          <w:sz w:val="21"/>
        </w:rPr>
        <w:t>Because understanding is persistent, governance can operate on an artifact rather than on a prompt template alone. Review records can refer to the exact instruction hash and parser version. Human approval can authorize selected findings. Revisions can report preserved and changed IDs. Operators can distinguish an active model from a failed diagnostic attempt. These are software-governance properties applied to semantic interpretation.</w:t>
      </w:r>
    </w:p>
    <w:p>
      <w:pPr>
        <w:pStyle w:val="Heading2"/>
        <w:keepNext/>
      </w:pPr>
      <w:r>
        <w:t>12.4 Tradeoffs</w:t>
      </w:r>
    </w:p>
    <w:p>
      <w:pPr>
        <w:pStyle w:val="ListBullet"/>
        <w:keepLines w:val="0"/>
        <w:spacing w:before="0" w:after="60" w:line="276" w:lineRule="auto"/>
        <w:ind w:left="720" w:hanging="360"/>
      </w:pPr>
      <w:r>
        <w:rPr>
          <w:rFonts w:ascii="Calibri" w:hAnsi="Calibri"/>
          <w:b/>
          <w:color w:val="1F2937"/>
          <w:sz w:val="21"/>
        </w:rPr>
        <w:t>Compiler complexity:</w:t>
      </w:r>
      <w:r>
        <w:rPr>
          <w:rFonts w:ascii="Calibri" w:hAnsi="Calibri"/>
          <w:color w:val="1F2937"/>
          <w:sz w:val="21"/>
        </w:rPr>
        <w:t xml:space="preserve"> the system must maintain parsers, semantic prompts, canonicalization, validation, projections, and migrations.</w:t>
      </w:r>
    </w:p>
    <w:p>
      <w:pPr>
        <w:pStyle w:val="ListBullet"/>
        <w:keepLines w:val="0"/>
        <w:spacing w:before="0" w:after="60" w:line="276" w:lineRule="auto"/>
        <w:ind w:left="720" w:hanging="360"/>
      </w:pPr>
      <w:r>
        <w:rPr>
          <w:rFonts w:ascii="Calibri" w:hAnsi="Calibri"/>
          <w:b/>
          <w:color w:val="1F2937"/>
          <w:sz w:val="21"/>
        </w:rPr>
        <w:t>Compiler drift:</w:t>
      </w:r>
      <w:r>
        <w:rPr>
          <w:rFonts w:ascii="Calibri" w:hAnsi="Calibri"/>
          <w:color w:val="1F2937"/>
          <w:sz w:val="21"/>
        </w:rPr>
        <w:t xml:space="preserve"> model or prompt changes can alter interpretations, so compiler version and prompt version belong in cache freshness.</w:t>
      </w:r>
    </w:p>
    <w:p>
      <w:pPr>
        <w:pStyle w:val="ListBullet"/>
        <w:keepLines w:val="0"/>
        <w:spacing w:before="0" w:after="60" w:line="276" w:lineRule="auto"/>
        <w:ind w:left="720" w:hanging="360"/>
      </w:pPr>
      <w:r>
        <w:rPr>
          <w:rFonts w:ascii="Calibri" w:hAnsi="Calibri"/>
          <w:b/>
          <w:color w:val="1F2937"/>
          <w:sz w:val="21"/>
        </w:rPr>
        <w:t>Synchronization burden:</w:t>
      </w:r>
      <w:r>
        <w:rPr>
          <w:rFonts w:ascii="Calibri" w:hAnsi="Calibri"/>
          <w:color w:val="1F2937"/>
          <w:sz w:val="21"/>
        </w:rPr>
        <w:t xml:space="preserve"> source instructions, registered resources, compiled records, reviews, and runtime modes must remain aligned.</w:t>
      </w:r>
    </w:p>
    <w:p>
      <w:pPr>
        <w:pStyle w:val="ListBullet"/>
        <w:keepLines w:val="0"/>
        <w:spacing w:before="0" w:after="60" w:line="276" w:lineRule="auto"/>
        <w:ind w:left="720" w:hanging="360"/>
      </w:pPr>
      <w:r>
        <w:rPr>
          <w:rFonts w:ascii="Calibri" w:hAnsi="Calibri"/>
          <w:b/>
          <w:color w:val="1F2937"/>
          <w:sz w:val="21"/>
        </w:rPr>
        <w:t>Validation coverage:</w:t>
      </w:r>
      <w:r>
        <w:rPr>
          <w:rFonts w:ascii="Calibri" w:hAnsi="Calibri"/>
          <w:color w:val="1F2937"/>
          <w:sz w:val="21"/>
        </w:rPr>
        <w:t xml:space="preserve"> every newly supported semantic concept needs invariants and failure behavior, not only a schema field.</w:t>
      </w:r>
    </w:p>
    <w:p>
      <w:pPr>
        <w:pStyle w:val="ListBullet"/>
        <w:keepLines w:val="0"/>
        <w:spacing w:before="0" w:after="60" w:line="276" w:lineRule="auto"/>
        <w:ind w:left="720" w:hanging="360"/>
      </w:pPr>
      <w:r>
        <w:rPr>
          <w:rFonts w:ascii="Calibri" w:hAnsi="Calibri"/>
          <w:b/>
          <w:color w:val="1F2937"/>
          <w:sz w:val="21"/>
        </w:rPr>
        <w:t>Operational observability:</w:t>
      </w:r>
      <w:r>
        <w:rPr>
          <w:rFonts w:ascii="Calibri" w:hAnsi="Calibri"/>
          <w:color w:val="1F2937"/>
          <w:sz w:val="21"/>
        </w:rPr>
        <w:t xml:space="preserve"> shadow modes and raw artifacts are necessary because a valid schema does not guarantee a correct interpretation.</w:t>
      </w:r>
    </w:p>
    <w:p>
      <w:pPr>
        <w:pStyle w:val="Heading2"/>
        <w:keepNext/>
      </w:pPr>
      <w:r>
        <w:t>12.5 Extension opportunities</w:t>
      </w:r>
    </w:p>
    <w:p>
      <w:pPr>
        <w:keepLines w:val="0"/>
        <w:spacing w:before="0" w:after="120" w:line="283" w:lineRule="auto"/>
      </w:pPr>
      <w:r>
        <w:rPr>
          <w:rFonts w:ascii="Calibri" w:hAnsi="Calibri"/>
          <w:color w:val="1F2937"/>
          <w:sz w:val="21"/>
        </w:rPr>
        <w:t>The architecture creates room for semantic diffs, compiler evaluation suites, policy-specific validators, richer provenance from semantic fields back to source spans, and controlled promotion workflows. These are natural extensions of the IR model, but they should not be described as deployed merely because design documents discuss them.</w:t>
      </w:r>
    </w:p>
    <w:p>
      <w:pPr>
        <w:spacing w:before="120" w:after="160" w:line="276" w:lineRule="auto"/>
        <w:ind w:left="173" w:right="86"/>
        <w:shd w:fill="EEF4FA"/>
        <w:pBdr>
          <w:left w:val="single" w:sz="18" w:space="8" w:color="2E74B5"/>
        </w:pBdr>
      </w:pPr>
      <w:r>
        <w:rPr>
          <w:rFonts w:ascii="Calibri" w:hAnsi="Calibri"/>
          <w:b/>
          <w:color w:val="2E74B5"/>
          <w:sz w:val="20"/>
        </w:rPr>
        <w:t xml:space="preserve">Research takeaway. </w:t>
      </w:r>
      <w:r>
        <w:rPr>
          <w:rFonts w:ascii="Calibri" w:hAnsi="Calibri"/>
          <w:color w:val="1F2937"/>
          <w:sz w:val="20"/>
        </w:rPr>
        <w:t>RAGenius turns application understanding into a build artifact. That enables evaluation and governance techniques that are difficult when application behavior exists only inside a mutable prompt and an opaque per-turn model state.</w:t>
      </w:r>
    </w:p>
    <w:p>
      <w:pPr>
        <w:pStyle w:val="Heading1"/>
        <w:keepNext/>
      </w:pPr>
      <w:r>
        <w:t>13. Practical checklist</w:t>
      </w:r>
    </w:p>
    <w:p>
      <w:pPr>
        <w:pStyle w:val="Heading2"/>
        <w:keepNext/>
      </w:pPr>
      <w:r>
        <w:t>For instruction authors</w:t>
      </w:r>
    </w:p>
    <w:p>
      <w:pPr>
        <w:pStyle w:val="ListBullet"/>
        <w:keepLines w:val="0"/>
        <w:spacing w:before="0" w:after="60" w:line="276" w:lineRule="auto"/>
        <w:ind w:left="720" w:hanging="360"/>
      </w:pPr>
      <w:r>
        <w:rPr>
          <w:rFonts w:ascii="Calibri" w:hAnsi="Calibri"/>
          <w:color w:val="1F2937"/>
          <w:sz w:val="21"/>
        </w:rPr>
        <w:t>State mission, boundaries, and primary service mode explicitly.</w:t>
      </w:r>
    </w:p>
    <w:p>
      <w:pPr>
        <w:pStyle w:val="ListBullet"/>
        <w:keepLines w:val="0"/>
        <w:spacing w:before="0" w:after="60" w:line="276" w:lineRule="auto"/>
        <w:ind w:left="720" w:hanging="360"/>
      </w:pPr>
      <w:r>
        <w:rPr>
          <w:rFonts w:ascii="Calibri" w:hAnsi="Calibri"/>
          <w:color w:val="1F2937"/>
          <w:sz w:val="21"/>
        </w:rPr>
        <w:t>Use clear and exclusive workflow/module labels.</w:t>
      </w:r>
    </w:p>
    <w:p>
      <w:pPr>
        <w:pStyle w:val="ListBullet"/>
        <w:keepLines w:val="0"/>
        <w:spacing w:before="0" w:after="60" w:line="276" w:lineRule="auto"/>
        <w:ind w:left="720" w:hanging="360"/>
      </w:pPr>
      <w:r>
        <w:rPr>
          <w:rFonts w:ascii="Calibri" w:hAnsi="Calibri"/>
          <w:color w:val="1F2937"/>
          <w:sz w:val="21"/>
        </w:rPr>
        <w:t>Define ordered executable steps and clarification completion criteria.</w:t>
      </w:r>
    </w:p>
    <w:p>
      <w:pPr>
        <w:pStyle w:val="ListBullet"/>
        <w:keepLines w:val="0"/>
        <w:spacing w:before="0" w:after="60" w:line="276" w:lineRule="auto"/>
        <w:ind w:left="720" w:hanging="360"/>
      </w:pPr>
      <w:r>
        <w:rPr>
          <w:rFonts w:ascii="Calibri" w:hAnsi="Calibri"/>
          <w:color w:val="1F2937"/>
          <w:sz w:val="21"/>
        </w:rPr>
        <w:t>Reference only registered resources with stable filenames.</w:t>
      </w:r>
    </w:p>
    <w:p>
      <w:pPr>
        <w:pStyle w:val="ListBullet"/>
        <w:keepLines w:val="0"/>
        <w:spacing w:before="0" w:after="60" w:line="276" w:lineRule="auto"/>
        <w:ind w:left="720" w:hanging="360"/>
      </w:pPr>
      <w:r>
        <w:rPr>
          <w:rFonts w:ascii="Calibri" w:hAnsi="Calibri"/>
          <w:color w:val="1F2937"/>
          <w:sz w:val="21"/>
        </w:rPr>
        <w:t>Separate examples from activation rules and policies from procedures.</w:t>
      </w:r>
    </w:p>
    <w:p>
      <w:pPr>
        <w:pStyle w:val="Heading2"/>
        <w:keepNext/>
      </w:pPr>
      <w:r>
        <w:t>For reviewers</w:t>
      </w:r>
    </w:p>
    <w:p>
      <w:pPr>
        <w:pStyle w:val="ListBullet"/>
        <w:keepLines w:val="0"/>
        <w:spacing w:before="0" w:after="60" w:line="276" w:lineRule="auto"/>
        <w:ind w:left="720" w:hanging="360"/>
      </w:pPr>
      <w:r>
        <w:rPr>
          <w:rFonts w:ascii="Calibri" w:hAnsi="Calibri"/>
          <w:color w:val="1F2937"/>
          <w:sz w:val="21"/>
        </w:rPr>
        <w:t>Compare source Markdown, runtime projection, and raw semantic artifact.</w:t>
      </w:r>
    </w:p>
    <w:p>
      <w:pPr>
        <w:pStyle w:val="ListBullet"/>
        <w:keepLines w:val="0"/>
        <w:spacing w:before="0" w:after="60" w:line="276" w:lineRule="auto"/>
        <w:ind w:left="720" w:hanging="360"/>
      </w:pPr>
      <w:r>
        <w:rPr>
          <w:rFonts w:ascii="Calibri" w:hAnsi="Calibri"/>
          <w:color w:val="1F2937"/>
          <w:sz w:val="21"/>
        </w:rPr>
        <w:t>Challenge invented resources, false triggers, and default-workflow assumptions.</w:t>
      </w:r>
    </w:p>
    <w:p>
      <w:pPr>
        <w:pStyle w:val="ListBullet"/>
        <w:keepLines w:val="0"/>
        <w:spacing w:before="0" w:after="60" w:line="276" w:lineRule="auto"/>
        <w:ind w:left="720" w:hanging="360"/>
      </w:pPr>
      <w:r>
        <w:rPr>
          <w:rFonts w:ascii="Calibri" w:hAnsi="Calibri"/>
          <w:color w:val="1F2937"/>
          <w:sz w:val="21"/>
        </w:rPr>
        <w:t>Check every route reaches a known executable or conversational target.</w:t>
      </w:r>
    </w:p>
    <w:p>
      <w:pPr>
        <w:pStyle w:val="ListBullet"/>
        <w:keepLines w:val="0"/>
        <w:spacing w:before="0" w:after="60" w:line="276" w:lineRule="auto"/>
        <w:ind w:left="720" w:hanging="360"/>
      </w:pPr>
      <w:r>
        <w:rPr>
          <w:rFonts w:ascii="Calibri" w:hAnsi="Calibri"/>
          <w:color w:val="1F2937"/>
          <w:sz w:val="21"/>
        </w:rPr>
        <w:t>Approve only findings that should authorize a revision.</w:t>
      </w:r>
    </w:p>
    <w:p>
      <w:pPr>
        <w:pStyle w:val="ListBullet"/>
        <w:keepLines w:val="0"/>
        <w:spacing w:before="0" w:after="60" w:line="276" w:lineRule="auto"/>
        <w:ind w:left="720" w:hanging="360"/>
      </w:pPr>
      <w:r>
        <w:rPr>
          <w:rFonts w:ascii="Calibri" w:hAnsi="Calibri"/>
          <w:color w:val="1F2937"/>
          <w:sz w:val="21"/>
        </w:rPr>
        <w:t>Verify preserved and changed IDs after revision.</w:t>
      </w:r>
    </w:p>
    <w:p>
      <w:pPr>
        <w:pStyle w:val="Heading2"/>
        <w:keepNext/>
      </w:pPr>
      <w:r>
        <w:t>For runtime developers</w:t>
      </w:r>
    </w:p>
    <w:p>
      <w:pPr>
        <w:pStyle w:val="ListBullet"/>
        <w:keepLines w:val="0"/>
        <w:spacing w:before="0" w:after="60" w:line="276" w:lineRule="auto"/>
        <w:ind w:left="720" w:hanging="360"/>
      </w:pPr>
      <w:r>
        <w:rPr>
          <w:rFonts w:ascii="Calibri" w:hAnsi="Calibri"/>
          <w:color w:val="1F2937"/>
          <w:sz w:val="21"/>
        </w:rPr>
        <w:t xml:space="preserve">Keep compiler output app-scoped and retrieval delegated to </w:t>
      </w:r>
      <w:r>
        <w:rPr>
          <w:rFonts w:ascii="Consolas" w:hAnsi="Consolas"/>
          <w:color w:val="17365D"/>
          <w:sz w:val="18"/>
        </w:rPr>
        <w:t>rag_subsystem</w:t>
      </w:r>
      <w:r>
        <w:rPr>
          <w:rFonts w:ascii="Calibri" w:hAnsi="Calibri"/>
          <w:color w:val="1F2937"/>
          <w:sz w:val="21"/>
        </w:rPr>
        <w:t>.</w:t>
      </w:r>
    </w:p>
    <w:p>
      <w:pPr>
        <w:pStyle w:val="ListBullet"/>
        <w:keepLines w:val="0"/>
        <w:spacing w:before="0" w:after="60" w:line="276" w:lineRule="auto"/>
        <w:ind w:left="720" w:hanging="360"/>
      </w:pPr>
      <w:r>
        <w:rPr>
          <w:rFonts w:ascii="Calibri" w:hAnsi="Calibri"/>
          <w:color w:val="1F2937"/>
          <w:sz w:val="21"/>
        </w:rPr>
        <w:t>Treat hybrid semantics as authority and compatibility projection as migration support.</w:t>
      </w:r>
    </w:p>
    <w:p>
      <w:pPr>
        <w:pStyle w:val="ListBullet"/>
        <w:keepLines w:val="0"/>
        <w:spacing w:before="0" w:after="60" w:line="276" w:lineRule="auto"/>
        <w:ind w:left="720" w:hanging="360"/>
      </w:pPr>
      <w:r>
        <w:rPr>
          <w:rFonts w:ascii="Calibri" w:hAnsi="Calibri"/>
          <w:color w:val="1F2937"/>
          <w:sz w:val="21"/>
        </w:rPr>
        <w:t>Add validation whenever a new semantic field can influence execution.</w:t>
      </w:r>
    </w:p>
    <w:p>
      <w:pPr>
        <w:pStyle w:val="ListBullet"/>
        <w:keepLines w:val="0"/>
        <w:spacing w:before="0" w:after="60" w:line="276" w:lineRule="auto"/>
        <w:ind w:left="720" w:hanging="360"/>
      </w:pPr>
      <w:r>
        <w:rPr>
          <w:rFonts w:ascii="Calibri" w:hAnsi="Calibri"/>
          <w:color w:val="1F2937"/>
          <w:sz w:val="21"/>
        </w:rPr>
        <w:t>Preserve explicit mode controls for compilation and planner activation.</w:t>
      </w:r>
    </w:p>
    <w:p>
      <w:pPr>
        <w:pStyle w:val="ListBullet"/>
        <w:keepLines w:val="0"/>
        <w:spacing w:before="0" w:after="60" w:line="276" w:lineRule="auto"/>
        <w:ind w:left="720" w:hanging="360"/>
      </w:pPr>
      <w:r>
        <w:rPr>
          <w:rFonts w:ascii="Calibri" w:hAnsi="Calibri"/>
          <w:color w:val="1F2937"/>
          <w:sz w:val="21"/>
        </w:rPr>
        <w:t>Log active record, latest attempt, cache status, and stale reasons distinctly.</w:t>
      </w:r>
    </w:p>
    <w:p>
      <w:pPr>
        <w:pStyle w:val="Heading2"/>
        <w:keepNext/>
      </w:pPr>
      <w:r>
        <w:t>For operators</w:t>
      </w:r>
    </w:p>
    <w:p>
      <w:pPr>
        <w:pStyle w:val="ListBullet"/>
        <w:keepLines w:val="0"/>
        <w:spacing w:before="0" w:after="60" w:line="276" w:lineRule="auto"/>
        <w:ind w:left="720" w:hanging="360"/>
      </w:pPr>
      <w:r>
        <w:rPr>
          <w:rFonts w:ascii="Calibri" w:hAnsi="Calibri"/>
          <w:color w:val="1F2937"/>
          <w:sz w:val="21"/>
        </w:rPr>
        <w:t>Recompile after instruction, resource, parser, binding, compiler, or semantic-prompt changes.</w:t>
      </w:r>
    </w:p>
    <w:p>
      <w:pPr>
        <w:pStyle w:val="ListBullet"/>
        <w:keepLines w:val="0"/>
        <w:spacing w:before="0" w:after="60" w:line="276" w:lineRule="auto"/>
        <w:ind w:left="720" w:hanging="360"/>
      </w:pPr>
      <w:r>
        <w:rPr>
          <w:rFonts w:ascii="Calibri" w:hAnsi="Calibri"/>
          <w:color w:val="1F2937"/>
          <w:sz w:val="21"/>
        </w:rPr>
        <w:t>Do not activate an invalid or unexplained semantic result.</w:t>
      </w:r>
    </w:p>
    <w:p>
      <w:pPr>
        <w:pStyle w:val="ListBullet"/>
        <w:keepLines w:val="0"/>
        <w:spacing w:before="0" w:after="60" w:line="276" w:lineRule="auto"/>
        <w:ind w:left="720" w:hanging="360"/>
      </w:pPr>
      <w:r>
        <w:rPr>
          <w:rFonts w:ascii="Calibri" w:hAnsi="Calibri"/>
          <w:color w:val="1F2937"/>
          <w:sz w:val="21"/>
        </w:rPr>
        <w:t>Use shadow mode to compare planning behavior before broader activation.</w:t>
      </w:r>
    </w:p>
    <w:p>
      <w:pPr>
        <w:pStyle w:val="ListBullet"/>
        <w:keepLines w:val="0"/>
        <w:spacing w:before="0" w:after="60" w:line="276" w:lineRule="auto"/>
        <w:ind w:left="720" w:hanging="360"/>
      </w:pPr>
      <w:r>
        <w:rPr>
          <w:rFonts w:ascii="Calibri" w:hAnsi="Calibri"/>
          <w:color w:val="1F2937"/>
          <w:sz w:val="21"/>
        </w:rPr>
        <w:t>Retain the last-known-good model until the replacement is validated and reviewed.</w:t>
      </w:r>
    </w:p>
    <w:p>
      <w:pPr>
        <w:pStyle w:val="ListBullet"/>
        <w:keepLines w:val="0"/>
        <w:spacing w:before="0" w:after="60" w:line="276" w:lineRule="auto"/>
        <w:ind w:left="720" w:hanging="360"/>
      </w:pPr>
      <w:r>
        <w:rPr>
          <w:rFonts w:ascii="Calibri" w:hAnsi="Calibri"/>
          <w:color w:val="1F2937"/>
          <w:sz w:val="21"/>
        </w:rPr>
        <w:t xml:space="preserve">Confirm all runtime and retrieval evidence remains under the intended </w:t>
      </w:r>
      <w:r>
        <w:rPr>
          <w:rFonts w:ascii="Consolas" w:hAnsi="Consolas"/>
          <w:color w:val="17365D"/>
          <w:sz w:val="18"/>
        </w:rPr>
        <w:t>app_id</w:t>
      </w:r>
      <w:r>
        <w:rPr>
          <w:rFonts w:ascii="Calibri" w:hAnsi="Calibri"/>
          <w:color w:val="1F2937"/>
          <w:sz w:val="21"/>
        </w:rPr>
        <w:t>.</w:t>
      </w:r>
    </w:p>
    <w:p>
      <w:pPr>
        <w:pStyle w:val="Heading1"/>
        <w:keepNext/>
      </w:pPr>
      <w:r>
        <w:t>Repository sources</w:t>
      </w:r>
    </w:p>
    <w:p>
      <w:pPr>
        <w:keepLines w:val="0"/>
        <w:spacing w:before="0" w:after="120" w:line="283" w:lineRule="auto"/>
      </w:pPr>
      <w:r>
        <w:rPr>
          <w:rFonts w:ascii="Calibri" w:hAnsi="Calibri"/>
          <w:color w:val="1F2937"/>
          <w:sz w:val="21"/>
        </w:rPr>
        <w:t>This article is based on repository documentation and current implementation code. Paths are relative to the repository root. Dated plans and checklists are treated as historical or design evidence unless current production code corroborates them.</w:t>
      </w:r>
    </w:p>
    <w:tbl>
      <w:tblPr>
        <w:tblStyle w:val="TableGrid"/>
        <w:tblW w:type="dxa" w:w="9360"/>
        <w:jc w:val="left"/>
        <w:tblLayout w:type="fixed"/>
        <w:tblLook w:firstColumn="1" w:firstRow="1" w:lastColumn="0" w:lastRow="0" w:noHBand="0" w:noVBand="1" w:val="04A0"/>
        <w:tblInd w:w="120" w:type="dxa"/>
      </w:tblPr>
      <w:tblGrid>
        <w:gridCol w:w="4000"/>
        <w:gridCol w:w="5360"/>
      </w:tblGrid>
      <w:tr>
        <w:trPr>
          <w:tblHeader w:val="true"/>
        </w:trPr>
        <w:tc>
          <w:tcPr>
            <w:tcW w:type="dxa" w:w="4000"/>
            <w:tcMar>
              <w:top w:w="80" w:type="dxa"/>
              <w:start w:w="120" w:type="dxa"/>
              <w:bottom w:w="80" w:type="dxa"/>
              <w:end w:w="120" w:type="dxa"/>
            </w:tcMar>
            <w:vAlign w:val="center"/>
            <w:shd w:fill="DCE6F1"/>
          </w:tcPr>
          <w:p>
            <w:pPr>
              <w:spacing w:before="40" w:after="40"/>
              <w:jc w:val="left"/>
            </w:pPr>
            <w:r>
              <w:rPr>
                <w:rFonts w:ascii="Calibri" w:hAnsi="Calibri"/>
                <w:b/>
                <w:color w:val="17365D"/>
                <w:sz w:val="16"/>
              </w:rPr>
              <w:t>Repository path</w:t>
            </w:r>
          </w:p>
        </w:tc>
        <w:tc>
          <w:tcPr>
            <w:tcW w:type="dxa" w:w="5360"/>
            <w:tcMar>
              <w:top w:w="80" w:type="dxa"/>
              <w:start w:w="120" w:type="dxa"/>
              <w:bottom w:w="80" w:type="dxa"/>
              <w:end w:w="120" w:type="dxa"/>
            </w:tcMar>
            <w:vAlign w:val="center"/>
            <w:shd w:fill="DCE6F1"/>
          </w:tcPr>
          <w:p>
            <w:pPr>
              <w:spacing w:before="40" w:after="40"/>
              <w:jc w:val="left"/>
            </w:pPr>
            <w:r>
              <w:rPr>
                <w:rFonts w:ascii="Calibri" w:hAnsi="Calibri"/>
                <w:b/>
                <w:color w:val="17365D"/>
                <w:sz w:val="16"/>
              </w:rPr>
              <w:t>Evidence provided</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AGENTS.md</w:t>
            </w:r>
            <w:r>
              <w:rPr>
                <w:rFonts w:ascii="Calibri" w:hAnsi="Calibri"/>
                <w:color w:val="1F2937"/>
                <w:sz w:val="16"/>
              </w:rPr>
            </w:r>
          </w:p>
        </w:tc>
        <w:tc>
          <w:tcPr>
            <w:tcW w:type="dxa" w:w="5360"/>
          </w:tcPr>
          <w:p>
            <w:pPr>
              <w:spacing w:before="40" w:after="40" w:line="252" w:lineRule="auto"/>
            </w:pPr>
            <w:r>
              <w:rPr>
                <w:rFonts w:ascii="Calibri" w:hAnsi="Calibri"/>
                <w:color w:val="1F2937"/>
                <w:sz w:val="16"/>
              </w:rPr>
              <w:t>Authoritative component boundaries, production status, isolation requirements, and instruction-storage rules.</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README.md</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Top-level component map and active-versus-legacy application status.</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ragenius_app_skeleton/README.md</w:t>
            </w:r>
            <w:r>
              <w:rPr>
                <w:rFonts w:ascii="Calibri" w:hAnsi="Calibri"/>
                <w:color w:val="1F2937"/>
                <w:sz w:val="16"/>
              </w:rPr>
            </w:r>
          </w:p>
        </w:tc>
        <w:tc>
          <w:tcPr>
            <w:tcW w:type="dxa" w:w="5360"/>
          </w:tcPr>
          <w:p>
            <w:pPr>
              <w:spacing w:before="40" w:after="40" w:line="252" w:lineRule="auto"/>
            </w:pPr>
            <w:r>
              <w:rPr>
                <w:rFonts w:ascii="Calibri" w:hAnsi="Calibri"/>
                <w:color w:val="1F2937"/>
                <w:sz w:val="16"/>
              </w:rPr>
              <w:t>Builder-backed runtime model and source-of-truth summary.</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ragenius_builder/flask_scaffold/storage.py</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File-backed instruction path resolution and database metadata behavior.</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ragenius_app_skeleton/backend/app/instruction_understanding_service.py</w:t>
            </w:r>
            <w:r>
              <w:rPr>
                <w:rFonts w:ascii="Calibri" w:hAnsi="Calibri"/>
                <w:color w:val="1F2937"/>
                <w:sz w:val="16"/>
              </w:rPr>
            </w:r>
          </w:p>
        </w:tc>
        <w:tc>
          <w:tcPr>
            <w:tcW w:type="dxa" w:w="5360"/>
          </w:tcPr>
          <w:p>
            <w:pPr>
              <w:spacing w:before="40" w:after="40" w:line="252" w:lineRule="auto"/>
            </w:pPr>
            <w:r>
              <w:rPr>
                <w:rFonts w:ascii="Calibri" w:hAnsi="Calibri"/>
                <w:color w:val="1F2937"/>
                <w:sz w:val="16"/>
              </w:rPr>
              <w:t>Hashes, deterministic compile contract, LLM semantic compile task, grounding, validation, hybrid projection, persistence orchestration, snapshots, cache status, review, approval, and revision.</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ragenius_app_skeleton/backend/app/llm_runtime.py</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Task-specific model selection and configuration for compile, review, and revision LLM calls.</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ragenius_app_skeleton/backend/app/chat_repos.py</w:t>
            </w:r>
            <w:r>
              <w:rPr>
                <w:rFonts w:ascii="Calibri" w:hAnsi="Calibri"/>
                <w:color w:val="1F2937"/>
                <w:sz w:val="16"/>
              </w:rPr>
            </w:r>
          </w:p>
        </w:tc>
        <w:tc>
          <w:tcPr>
            <w:tcW w:type="dxa" w:w="5360"/>
          </w:tcPr>
          <w:p>
            <w:pPr>
              <w:spacing w:before="40" w:after="40" w:line="252" w:lineRule="auto"/>
            </w:pPr>
            <w:r>
              <w:rPr>
                <w:rFonts w:ascii="Calibri" w:hAnsi="Calibri"/>
                <w:color w:val="1F2937"/>
                <w:sz w:val="16"/>
              </w:rPr>
              <w:t>Active/latest compiled records and lifecycle persistence shapes.</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ragenius_app_skeleton/backend/app/main.py</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Runtime mode resolution, Builder context assembly, read-only detail loading, and explicit lifecycle endpoints.</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ragenius_app_skeleton/workflows/nodes/load_template_registry.py</w:t>
            </w:r>
            <w:r>
              <w:rPr>
                <w:rFonts w:ascii="Calibri" w:hAnsi="Calibri"/>
                <w:color w:val="1F2937"/>
                <w:sz w:val="16"/>
              </w:rPr>
            </w:r>
          </w:p>
        </w:tc>
        <w:tc>
          <w:tcPr>
            <w:tcW w:type="dxa" w:w="5360"/>
          </w:tcPr>
          <w:p>
            <w:pPr>
              <w:spacing w:before="40" w:after="40" w:line="252" w:lineRule="auto"/>
            </w:pPr>
            <w:r>
              <w:rPr>
                <w:rFonts w:ascii="Calibri" w:hAnsi="Calibri"/>
                <w:color w:val="1F2937"/>
                <w:sz w:val="16"/>
              </w:rPr>
              <w:t>Application of compiled understanding into the runtime registry and fallback parser path.</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ragenius_app_skeleton/workflows/nodes/planner.py</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Hybrid decision packets, shadow planning, active semantic selections, clarification state, procedures, modules, resources, and app-scoped retrieval enforcement.</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ragenius_app_skeleton/workflows/graph_state.py</w:t>
            </w:r>
            <w:r>
              <w:rPr>
                <w:rFonts w:ascii="Calibri" w:hAnsi="Calibri"/>
                <w:color w:val="1F2937"/>
                <w:sz w:val="16"/>
              </w:rPr>
            </w:r>
          </w:p>
        </w:tc>
        <w:tc>
          <w:tcPr>
            <w:tcW w:type="dxa" w:w="5360"/>
          </w:tcPr>
          <w:p>
            <w:pPr>
              <w:spacing w:before="40" w:after="40" w:line="252" w:lineRule="auto"/>
            </w:pPr>
            <w:r>
              <w:rPr>
                <w:rFonts w:ascii="Calibri" w:hAnsi="Calibri"/>
                <w:color w:val="1F2937"/>
                <w:sz w:val="16"/>
              </w:rPr>
              <w:t>Graph-state fields that carry instruction runtime data and session execution state.</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ragenius_builder/docs/builder_gui_instruction_model_contract.md</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Inspection semantics, same-artifact rule, staleness display, and Builder/runtime boundary.</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ragenius_builder/docs/builder_gui_instruction_model_design.md</w:t>
            </w:r>
            <w:r>
              <w:rPr>
                <w:rFonts w:ascii="Calibri" w:hAnsi="Calibri"/>
                <w:color w:val="1F2937"/>
                <w:sz w:val="16"/>
              </w:rPr>
            </w:r>
          </w:p>
        </w:tc>
        <w:tc>
          <w:tcPr>
            <w:tcW w:type="dxa" w:w="5360"/>
          </w:tcPr>
          <w:p>
            <w:pPr>
              <w:spacing w:before="40" w:after="40" w:line="252" w:lineRule="auto"/>
            </w:pPr>
            <w:r>
              <w:rPr>
                <w:rFonts w:ascii="Calibri" w:hAnsi="Calibri"/>
                <w:color w:val="1F2937"/>
                <w:sz w:val="16"/>
              </w:rPr>
              <w:t>Friendly projection and information architecture for designers.</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docs/2026-05-24-ragenius-app-ragenius-app-skeleton-handover.md</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System handover context, snapshot-first philosophy, hybrid compatibility rationale, and implementation map.</w:t>
            </w:r>
          </w:p>
        </w:tc>
      </w:tr>
      <w:tr>
        <w:tc>
          <w:tcPr>
            <w:tcW w:type="dxa" w:w="4000"/>
          </w:tcPr>
          <w:p>
            <w:pPr>
              <w:spacing w:before="40" w:after="40" w:line="252" w:lineRule="auto"/>
            </w:pPr>
            <w:r>
              <w:rPr>
                <w:rFonts w:ascii="Calibri" w:hAnsi="Calibri"/>
                <w:color w:val="1F2937"/>
                <w:sz w:val="16"/>
              </w:rPr>
            </w:r>
            <w:r>
              <w:rPr>
                <w:rFonts w:ascii="Consolas" w:hAnsi="Consolas"/>
                <w:color w:val="17365D"/>
                <w:sz w:val="15"/>
              </w:rPr>
              <w:t>docs/2026-05-13-instruction-understanding-remaining-phases.md</w:t>
            </w:r>
            <w:r>
              <w:rPr>
                <w:rFonts w:ascii="Calibri" w:hAnsi="Calibri"/>
                <w:color w:val="1F2937"/>
                <w:sz w:val="16"/>
              </w:rPr>
            </w:r>
          </w:p>
        </w:tc>
        <w:tc>
          <w:tcPr>
            <w:tcW w:type="dxa" w:w="5360"/>
          </w:tcPr>
          <w:p>
            <w:pPr>
              <w:spacing w:before="40" w:after="40" w:line="252" w:lineRule="auto"/>
            </w:pPr>
            <w:r>
              <w:rPr>
                <w:rFonts w:ascii="Calibri" w:hAnsi="Calibri"/>
                <w:color w:val="1F2937"/>
                <w:sz w:val="16"/>
              </w:rPr>
              <w:t>Dated roadmap and historical phase status; used only with explicit temporal qualification.</w:t>
            </w:r>
          </w:p>
        </w:tc>
      </w:tr>
      <w:tr>
        <w:tc>
          <w:tcPr>
            <w:tcW w:type="dxa" w:w="4000"/>
            <w:shd w:fill="F8FAFC"/>
          </w:tcPr>
          <w:p>
            <w:pPr>
              <w:spacing w:before="40" w:after="40" w:line="252" w:lineRule="auto"/>
            </w:pPr>
            <w:r>
              <w:rPr>
                <w:rFonts w:ascii="Calibri" w:hAnsi="Calibri"/>
                <w:color w:val="1F2937"/>
                <w:sz w:val="16"/>
              </w:rPr>
            </w:r>
            <w:r>
              <w:rPr>
                <w:rFonts w:ascii="Consolas" w:hAnsi="Consolas"/>
                <w:color w:val="17365D"/>
                <w:sz w:val="15"/>
              </w:rPr>
              <w:t>docs/2026-05-14-phase-5-real-llm-verification-checklist.md</w:t>
            </w:r>
            <w:r>
              <w:rPr>
                <w:rFonts w:ascii="Calibri" w:hAnsi="Calibri"/>
                <w:color w:val="1F2937"/>
                <w:sz w:val="16"/>
              </w:rPr>
            </w:r>
          </w:p>
        </w:tc>
        <w:tc>
          <w:tcPr>
            <w:tcW w:type="dxa" w:w="5360"/>
            <w:shd w:fill="F8FAFC"/>
          </w:tcPr>
          <w:p>
            <w:pPr>
              <w:spacing w:before="40" w:after="40" w:line="252" w:lineRule="auto"/>
            </w:pPr>
            <w:r>
              <w:rPr>
                <w:rFonts w:ascii="Calibri" w:hAnsi="Calibri"/>
                <w:color w:val="1F2937"/>
                <w:sz w:val="16"/>
              </w:rPr>
              <w:t>Dated real-LLM configuration and acceptance checklist; not evidence of current deployment completion.</w:t>
            </w:r>
          </w:p>
        </w:tc>
      </w:tr>
    </w:tbl>
    <w:p>
      <w:pPr>
        <w:spacing w:after="40"/>
      </w:pPr>
    </w:p>
    <w:p>
      <w:pPr>
        <w:pStyle w:val="Heading1"/>
        <w:keepNext/>
      </w:pPr>
      <w:r>
        <w:t>Closing perspective</w:t>
      </w:r>
    </w:p>
    <w:p>
      <w:pPr>
        <w:keepLines w:val="0"/>
        <w:spacing w:before="0" w:after="120" w:line="283" w:lineRule="auto"/>
      </w:pPr>
      <w:r>
        <w:rPr>
          <w:rFonts w:ascii="Calibri" w:hAnsi="Calibri"/>
          <w:color w:val="1F2937"/>
          <w:sz w:val="21"/>
        </w:rPr>
        <w:t>RAGenius's instruction-understanding model is best seen as a controlled semantic compiler. The authored Markdown remains the human source of intent. The LLM provides contextual understanding that deterministic parsing alone cannot reliably recover. Grounding and validation turn that interpretation into a contract that software can trust conditionally. Persistence, inspection, review, and compatibility make the contract operational across real application lifecycles.</w:t>
      </w:r>
    </w:p>
    <w:p>
      <w:pPr>
        <w:keepLines w:val="0"/>
        <w:spacing w:before="0" w:after="120" w:line="283" w:lineRule="auto"/>
      </w:pPr>
      <w:r>
        <w:rPr>
          <w:rFonts w:ascii="Calibri" w:hAnsi="Calibri"/>
          <w:color w:val="1F2937"/>
          <w:sz w:val="21"/>
        </w:rPr>
        <w:t>For researchers, this architecture offers a concrete pattern for governing LLM-generated intermediate representations. For developers, it offers a practical way to move complex application behavior out of fragile mega-prompts and into explicit, inspectable runtime structures. Its value lies not in removing model judgment, but in deciding exactly where that judgment belongs and surrounding it with evidence, contracts, and safe publication behavior.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B6573"/>
        <w:sz w:val="17"/>
      </w:rPr>
      <w:t xml:space="preserve">Page </w:t>
    </w:r>
    <w:fldSimple w:instr="PAGE">
      <w:r>
        <w:rPr>
          <w:rFonts w:ascii="Calibri" w:hAnsi="Calibri"/>
          <w:sz w:val="17"/>
          <w:color w:val="5B657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B6573"/>
        <w:sz w:val="17"/>
      </w:rPr>
      <w:t>RAGenius | Application Instruction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rPr>
      <w:rFonts w:ascii="Calibri" w:hAnsi="Calibr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Instructions to Executable Understanding: The RAGenius Application Instruction Model</dc:title>
  <dc:subject>RAGenius instruction-understanding architecture</dc:subject>
  <dc:creator>RAGenius Technical Documentation</dc:creator>
  <cp:keywords>RAG, LLM, instruction compilation, semantic model, runtime model, RAGenius</cp:keywords>
  <dc:description>generated by python-docx</dc:description>
  <cp:lastModifiedBy/>
  <cp:revision>1</cp:revision>
  <dcterms:created xsi:type="dcterms:W3CDTF">2013-12-23T23:15:00Z</dcterms:created>
  <dcterms:modified xsi:type="dcterms:W3CDTF">2013-12-23T23:15:00Z</dcterms:modified>
  <cp:category/>
</cp:coreProperties>
</file>