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C24124" w:rsidRPr="00914102" w:rsidRDefault="00C24124" w:rsidP="00A65D39">
                            <w:pPr>
                              <w:pStyle w:val="Vorgelegt"/>
                            </w:pPr>
                            <w:r>
                              <w:t>Vorgelegt der Fakultät für Wirtschaftswissenschaft</w:t>
                            </w:r>
                          </w:p>
                          <w:p w14:paraId="2DA42285" w14:textId="77777777" w:rsidR="00C24124" w:rsidRDefault="00C2412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C24124" w:rsidRDefault="00C24124" w:rsidP="00A65D39">
                            <w:pPr>
                              <w:pStyle w:val="Vorgelegt"/>
                            </w:pPr>
                            <w:r>
                              <w:t>Lehrstuhl für Betriebswirtschaftslehre,</w:t>
                            </w:r>
                          </w:p>
                          <w:p w14:paraId="30ECB503" w14:textId="77777777" w:rsidR="00C24124" w:rsidRPr="00D2428A" w:rsidRDefault="00C2412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C24124" w:rsidRPr="00914102" w:rsidRDefault="00C24124" w:rsidP="00A65D39">
                      <w:pPr>
                        <w:pStyle w:val="Vorgelegt"/>
                      </w:pPr>
                      <w:r>
                        <w:t>Vorgelegt der Fakultät für Wirtschaftswissenschaft</w:t>
                      </w:r>
                    </w:p>
                    <w:p w14:paraId="2DA42285" w14:textId="77777777" w:rsidR="00C24124" w:rsidRDefault="00C2412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C24124" w:rsidRDefault="00C24124" w:rsidP="00A65D39">
                      <w:pPr>
                        <w:pStyle w:val="Vorgelegt"/>
                      </w:pPr>
                      <w:r>
                        <w:t>Lehrstuhl für Betriebswirtschaftslehre,</w:t>
                      </w:r>
                    </w:p>
                    <w:p w14:paraId="30ECB503" w14:textId="77777777" w:rsidR="00C24124" w:rsidRPr="00D2428A" w:rsidRDefault="00C2412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BFDA483" w14:textId="77777777" w:rsidR="008535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8153144" w:history="1">
        <w:r w:rsidR="00853517" w:rsidRPr="009C6CEE">
          <w:rPr>
            <w:rStyle w:val="Link"/>
          </w:rPr>
          <w:t>Abbildungsverzeichnis</w:t>
        </w:r>
        <w:r w:rsidR="00853517">
          <w:rPr>
            <w:webHidden/>
          </w:rPr>
          <w:tab/>
        </w:r>
        <w:r w:rsidR="00853517">
          <w:rPr>
            <w:webHidden/>
          </w:rPr>
          <w:fldChar w:fldCharType="begin"/>
        </w:r>
        <w:r w:rsidR="00853517">
          <w:rPr>
            <w:webHidden/>
          </w:rPr>
          <w:instrText xml:space="preserve"> PAGEREF _Toc448153144 \h </w:instrText>
        </w:r>
        <w:r w:rsidR="00853517">
          <w:rPr>
            <w:webHidden/>
          </w:rPr>
        </w:r>
        <w:r w:rsidR="00853517">
          <w:rPr>
            <w:webHidden/>
          </w:rPr>
          <w:fldChar w:fldCharType="separate"/>
        </w:r>
        <w:r w:rsidR="00853517">
          <w:rPr>
            <w:webHidden/>
          </w:rPr>
          <w:t>III</w:t>
        </w:r>
        <w:r w:rsidR="00853517">
          <w:rPr>
            <w:webHidden/>
          </w:rPr>
          <w:fldChar w:fldCharType="end"/>
        </w:r>
      </w:hyperlink>
    </w:p>
    <w:p w14:paraId="0C9D132E" w14:textId="77777777" w:rsidR="00853517" w:rsidRDefault="00C24124">
      <w:pPr>
        <w:pStyle w:val="Verzeichnis1"/>
        <w:rPr>
          <w:rFonts w:asciiTheme="minorHAnsi" w:eastAsiaTheme="minorEastAsia" w:hAnsiTheme="minorHAnsi" w:cstheme="minorBidi"/>
          <w:b w:val="0"/>
          <w:sz w:val="24"/>
          <w:szCs w:val="24"/>
        </w:rPr>
      </w:pPr>
      <w:hyperlink w:anchor="_Toc448153145" w:history="1">
        <w:r w:rsidR="00853517" w:rsidRPr="009C6CEE">
          <w:rPr>
            <w:rStyle w:val="Link"/>
          </w:rPr>
          <w:t>Tabellenverzeichnis</w:t>
        </w:r>
        <w:r w:rsidR="00853517">
          <w:rPr>
            <w:webHidden/>
          </w:rPr>
          <w:tab/>
        </w:r>
        <w:r w:rsidR="00853517">
          <w:rPr>
            <w:webHidden/>
          </w:rPr>
          <w:fldChar w:fldCharType="begin"/>
        </w:r>
        <w:r w:rsidR="00853517">
          <w:rPr>
            <w:webHidden/>
          </w:rPr>
          <w:instrText xml:space="preserve"> PAGEREF _Toc448153145 \h </w:instrText>
        </w:r>
        <w:r w:rsidR="00853517">
          <w:rPr>
            <w:webHidden/>
          </w:rPr>
        </w:r>
        <w:r w:rsidR="00853517">
          <w:rPr>
            <w:webHidden/>
          </w:rPr>
          <w:fldChar w:fldCharType="separate"/>
        </w:r>
        <w:r w:rsidR="00853517">
          <w:rPr>
            <w:webHidden/>
          </w:rPr>
          <w:t>IV</w:t>
        </w:r>
        <w:r w:rsidR="00853517">
          <w:rPr>
            <w:webHidden/>
          </w:rPr>
          <w:fldChar w:fldCharType="end"/>
        </w:r>
      </w:hyperlink>
    </w:p>
    <w:p w14:paraId="00F57A2C" w14:textId="77777777" w:rsidR="00853517" w:rsidRDefault="00C24124">
      <w:pPr>
        <w:pStyle w:val="Verzeichnis1"/>
        <w:rPr>
          <w:rFonts w:asciiTheme="minorHAnsi" w:eastAsiaTheme="minorEastAsia" w:hAnsiTheme="minorHAnsi" w:cstheme="minorBidi"/>
          <w:b w:val="0"/>
          <w:sz w:val="24"/>
          <w:szCs w:val="24"/>
        </w:rPr>
      </w:pPr>
      <w:hyperlink w:anchor="_Toc448153146" w:history="1">
        <w:r w:rsidR="00853517" w:rsidRPr="009C6CEE">
          <w:rPr>
            <w:rStyle w:val="Link"/>
            <w:lang w:val="en-US"/>
          </w:rPr>
          <w:t>Abkürzungsverzeichnis</w:t>
        </w:r>
        <w:r w:rsidR="00853517">
          <w:rPr>
            <w:webHidden/>
          </w:rPr>
          <w:tab/>
        </w:r>
        <w:r w:rsidR="00853517">
          <w:rPr>
            <w:webHidden/>
          </w:rPr>
          <w:fldChar w:fldCharType="begin"/>
        </w:r>
        <w:r w:rsidR="00853517">
          <w:rPr>
            <w:webHidden/>
          </w:rPr>
          <w:instrText xml:space="preserve"> PAGEREF _Toc448153146 \h </w:instrText>
        </w:r>
        <w:r w:rsidR="00853517">
          <w:rPr>
            <w:webHidden/>
          </w:rPr>
        </w:r>
        <w:r w:rsidR="00853517">
          <w:rPr>
            <w:webHidden/>
          </w:rPr>
          <w:fldChar w:fldCharType="separate"/>
        </w:r>
        <w:r w:rsidR="00853517">
          <w:rPr>
            <w:webHidden/>
          </w:rPr>
          <w:t>V</w:t>
        </w:r>
        <w:r w:rsidR="00853517">
          <w:rPr>
            <w:webHidden/>
          </w:rPr>
          <w:fldChar w:fldCharType="end"/>
        </w:r>
      </w:hyperlink>
    </w:p>
    <w:p w14:paraId="645C8EC6" w14:textId="77777777" w:rsidR="00853517" w:rsidRDefault="00C24124">
      <w:pPr>
        <w:pStyle w:val="Verzeichnis1"/>
        <w:rPr>
          <w:rFonts w:asciiTheme="minorHAnsi" w:eastAsiaTheme="minorEastAsia" w:hAnsiTheme="minorHAnsi" w:cstheme="minorBidi"/>
          <w:b w:val="0"/>
          <w:sz w:val="24"/>
          <w:szCs w:val="24"/>
        </w:rPr>
      </w:pPr>
      <w:hyperlink w:anchor="_Toc448153147" w:history="1">
        <w:r w:rsidR="00853517" w:rsidRPr="009C6CEE">
          <w:rPr>
            <w:rStyle w:val="Link"/>
          </w:rPr>
          <w:t>1</w:t>
        </w:r>
        <w:r w:rsidR="00853517">
          <w:rPr>
            <w:rFonts w:asciiTheme="minorHAnsi" w:eastAsiaTheme="minorEastAsia" w:hAnsiTheme="minorHAnsi" w:cstheme="minorBidi"/>
            <w:b w:val="0"/>
            <w:sz w:val="24"/>
            <w:szCs w:val="24"/>
          </w:rPr>
          <w:tab/>
        </w:r>
        <w:r w:rsidR="00853517" w:rsidRPr="009C6CEE">
          <w:rPr>
            <w:rStyle w:val="Link"/>
          </w:rPr>
          <w:t>Einleitung</w:t>
        </w:r>
        <w:r w:rsidR="00853517">
          <w:rPr>
            <w:webHidden/>
          </w:rPr>
          <w:tab/>
        </w:r>
        <w:r w:rsidR="00853517">
          <w:rPr>
            <w:webHidden/>
          </w:rPr>
          <w:fldChar w:fldCharType="begin"/>
        </w:r>
        <w:r w:rsidR="00853517">
          <w:rPr>
            <w:webHidden/>
          </w:rPr>
          <w:instrText xml:space="preserve"> PAGEREF _Toc448153147 \h </w:instrText>
        </w:r>
        <w:r w:rsidR="00853517">
          <w:rPr>
            <w:webHidden/>
          </w:rPr>
        </w:r>
        <w:r w:rsidR="00853517">
          <w:rPr>
            <w:webHidden/>
          </w:rPr>
          <w:fldChar w:fldCharType="separate"/>
        </w:r>
        <w:r w:rsidR="00853517">
          <w:rPr>
            <w:webHidden/>
          </w:rPr>
          <w:t>1</w:t>
        </w:r>
        <w:r w:rsidR="00853517">
          <w:rPr>
            <w:webHidden/>
          </w:rPr>
          <w:fldChar w:fldCharType="end"/>
        </w:r>
      </w:hyperlink>
    </w:p>
    <w:p w14:paraId="4DDE22E3" w14:textId="77777777" w:rsidR="00853517" w:rsidRDefault="00C24124">
      <w:pPr>
        <w:pStyle w:val="Verzeichnis1"/>
        <w:rPr>
          <w:rFonts w:asciiTheme="minorHAnsi" w:eastAsiaTheme="minorEastAsia" w:hAnsiTheme="minorHAnsi" w:cstheme="minorBidi"/>
          <w:b w:val="0"/>
          <w:sz w:val="24"/>
          <w:szCs w:val="24"/>
        </w:rPr>
      </w:pPr>
      <w:hyperlink w:anchor="_Toc448153148" w:history="1">
        <w:r w:rsidR="00853517" w:rsidRPr="009C6CEE">
          <w:rPr>
            <w:rStyle w:val="Link"/>
          </w:rPr>
          <w:t>2</w:t>
        </w:r>
        <w:r w:rsidR="00853517">
          <w:rPr>
            <w:rFonts w:asciiTheme="minorHAnsi" w:eastAsiaTheme="minorEastAsia" w:hAnsiTheme="minorHAnsi" w:cstheme="minorBidi"/>
            <w:b w:val="0"/>
            <w:sz w:val="24"/>
            <w:szCs w:val="24"/>
          </w:rPr>
          <w:tab/>
        </w:r>
        <w:r w:rsidR="00853517" w:rsidRPr="009C6CEE">
          <w:rPr>
            <w:rStyle w:val="Link"/>
          </w:rPr>
          <w:t>Grundlagen</w:t>
        </w:r>
        <w:r w:rsidR="00853517">
          <w:rPr>
            <w:webHidden/>
          </w:rPr>
          <w:tab/>
        </w:r>
        <w:r w:rsidR="00853517">
          <w:rPr>
            <w:webHidden/>
          </w:rPr>
          <w:fldChar w:fldCharType="begin"/>
        </w:r>
        <w:r w:rsidR="00853517">
          <w:rPr>
            <w:webHidden/>
          </w:rPr>
          <w:instrText xml:space="preserve"> PAGEREF _Toc448153148 \h </w:instrText>
        </w:r>
        <w:r w:rsidR="00853517">
          <w:rPr>
            <w:webHidden/>
          </w:rPr>
        </w:r>
        <w:r w:rsidR="00853517">
          <w:rPr>
            <w:webHidden/>
          </w:rPr>
          <w:fldChar w:fldCharType="separate"/>
        </w:r>
        <w:r w:rsidR="00853517">
          <w:rPr>
            <w:webHidden/>
          </w:rPr>
          <w:t>3</w:t>
        </w:r>
        <w:r w:rsidR="00853517">
          <w:rPr>
            <w:webHidden/>
          </w:rPr>
          <w:fldChar w:fldCharType="end"/>
        </w:r>
      </w:hyperlink>
    </w:p>
    <w:p w14:paraId="5DED456A" w14:textId="77777777" w:rsidR="00853517" w:rsidRDefault="00C24124">
      <w:pPr>
        <w:pStyle w:val="Verzeichnis2"/>
        <w:rPr>
          <w:rFonts w:asciiTheme="minorHAnsi" w:eastAsiaTheme="minorEastAsia" w:hAnsiTheme="minorHAnsi" w:cstheme="minorBidi"/>
          <w:sz w:val="24"/>
          <w:szCs w:val="24"/>
        </w:rPr>
      </w:pPr>
      <w:hyperlink w:anchor="_Toc448153149" w:history="1">
        <w:r w:rsidR="00853517" w:rsidRPr="009C6CEE">
          <w:rPr>
            <w:rStyle w:val="Link"/>
          </w:rPr>
          <w:t>2.1</w:t>
        </w:r>
        <w:r w:rsidR="00853517">
          <w:rPr>
            <w:rFonts w:asciiTheme="minorHAnsi" w:eastAsiaTheme="minorEastAsia" w:hAnsiTheme="minorHAnsi" w:cstheme="minorBidi"/>
            <w:sz w:val="24"/>
            <w:szCs w:val="24"/>
          </w:rPr>
          <w:tab/>
        </w:r>
        <w:r w:rsidR="00853517" w:rsidRPr="009C6CEE">
          <w:rPr>
            <w:rStyle w:val="Link"/>
          </w:rPr>
          <w:t>Innovation zur Existenzsicherung</w:t>
        </w:r>
        <w:r w:rsidR="00853517">
          <w:rPr>
            <w:webHidden/>
          </w:rPr>
          <w:tab/>
        </w:r>
        <w:r w:rsidR="00853517">
          <w:rPr>
            <w:webHidden/>
          </w:rPr>
          <w:fldChar w:fldCharType="begin"/>
        </w:r>
        <w:r w:rsidR="00853517">
          <w:rPr>
            <w:webHidden/>
          </w:rPr>
          <w:instrText xml:space="preserve"> PAGEREF _Toc448153149 \h </w:instrText>
        </w:r>
        <w:r w:rsidR="00853517">
          <w:rPr>
            <w:webHidden/>
          </w:rPr>
        </w:r>
        <w:r w:rsidR="00853517">
          <w:rPr>
            <w:webHidden/>
          </w:rPr>
          <w:fldChar w:fldCharType="separate"/>
        </w:r>
        <w:r w:rsidR="00853517">
          <w:rPr>
            <w:webHidden/>
          </w:rPr>
          <w:t>3</w:t>
        </w:r>
        <w:r w:rsidR="00853517">
          <w:rPr>
            <w:webHidden/>
          </w:rPr>
          <w:fldChar w:fldCharType="end"/>
        </w:r>
      </w:hyperlink>
    </w:p>
    <w:p w14:paraId="728CE35F" w14:textId="77777777" w:rsidR="00853517" w:rsidRDefault="00C24124">
      <w:pPr>
        <w:pStyle w:val="Verzeichnis2"/>
        <w:rPr>
          <w:rFonts w:asciiTheme="minorHAnsi" w:eastAsiaTheme="minorEastAsia" w:hAnsiTheme="minorHAnsi" w:cstheme="minorBidi"/>
          <w:sz w:val="24"/>
          <w:szCs w:val="24"/>
        </w:rPr>
      </w:pPr>
      <w:hyperlink w:anchor="_Toc448153150" w:history="1">
        <w:r w:rsidR="00853517" w:rsidRPr="009C6CEE">
          <w:rPr>
            <w:rStyle w:val="Link"/>
          </w:rPr>
          <w:t>2.2</w:t>
        </w:r>
        <w:r w:rsidR="00853517">
          <w:rPr>
            <w:rFonts w:asciiTheme="minorHAnsi" w:eastAsiaTheme="minorEastAsia" w:hAnsiTheme="minorHAnsi" w:cstheme="minorBidi"/>
            <w:sz w:val="24"/>
            <w:szCs w:val="24"/>
          </w:rPr>
          <w:tab/>
        </w:r>
        <w:r w:rsidR="00853517" w:rsidRPr="009C6CEE">
          <w:rPr>
            <w:rStyle w:val="Link"/>
          </w:rPr>
          <w:t>Innovationssteuerung durch Produkt-Management</w:t>
        </w:r>
        <w:r w:rsidR="00853517">
          <w:rPr>
            <w:webHidden/>
          </w:rPr>
          <w:tab/>
        </w:r>
        <w:r w:rsidR="00853517">
          <w:rPr>
            <w:webHidden/>
          </w:rPr>
          <w:fldChar w:fldCharType="begin"/>
        </w:r>
        <w:r w:rsidR="00853517">
          <w:rPr>
            <w:webHidden/>
          </w:rPr>
          <w:instrText xml:space="preserve"> PAGEREF _Toc448153150 \h </w:instrText>
        </w:r>
        <w:r w:rsidR="00853517">
          <w:rPr>
            <w:webHidden/>
          </w:rPr>
        </w:r>
        <w:r w:rsidR="00853517">
          <w:rPr>
            <w:webHidden/>
          </w:rPr>
          <w:fldChar w:fldCharType="separate"/>
        </w:r>
        <w:r w:rsidR="00853517">
          <w:rPr>
            <w:webHidden/>
          </w:rPr>
          <w:t>6</w:t>
        </w:r>
        <w:r w:rsidR="00853517">
          <w:rPr>
            <w:webHidden/>
          </w:rPr>
          <w:fldChar w:fldCharType="end"/>
        </w:r>
      </w:hyperlink>
    </w:p>
    <w:p w14:paraId="21FBBAFC" w14:textId="77777777" w:rsidR="00853517" w:rsidRDefault="00C24124">
      <w:pPr>
        <w:pStyle w:val="Verzeichnis2"/>
        <w:rPr>
          <w:rFonts w:asciiTheme="minorHAnsi" w:eastAsiaTheme="minorEastAsia" w:hAnsiTheme="minorHAnsi" w:cstheme="minorBidi"/>
          <w:sz w:val="24"/>
          <w:szCs w:val="24"/>
        </w:rPr>
      </w:pPr>
      <w:hyperlink w:anchor="_Toc448153151" w:history="1">
        <w:r w:rsidR="00853517" w:rsidRPr="009C6CEE">
          <w:rPr>
            <w:rStyle w:val="Link"/>
          </w:rPr>
          <w:t>2.3</w:t>
        </w:r>
        <w:r w:rsidR="00853517">
          <w:rPr>
            <w:rFonts w:asciiTheme="minorHAnsi" w:eastAsiaTheme="minorEastAsia" w:hAnsiTheme="minorHAnsi" w:cstheme="minorBidi"/>
            <w:sz w:val="24"/>
            <w:szCs w:val="24"/>
          </w:rPr>
          <w:tab/>
        </w:r>
        <w:r w:rsidR="00853517" w:rsidRPr="009C6CEE">
          <w:rPr>
            <w:rStyle w:val="Link"/>
          </w:rPr>
          <w:t>Der Produktlebenszyklus</w:t>
        </w:r>
        <w:r w:rsidR="00853517">
          <w:rPr>
            <w:webHidden/>
          </w:rPr>
          <w:tab/>
        </w:r>
        <w:r w:rsidR="00853517">
          <w:rPr>
            <w:webHidden/>
          </w:rPr>
          <w:fldChar w:fldCharType="begin"/>
        </w:r>
        <w:r w:rsidR="00853517">
          <w:rPr>
            <w:webHidden/>
          </w:rPr>
          <w:instrText xml:space="preserve"> PAGEREF _Toc448153151 \h </w:instrText>
        </w:r>
        <w:r w:rsidR="00853517">
          <w:rPr>
            <w:webHidden/>
          </w:rPr>
        </w:r>
        <w:r w:rsidR="00853517">
          <w:rPr>
            <w:webHidden/>
          </w:rPr>
          <w:fldChar w:fldCharType="separate"/>
        </w:r>
        <w:r w:rsidR="00853517">
          <w:rPr>
            <w:webHidden/>
          </w:rPr>
          <w:t>7</w:t>
        </w:r>
        <w:r w:rsidR="00853517">
          <w:rPr>
            <w:webHidden/>
          </w:rPr>
          <w:fldChar w:fldCharType="end"/>
        </w:r>
      </w:hyperlink>
    </w:p>
    <w:p w14:paraId="5141189B" w14:textId="77777777" w:rsidR="00853517" w:rsidRDefault="00C24124">
      <w:pPr>
        <w:pStyle w:val="Verzeichnis2"/>
        <w:rPr>
          <w:rFonts w:asciiTheme="minorHAnsi" w:eastAsiaTheme="minorEastAsia" w:hAnsiTheme="minorHAnsi" w:cstheme="minorBidi"/>
          <w:sz w:val="24"/>
          <w:szCs w:val="24"/>
        </w:rPr>
      </w:pPr>
      <w:hyperlink w:anchor="_Toc448153152" w:history="1">
        <w:r w:rsidR="00853517" w:rsidRPr="009C6CEE">
          <w:rPr>
            <w:rStyle w:val="Link"/>
          </w:rPr>
          <w:t>2.4</w:t>
        </w:r>
        <w:r w:rsidR="00853517">
          <w:rPr>
            <w:rFonts w:asciiTheme="minorHAnsi" w:eastAsiaTheme="minorEastAsia" w:hAnsiTheme="minorHAnsi" w:cstheme="minorBidi"/>
            <w:sz w:val="24"/>
            <w:szCs w:val="24"/>
          </w:rPr>
          <w:tab/>
        </w:r>
        <w:r w:rsidR="00853517" w:rsidRPr="009C6CEE">
          <w:rPr>
            <w:rStyle w:val="Link"/>
          </w:rPr>
          <w:t>Produktveröffentlichung durch Standards im Release-Management</w:t>
        </w:r>
        <w:r w:rsidR="00853517">
          <w:rPr>
            <w:webHidden/>
          </w:rPr>
          <w:tab/>
        </w:r>
        <w:r w:rsidR="00853517">
          <w:rPr>
            <w:webHidden/>
          </w:rPr>
          <w:fldChar w:fldCharType="begin"/>
        </w:r>
        <w:r w:rsidR="00853517">
          <w:rPr>
            <w:webHidden/>
          </w:rPr>
          <w:instrText xml:space="preserve"> PAGEREF _Toc448153152 \h </w:instrText>
        </w:r>
        <w:r w:rsidR="00853517">
          <w:rPr>
            <w:webHidden/>
          </w:rPr>
        </w:r>
        <w:r w:rsidR="00853517">
          <w:rPr>
            <w:webHidden/>
          </w:rPr>
          <w:fldChar w:fldCharType="separate"/>
        </w:r>
        <w:r w:rsidR="00853517">
          <w:rPr>
            <w:webHidden/>
          </w:rPr>
          <w:t>10</w:t>
        </w:r>
        <w:r w:rsidR="00853517">
          <w:rPr>
            <w:webHidden/>
          </w:rPr>
          <w:fldChar w:fldCharType="end"/>
        </w:r>
      </w:hyperlink>
    </w:p>
    <w:p w14:paraId="4959E1F4" w14:textId="77777777" w:rsidR="00853517" w:rsidRDefault="00C24124">
      <w:pPr>
        <w:pStyle w:val="Verzeichnis1"/>
        <w:rPr>
          <w:rFonts w:asciiTheme="minorHAnsi" w:eastAsiaTheme="minorEastAsia" w:hAnsiTheme="minorHAnsi" w:cstheme="minorBidi"/>
          <w:b w:val="0"/>
          <w:sz w:val="24"/>
          <w:szCs w:val="24"/>
        </w:rPr>
      </w:pPr>
      <w:hyperlink w:anchor="_Toc448153153" w:history="1">
        <w:r w:rsidR="00853517" w:rsidRPr="009C6CEE">
          <w:rPr>
            <w:rStyle w:val="Link"/>
          </w:rPr>
          <w:t>3</w:t>
        </w:r>
        <w:r w:rsidR="00853517">
          <w:rPr>
            <w:rFonts w:asciiTheme="minorHAnsi" w:eastAsiaTheme="minorEastAsia" w:hAnsiTheme="minorHAnsi" w:cstheme="minorBidi"/>
            <w:b w:val="0"/>
            <w:sz w:val="24"/>
            <w:szCs w:val="24"/>
          </w:rPr>
          <w:tab/>
        </w:r>
        <w:r w:rsidR="00853517" w:rsidRPr="009C6CEE">
          <w:rPr>
            <w:rStyle w:val="Link"/>
          </w:rPr>
          <w:t>Entwurfsaspekte der Release-Management Standardtypen</w:t>
        </w:r>
        <w:r w:rsidR="00853517">
          <w:rPr>
            <w:webHidden/>
          </w:rPr>
          <w:tab/>
        </w:r>
        <w:r w:rsidR="00853517">
          <w:rPr>
            <w:webHidden/>
          </w:rPr>
          <w:fldChar w:fldCharType="begin"/>
        </w:r>
        <w:r w:rsidR="00853517">
          <w:rPr>
            <w:webHidden/>
          </w:rPr>
          <w:instrText xml:space="preserve"> PAGEREF _Toc448153153 \h </w:instrText>
        </w:r>
        <w:r w:rsidR="00853517">
          <w:rPr>
            <w:webHidden/>
          </w:rPr>
        </w:r>
        <w:r w:rsidR="00853517">
          <w:rPr>
            <w:webHidden/>
          </w:rPr>
          <w:fldChar w:fldCharType="separate"/>
        </w:r>
        <w:r w:rsidR="00853517">
          <w:rPr>
            <w:webHidden/>
          </w:rPr>
          <w:t>16</w:t>
        </w:r>
        <w:r w:rsidR="00853517">
          <w:rPr>
            <w:webHidden/>
          </w:rPr>
          <w:fldChar w:fldCharType="end"/>
        </w:r>
      </w:hyperlink>
    </w:p>
    <w:p w14:paraId="183E19D8" w14:textId="77777777" w:rsidR="00853517" w:rsidRDefault="00C24124">
      <w:pPr>
        <w:pStyle w:val="Verzeichnis2"/>
        <w:rPr>
          <w:rFonts w:asciiTheme="minorHAnsi" w:eastAsiaTheme="minorEastAsia" w:hAnsiTheme="minorHAnsi" w:cstheme="minorBidi"/>
          <w:sz w:val="24"/>
          <w:szCs w:val="24"/>
        </w:rPr>
      </w:pPr>
      <w:hyperlink w:anchor="_Toc448153154" w:history="1">
        <w:r w:rsidR="00853517" w:rsidRPr="009C6CEE">
          <w:rPr>
            <w:rStyle w:val="Link"/>
          </w:rPr>
          <w:t>3.1</w:t>
        </w:r>
        <w:r w:rsidR="00853517">
          <w:rPr>
            <w:rFonts w:asciiTheme="minorHAnsi" w:eastAsiaTheme="minorEastAsia" w:hAnsiTheme="minorHAnsi" w:cstheme="minorBidi"/>
            <w:sz w:val="24"/>
            <w:szCs w:val="24"/>
          </w:rPr>
          <w:tab/>
        </w:r>
        <w:r w:rsidR="00853517" w:rsidRPr="009C6CEE">
          <w:rPr>
            <w:rStyle w:val="Link"/>
          </w:rPr>
          <w:t>Risiken innerhalb Produktlebenszyklusphasen</w:t>
        </w:r>
        <w:r w:rsidR="00853517">
          <w:rPr>
            <w:webHidden/>
          </w:rPr>
          <w:tab/>
        </w:r>
        <w:r w:rsidR="00853517">
          <w:rPr>
            <w:webHidden/>
          </w:rPr>
          <w:fldChar w:fldCharType="begin"/>
        </w:r>
        <w:r w:rsidR="00853517">
          <w:rPr>
            <w:webHidden/>
          </w:rPr>
          <w:instrText xml:space="preserve"> PAGEREF _Toc448153154 \h </w:instrText>
        </w:r>
        <w:r w:rsidR="00853517">
          <w:rPr>
            <w:webHidden/>
          </w:rPr>
        </w:r>
        <w:r w:rsidR="00853517">
          <w:rPr>
            <w:webHidden/>
          </w:rPr>
          <w:fldChar w:fldCharType="separate"/>
        </w:r>
        <w:r w:rsidR="00853517">
          <w:rPr>
            <w:webHidden/>
          </w:rPr>
          <w:t>16</w:t>
        </w:r>
        <w:r w:rsidR="00853517">
          <w:rPr>
            <w:webHidden/>
          </w:rPr>
          <w:fldChar w:fldCharType="end"/>
        </w:r>
      </w:hyperlink>
    </w:p>
    <w:p w14:paraId="217242E5" w14:textId="77777777" w:rsidR="00853517" w:rsidRDefault="00C24124">
      <w:pPr>
        <w:pStyle w:val="Verzeichnis3"/>
        <w:rPr>
          <w:rFonts w:asciiTheme="minorHAnsi" w:eastAsiaTheme="minorEastAsia" w:hAnsiTheme="minorHAnsi" w:cstheme="minorBidi"/>
          <w:sz w:val="24"/>
          <w:szCs w:val="24"/>
        </w:rPr>
      </w:pPr>
      <w:hyperlink w:anchor="_Toc448153155" w:history="1">
        <w:r w:rsidR="00853517" w:rsidRPr="009C6CEE">
          <w:rPr>
            <w:rStyle w:val="Link"/>
          </w:rPr>
          <w:t>3.1.1</w:t>
        </w:r>
        <w:r w:rsidR="00853517">
          <w:rPr>
            <w:rFonts w:asciiTheme="minorHAnsi" w:eastAsiaTheme="minorEastAsia" w:hAnsiTheme="minorHAnsi" w:cstheme="minorBidi"/>
            <w:sz w:val="24"/>
            <w:szCs w:val="24"/>
          </w:rPr>
          <w:tab/>
        </w:r>
        <w:r w:rsidR="00853517" w:rsidRPr="009C6CEE">
          <w:rPr>
            <w:rStyle w:val="Link"/>
          </w:rPr>
          <w:t>Entwicklung</w:t>
        </w:r>
        <w:r w:rsidR="00853517">
          <w:rPr>
            <w:webHidden/>
          </w:rPr>
          <w:tab/>
        </w:r>
        <w:r w:rsidR="00853517">
          <w:rPr>
            <w:webHidden/>
          </w:rPr>
          <w:fldChar w:fldCharType="begin"/>
        </w:r>
        <w:r w:rsidR="00853517">
          <w:rPr>
            <w:webHidden/>
          </w:rPr>
          <w:instrText xml:space="preserve"> PAGEREF _Toc448153155 \h </w:instrText>
        </w:r>
        <w:r w:rsidR="00853517">
          <w:rPr>
            <w:webHidden/>
          </w:rPr>
        </w:r>
        <w:r w:rsidR="00853517">
          <w:rPr>
            <w:webHidden/>
          </w:rPr>
          <w:fldChar w:fldCharType="separate"/>
        </w:r>
        <w:r w:rsidR="00853517">
          <w:rPr>
            <w:webHidden/>
          </w:rPr>
          <w:t>16</w:t>
        </w:r>
        <w:r w:rsidR="00853517">
          <w:rPr>
            <w:webHidden/>
          </w:rPr>
          <w:fldChar w:fldCharType="end"/>
        </w:r>
      </w:hyperlink>
    </w:p>
    <w:p w14:paraId="377D1359" w14:textId="77777777" w:rsidR="00853517" w:rsidRDefault="00C24124">
      <w:pPr>
        <w:pStyle w:val="Verzeichnis3"/>
        <w:rPr>
          <w:rFonts w:asciiTheme="minorHAnsi" w:eastAsiaTheme="minorEastAsia" w:hAnsiTheme="minorHAnsi" w:cstheme="minorBidi"/>
          <w:sz w:val="24"/>
          <w:szCs w:val="24"/>
        </w:rPr>
      </w:pPr>
      <w:hyperlink w:anchor="_Toc448153156" w:history="1">
        <w:r w:rsidR="00853517" w:rsidRPr="009C6CEE">
          <w:rPr>
            <w:rStyle w:val="Link"/>
          </w:rPr>
          <w:t>3.1.2</w:t>
        </w:r>
        <w:r w:rsidR="00853517">
          <w:rPr>
            <w:rFonts w:asciiTheme="minorHAnsi" w:eastAsiaTheme="minorEastAsia" w:hAnsiTheme="minorHAnsi" w:cstheme="minorBidi"/>
            <w:sz w:val="24"/>
            <w:szCs w:val="24"/>
          </w:rPr>
          <w:tab/>
        </w:r>
        <w:r w:rsidR="00853517" w:rsidRPr="009C6CEE">
          <w:rPr>
            <w:rStyle w:val="Link"/>
          </w:rPr>
          <w:t>Einführung</w:t>
        </w:r>
        <w:r w:rsidR="00853517">
          <w:rPr>
            <w:webHidden/>
          </w:rPr>
          <w:tab/>
        </w:r>
        <w:r w:rsidR="00853517">
          <w:rPr>
            <w:webHidden/>
          </w:rPr>
          <w:fldChar w:fldCharType="begin"/>
        </w:r>
        <w:r w:rsidR="00853517">
          <w:rPr>
            <w:webHidden/>
          </w:rPr>
          <w:instrText xml:space="preserve"> PAGEREF _Toc448153156 \h </w:instrText>
        </w:r>
        <w:r w:rsidR="00853517">
          <w:rPr>
            <w:webHidden/>
          </w:rPr>
        </w:r>
        <w:r w:rsidR="00853517">
          <w:rPr>
            <w:webHidden/>
          </w:rPr>
          <w:fldChar w:fldCharType="separate"/>
        </w:r>
        <w:r w:rsidR="00853517">
          <w:rPr>
            <w:webHidden/>
          </w:rPr>
          <w:t>18</w:t>
        </w:r>
        <w:r w:rsidR="00853517">
          <w:rPr>
            <w:webHidden/>
          </w:rPr>
          <w:fldChar w:fldCharType="end"/>
        </w:r>
      </w:hyperlink>
    </w:p>
    <w:p w14:paraId="545C1419" w14:textId="77777777" w:rsidR="00853517" w:rsidRDefault="00C24124">
      <w:pPr>
        <w:pStyle w:val="Verzeichnis3"/>
        <w:rPr>
          <w:rFonts w:asciiTheme="minorHAnsi" w:eastAsiaTheme="minorEastAsia" w:hAnsiTheme="minorHAnsi" w:cstheme="minorBidi"/>
          <w:sz w:val="24"/>
          <w:szCs w:val="24"/>
        </w:rPr>
      </w:pPr>
      <w:hyperlink w:anchor="_Toc448153157" w:history="1">
        <w:r w:rsidR="00853517" w:rsidRPr="009C6CEE">
          <w:rPr>
            <w:rStyle w:val="Link"/>
          </w:rPr>
          <w:t>3.1.3</w:t>
        </w:r>
        <w:r w:rsidR="00853517">
          <w:rPr>
            <w:rFonts w:asciiTheme="minorHAnsi" w:eastAsiaTheme="minorEastAsia" w:hAnsiTheme="minorHAnsi" w:cstheme="minorBidi"/>
            <w:sz w:val="24"/>
            <w:szCs w:val="24"/>
          </w:rPr>
          <w:tab/>
        </w:r>
        <w:r w:rsidR="00853517" w:rsidRPr="009C6CEE">
          <w:rPr>
            <w:rStyle w:val="Link"/>
          </w:rPr>
          <w:t>Wachstum</w:t>
        </w:r>
        <w:r w:rsidR="00853517">
          <w:rPr>
            <w:webHidden/>
          </w:rPr>
          <w:tab/>
        </w:r>
        <w:r w:rsidR="00853517">
          <w:rPr>
            <w:webHidden/>
          </w:rPr>
          <w:fldChar w:fldCharType="begin"/>
        </w:r>
        <w:r w:rsidR="00853517">
          <w:rPr>
            <w:webHidden/>
          </w:rPr>
          <w:instrText xml:space="preserve"> PAGEREF _Toc448153157 \h </w:instrText>
        </w:r>
        <w:r w:rsidR="00853517">
          <w:rPr>
            <w:webHidden/>
          </w:rPr>
        </w:r>
        <w:r w:rsidR="00853517">
          <w:rPr>
            <w:webHidden/>
          </w:rPr>
          <w:fldChar w:fldCharType="separate"/>
        </w:r>
        <w:r w:rsidR="00853517">
          <w:rPr>
            <w:webHidden/>
          </w:rPr>
          <w:t>18</w:t>
        </w:r>
        <w:r w:rsidR="00853517">
          <w:rPr>
            <w:webHidden/>
          </w:rPr>
          <w:fldChar w:fldCharType="end"/>
        </w:r>
      </w:hyperlink>
    </w:p>
    <w:p w14:paraId="6B7BE9F5" w14:textId="77777777" w:rsidR="00853517" w:rsidRDefault="00C24124">
      <w:pPr>
        <w:pStyle w:val="Verzeichnis3"/>
        <w:rPr>
          <w:rFonts w:asciiTheme="minorHAnsi" w:eastAsiaTheme="minorEastAsia" w:hAnsiTheme="minorHAnsi" w:cstheme="minorBidi"/>
          <w:sz w:val="24"/>
          <w:szCs w:val="24"/>
        </w:rPr>
      </w:pPr>
      <w:hyperlink w:anchor="_Toc448153158" w:history="1">
        <w:r w:rsidR="00853517" w:rsidRPr="009C6CEE">
          <w:rPr>
            <w:rStyle w:val="Link"/>
          </w:rPr>
          <w:t>3.1.4</w:t>
        </w:r>
        <w:r w:rsidR="00853517">
          <w:rPr>
            <w:rFonts w:asciiTheme="minorHAnsi" w:eastAsiaTheme="minorEastAsia" w:hAnsiTheme="minorHAnsi" w:cstheme="minorBidi"/>
            <w:sz w:val="24"/>
            <w:szCs w:val="24"/>
          </w:rPr>
          <w:tab/>
        </w:r>
        <w:r w:rsidR="00853517" w:rsidRPr="009C6CEE">
          <w:rPr>
            <w:rStyle w:val="Link"/>
          </w:rPr>
          <w:t>Reife</w:t>
        </w:r>
        <w:r w:rsidR="00853517">
          <w:rPr>
            <w:webHidden/>
          </w:rPr>
          <w:tab/>
        </w:r>
        <w:r w:rsidR="00853517">
          <w:rPr>
            <w:webHidden/>
          </w:rPr>
          <w:fldChar w:fldCharType="begin"/>
        </w:r>
        <w:r w:rsidR="00853517">
          <w:rPr>
            <w:webHidden/>
          </w:rPr>
          <w:instrText xml:space="preserve"> PAGEREF _Toc448153158 \h </w:instrText>
        </w:r>
        <w:r w:rsidR="00853517">
          <w:rPr>
            <w:webHidden/>
          </w:rPr>
        </w:r>
        <w:r w:rsidR="00853517">
          <w:rPr>
            <w:webHidden/>
          </w:rPr>
          <w:fldChar w:fldCharType="separate"/>
        </w:r>
        <w:r w:rsidR="00853517">
          <w:rPr>
            <w:webHidden/>
          </w:rPr>
          <w:t>19</w:t>
        </w:r>
        <w:r w:rsidR="00853517">
          <w:rPr>
            <w:webHidden/>
          </w:rPr>
          <w:fldChar w:fldCharType="end"/>
        </w:r>
      </w:hyperlink>
    </w:p>
    <w:p w14:paraId="0BCB44E8" w14:textId="77777777" w:rsidR="00853517" w:rsidRDefault="00C24124">
      <w:pPr>
        <w:pStyle w:val="Verzeichnis3"/>
        <w:rPr>
          <w:rFonts w:asciiTheme="minorHAnsi" w:eastAsiaTheme="minorEastAsia" w:hAnsiTheme="minorHAnsi" w:cstheme="minorBidi"/>
          <w:sz w:val="24"/>
          <w:szCs w:val="24"/>
        </w:rPr>
      </w:pPr>
      <w:hyperlink w:anchor="_Toc448153159" w:history="1">
        <w:r w:rsidR="00853517" w:rsidRPr="009C6CEE">
          <w:rPr>
            <w:rStyle w:val="Link"/>
          </w:rPr>
          <w:t>3.1.5</w:t>
        </w:r>
        <w:r w:rsidR="00853517">
          <w:rPr>
            <w:rFonts w:asciiTheme="minorHAnsi" w:eastAsiaTheme="minorEastAsia" w:hAnsiTheme="minorHAnsi" w:cstheme="minorBidi"/>
            <w:sz w:val="24"/>
            <w:szCs w:val="24"/>
          </w:rPr>
          <w:tab/>
        </w:r>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_Toc448153159 \h </w:instrText>
        </w:r>
        <w:r w:rsidR="00853517">
          <w:rPr>
            <w:webHidden/>
          </w:rPr>
        </w:r>
        <w:r w:rsidR="00853517">
          <w:rPr>
            <w:webHidden/>
          </w:rPr>
          <w:fldChar w:fldCharType="separate"/>
        </w:r>
        <w:r w:rsidR="00853517">
          <w:rPr>
            <w:webHidden/>
          </w:rPr>
          <w:t>19</w:t>
        </w:r>
        <w:r w:rsidR="00853517">
          <w:rPr>
            <w:webHidden/>
          </w:rPr>
          <w:fldChar w:fldCharType="end"/>
        </w:r>
      </w:hyperlink>
    </w:p>
    <w:p w14:paraId="101F3726" w14:textId="77777777" w:rsidR="00853517" w:rsidRDefault="00C24124">
      <w:pPr>
        <w:pStyle w:val="Verzeichnis3"/>
        <w:rPr>
          <w:rFonts w:asciiTheme="minorHAnsi" w:eastAsiaTheme="minorEastAsia" w:hAnsiTheme="minorHAnsi" w:cstheme="minorBidi"/>
          <w:sz w:val="24"/>
          <w:szCs w:val="24"/>
        </w:rPr>
      </w:pPr>
      <w:hyperlink w:anchor="_Toc448153160" w:history="1">
        <w:r w:rsidR="00853517" w:rsidRPr="009C6CEE">
          <w:rPr>
            <w:rStyle w:val="Link"/>
          </w:rPr>
          <w:t>3.1.6</w:t>
        </w:r>
        <w:r w:rsidR="00853517">
          <w:rPr>
            <w:rFonts w:asciiTheme="minorHAnsi" w:eastAsiaTheme="minorEastAsia" w:hAnsiTheme="minorHAnsi" w:cstheme="minorBidi"/>
            <w:sz w:val="24"/>
            <w:szCs w:val="24"/>
          </w:rPr>
          <w:tab/>
        </w:r>
        <w:r w:rsidR="00853517" w:rsidRPr="009C6CEE">
          <w:rPr>
            <w:rStyle w:val="Link"/>
          </w:rPr>
          <w:t>Zusammenfassung der Risiken der einzelnen Phasen</w:t>
        </w:r>
        <w:r w:rsidR="00853517">
          <w:rPr>
            <w:webHidden/>
          </w:rPr>
          <w:tab/>
        </w:r>
        <w:r w:rsidR="00853517">
          <w:rPr>
            <w:webHidden/>
          </w:rPr>
          <w:fldChar w:fldCharType="begin"/>
        </w:r>
        <w:r w:rsidR="00853517">
          <w:rPr>
            <w:webHidden/>
          </w:rPr>
          <w:instrText xml:space="preserve"> PAGEREF _Toc448153160 \h </w:instrText>
        </w:r>
        <w:r w:rsidR="00853517">
          <w:rPr>
            <w:webHidden/>
          </w:rPr>
        </w:r>
        <w:r w:rsidR="00853517">
          <w:rPr>
            <w:webHidden/>
          </w:rPr>
          <w:fldChar w:fldCharType="separate"/>
        </w:r>
        <w:r w:rsidR="00853517">
          <w:rPr>
            <w:webHidden/>
          </w:rPr>
          <w:t>20</w:t>
        </w:r>
        <w:r w:rsidR="00853517">
          <w:rPr>
            <w:webHidden/>
          </w:rPr>
          <w:fldChar w:fldCharType="end"/>
        </w:r>
      </w:hyperlink>
    </w:p>
    <w:p w14:paraId="18936F7E" w14:textId="77777777" w:rsidR="00853517" w:rsidRDefault="00C24124">
      <w:pPr>
        <w:pStyle w:val="Verzeichnis2"/>
        <w:rPr>
          <w:rFonts w:asciiTheme="minorHAnsi" w:eastAsiaTheme="minorEastAsia" w:hAnsiTheme="minorHAnsi" w:cstheme="minorBidi"/>
          <w:sz w:val="24"/>
          <w:szCs w:val="24"/>
        </w:rPr>
      </w:pPr>
      <w:hyperlink w:anchor="_Toc448153161" w:history="1">
        <w:r w:rsidR="00853517" w:rsidRPr="009C6CEE">
          <w:rPr>
            <w:rStyle w:val="Link"/>
          </w:rPr>
          <w:t>3.2</w:t>
        </w:r>
        <w:r w:rsidR="00853517">
          <w:rPr>
            <w:rFonts w:asciiTheme="minorHAnsi" w:eastAsiaTheme="minorEastAsia" w:hAnsiTheme="minorHAnsi" w:cstheme="minorBidi"/>
            <w:sz w:val="24"/>
            <w:szCs w:val="24"/>
          </w:rPr>
          <w:tab/>
        </w:r>
        <w:r w:rsidR="00853517" w:rsidRPr="009C6CEE">
          <w:rPr>
            <w:rStyle w:val="Link"/>
          </w:rPr>
          <w:t>Prozesse des Release-Managements zum Umgang mit Risiken</w:t>
        </w:r>
        <w:r w:rsidR="00853517">
          <w:rPr>
            <w:webHidden/>
          </w:rPr>
          <w:tab/>
        </w:r>
        <w:r w:rsidR="00853517">
          <w:rPr>
            <w:webHidden/>
          </w:rPr>
          <w:fldChar w:fldCharType="begin"/>
        </w:r>
        <w:r w:rsidR="00853517">
          <w:rPr>
            <w:webHidden/>
          </w:rPr>
          <w:instrText xml:space="preserve"> PAGEREF _Toc448153161 \h </w:instrText>
        </w:r>
        <w:r w:rsidR="00853517">
          <w:rPr>
            <w:webHidden/>
          </w:rPr>
        </w:r>
        <w:r w:rsidR="00853517">
          <w:rPr>
            <w:webHidden/>
          </w:rPr>
          <w:fldChar w:fldCharType="separate"/>
        </w:r>
        <w:r w:rsidR="00853517">
          <w:rPr>
            <w:webHidden/>
          </w:rPr>
          <w:t>20</w:t>
        </w:r>
        <w:r w:rsidR="00853517">
          <w:rPr>
            <w:webHidden/>
          </w:rPr>
          <w:fldChar w:fldCharType="end"/>
        </w:r>
      </w:hyperlink>
    </w:p>
    <w:p w14:paraId="6B290193" w14:textId="77777777" w:rsidR="00853517" w:rsidRDefault="00C24124">
      <w:pPr>
        <w:pStyle w:val="Verzeichnis3"/>
        <w:rPr>
          <w:rFonts w:asciiTheme="minorHAnsi" w:eastAsiaTheme="minorEastAsia" w:hAnsiTheme="minorHAnsi" w:cstheme="minorBidi"/>
          <w:sz w:val="24"/>
          <w:szCs w:val="24"/>
        </w:rPr>
      </w:pPr>
      <w:hyperlink w:anchor="_Toc448153162" w:history="1">
        <w:r w:rsidR="00853517" w:rsidRPr="009C6CEE">
          <w:rPr>
            <w:rStyle w:val="Link"/>
          </w:rPr>
          <w:t>3.2.1</w:t>
        </w:r>
        <w:r w:rsidR="00853517">
          <w:rPr>
            <w:rFonts w:asciiTheme="minorHAnsi" w:eastAsiaTheme="minorEastAsia" w:hAnsiTheme="minorHAnsi" w:cstheme="minorBidi"/>
            <w:sz w:val="24"/>
            <w:szCs w:val="24"/>
          </w:rPr>
          <w:tab/>
        </w:r>
        <w:r w:rsidR="00853517" w:rsidRPr="009C6CEE">
          <w:rPr>
            <w:rStyle w:val="Link"/>
          </w:rPr>
          <w:t xml:space="preserve">Transition Planning and Support </w:t>
        </w:r>
        <w:r w:rsidR="00853517">
          <w:rPr>
            <w:webHidden/>
          </w:rPr>
          <w:tab/>
        </w:r>
        <w:r w:rsidR="00853517">
          <w:rPr>
            <w:webHidden/>
          </w:rPr>
          <w:fldChar w:fldCharType="begin"/>
        </w:r>
        <w:r w:rsidR="00853517">
          <w:rPr>
            <w:webHidden/>
          </w:rPr>
          <w:instrText xml:space="preserve"> PAGEREF _Toc448153162 \h </w:instrText>
        </w:r>
        <w:r w:rsidR="00853517">
          <w:rPr>
            <w:webHidden/>
          </w:rPr>
        </w:r>
        <w:r w:rsidR="00853517">
          <w:rPr>
            <w:webHidden/>
          </w:rPr>
          <w:fldChar w:fldCharType="separate"/>
        </w:r>
        <w:r w:rsidR="00853517">
          <w:rPr>
            <w:webHidden/>
          </w:rPr>
          <w:t>20</w:t>
        </w:r>
        <w:r w:rsidR="00853517">
          <w:rPr>
            <w:webHidden/>
          </w:rPr>
          <w:fldChar w:fldCharType="end"/>
        </w:r>
      </w:hyperlink>
    </w:p>
    <w:p w14:paraId="1F2E4536" w14:textId="77777777" w:rsidR="00853517" w:rsidRDefault="00C24124">
      <w:pPr>
        <w:pStyle w:val="Verzeichnis3"/>
        <w:rPr>
          <w:rFonts w:asciiTheme="minorHAnsi" w:eastAsiaTheme="minorEastAsia" w:hAnsiTheme="minorHAnsi" w:cstheme="minorBidi"/>
          <w:sz w:val="24"/>
          <w:szCs w:val="24"/>
        </w:rPr>
      </w:pPr>
      <w:hyperlink w:anchor="_Toc448153163" w:history="1">
        <w:r w:rsidR="00853517" w:rsidRPr="009C6CEE">
          <w:rPr>
            <w:rStyle w:val="Link"/>
          </w:rPr>
          <w:t>3.2.2</w:t>
        </w:r>
        <w:r w:rsidR="00853517">
          <w:rPr>
            <w:rFonts w:asciiTheme="minorHAnsi" w:eastAsiaTheme="minorEastAsia" w:hAnsiTheme="minorHAnsi" w:cstheme="minorBidi"/>
            <w:sz w:val="24"/>
            <w:szCs w:val="24"/>
          </w:rPr>
          <w:tab/>
        </w:r>
        <w:r w:rsidR="00853517" w:rsidRPr="009C6CEE">
          <w:rPr>
            <w:rStyle w:val="Link"/>
          </w:rPr>
          <w:t>Change Management</w:t>
        </w:r>
        <w:r w:rsidR="00853517">
          <w:rPr>
            <w:webHidden/>
          </w:rPr>
          <w:tab/>
        </w:r>
        <w:r w:rsidR="00853517">
          <w:rPr>
            <w:webHidden/>
          </w:rPr>
          <w:fldChar w:fldCharType="begin"/>
        </w:r>
        <w:r w:rsidR="00853517">
          <w:rPr>
            <w:webHidden/>
          </w:rPr>
          <w:instrText xml:space="preserve"> PAGEREF _Toc448153163 \h </w:instrText>
        </w:r>
        <w:r w:rsidR="00853517">
          <w:rPr>
            <w:webHidden/>
          </w:rPr>
        </w:r>
        <w:r w:rsidR="00853517">
          <w:rPr>
            <w:webHidden/>
          </w:rPr>
          <w:fldChar w:fldCharType="separate"/>
        </w:r>
        <w:r w:rsidR="00853517">
          <w:rPr>
            <w:webHidden/>
          </w:rPr>
          <w:t>21</w:t>
        </w:r>
        <w:r w:rsidR="00853517">
          <w:rPr>
            <w:webHidden/>
          </w:rPr>
          <w:fldChar w:fldCharType="end"/>
        </w:r>
      </w:hyperlink>
    </w:p>
    <w:p w14:paraId="4D21F62B" w14:textId="77777777" w:rsidR="00853517" w:rsidRDefault="00C24124">
      <w:pPr>
        <w:pStyle w:val="Verzeichnis3"/>
        <w:rPr>
          <w:rFonts w:asciiTheme="minorHAnsi" w:eastAsiaTheme="minorEastAsia" w:hAnsiTheme="minorHAnsi" w:cstheme="minorBidi"/>
          <w:sz w:val="24"/>
          <w:szCs w:val="24"/>
        </w:rPr>
      </w:pPr>
      <w:hyperlink w:anchor="_Toc448153164" w:history="1">
        <w:r w:rsidR="00853517" w:rsidRPr="009C6CEE">
          <w:rPr>
            <w:rStyle w:val="Link"/>
          </w:rPr>
          <w:t>3.2.3</w:t>
        </w:r>
        <w:r w:rsidR="00853517">
          <w:rPr>
            <w:rFonts w:asciiTheme="minorHAnsi" w:eastAsiaTheme="minorEastAsia" w:hAnsiTheme="minorHAnsi" w:cstheme="minorBidi"/>
            <w:sz w:val="24"/>
            <w:szCs w:val="24"/>
          </w:rPr>
          <w:tab/>
        </w:r>
        <w:r w:rsidR="00853517" w:rsidRPr="009C6CEE">
          <w:rPr>
            <w:rStyle w:val="Link"/>
          </w:rPr>
          <w:t>Service Asset And Configuration</w:t>
        </w:r>
        <w:r w:rsidR="00853517">
          <w:rPr>
            <w:webHidden/>
          </w:rPr>
          <w:tab/>
        </w:r>
        <w:r w:rsidR="00853517">
          <w:rPr>
            <w:webHidden/>
          </w:rPr>
          <w:fldChar w:fldCharType="begin"/>
        </w:r>
        <w:r w:rsidR="00853517">
          <w:rPr>
            <w:webHidden/>
          </w:rPr>
          <w:instrText xml:space="preserve"> PAGEREF _Toc448153164 \h </w:instrText>
        </w:r>
        <w:r w:rsidR="00853517">
          <w:rPr>
            <w:webHidden/>
          </w:rPr>
        </w:r>
        <w:r w:rsidR="00853517">
          <w:rPr>
            <w:webHidden/>
          </w:rPr>
          <w:fldChar w:fldCharType="separate"/>
        </w:r>
        <w:r w:rsidR="00853517">
          <w:rPr>
            <w:webHidden/>
          </w:rPr>
          <w:t>21</w:t>
        </w:r>
        <w:r w:rsidR="00853517">
          <w:rPr>
            <w:webHidden/>
          </w:rPr>
          <w:fldChar w:fldCharType="end"/>
        </w:r>
      </w:hyperlink>
    </w:p>
    <w:p w14:paraId="2AEDA963" w14:textId="77777777" w:rsidR="00853517" w:rsidRDefault="00C24124">
      <w:pPr>
        <w:pStyle w:val="Verzeichnis3"/>
        <w:rPr>
          <w:rFonts w:asciiTheme="minorHAnsi" w:eastAsiaTheme="minorEastAsia" w:hAnsiTheme="minorHAnsi" w:cstheme="minorBidi"/>
          <w:sz w:val="24"/>
          <w:szCs w:val="24"/>
        </w:rPr>
      </w:pPr>
      <w:hyperlink w:anchor="_Toc448153165" w:history="1">
        <w:r w:rsidR="00853517" w:rsidRPr="009C6CEE">
          <w:rPr>
            <w:rStyle w:val="Link"/>
          </w:rPr>
          <w:t>3.2.4</w:t>
        </w:r>
        <w:r w:rsidR="00853517">
          <w:rPr>
            <w:rFonts w:asciiTheme="minorHAnsi" w:eastAsiaTheme="minorEastAsia" w:hAnsiTheme="minorHAnsi" w:cstheme="minorBidi"/>
            <w:sz w:val="24"/>
            <w:szCs w:val="24"/>
          </w:rPr>
          <w:tab/>
        </w:r>
        <w:r w:rsidR="00853517" w:rsidRPr="009C6CEE">
          <w:rPr>
            <w:rStyle w:val="Link"/>
          </w:rPr>
          <w:t>Release And Deployment Management</w:t>
        </w:r>
        <w:r w:rsidR="00853517">
          <w:rPr>
            <w:webHidden/>
          </w:rPr>
          <w:tab/>
        </w:r>
        <w:r w:rsidR="00853517">
          <w:rPr>
            <w:webHidden/>
          </w:rPr>
          <w:fldChar w:fldCharType="begin"/>
        </w:r>
        <w:r w:rsidR="00853517">
          <w:rPr>
            <w:webHidden/>
          </w:rPr>
          <w:instrText xml:space="preserve"> PAGEREF _Toc448153165 \h </w:instrText>
        </w:r>
        <w:r w:rsidR="00853517">
          <w:rPr>
            <w:webHidden/>
          </w:rPr>
        </w:r>
        <w:r w:rsidR="00853517">
          <w:rPr>
            <w:webHidden/>
          </w:rPr>
          <w:fldChar w:fldCharType="separate"/>
        </w:r>
        <w:r w:rsidR="00853517">
          <w:rPr>
            <w:webHidden/>
          </w:rPr>
          <w:t>21</w:t>
        </w:r>
        <w:r w:rsidR="00853517">
          <w:rPr>
            <w:webHidden/>
          </w:rPr>
          <w:fldChar w:fldCharType="end"/>
        </w:r>
      </w:hyperlink>
    </w:p>
    <w:p w14:paraId="7A8805AA" w14:textId="77777777" w:rsidR="00853517" w:rsidRDefault="00C24124">
      <w:pPr>
        <w:pStyle w:val="Verzeichnis3"/>
        <w:rPr>
          <w:rFonts w:asciiTheme="minorHAnsi" w:eastAsiaTheme="minorEastAsia" w:hAnsiTheme="minorHAnsi" w:cstheme="minorBidi"/>
          <w:sz w:val="24"/>
          <w:szCs w:val="24"/>
        </w:rPr>
      </w:pPr>
      <w:hyperlink w:anchor="_Toc448153166" w:history="1">
        <w:r w:rsidR="00853517" w:rsidRPr="009C6CEE">
          <w:rPr>
            <w:rStyle w:val="Link"/>
          </w:rPr>
          <w:t>3.2.5</w:t>
        </w:r>
        <w:r w:rsidR="00853517">
          <w:rPr>
            <w:rFonts w:asciiTheme="minorHAnsi" w:eastAsiaTheme="minorEastAsia" w:hAnsiTheme="minorHAnsi" w:cstheme="minorBidi"/>
            <w:sz w:val="24"/>
            <w:szCs w:val="24"/>
          </w:rPr>
          <w:tab/>
        </w:r>
        <w:r w:rsidR="00853517" w:rsidRPr="009C6CEE">
          <w:rPr>
            <w:rStyle w:val="Link"/>
          </w:rPr>
          <w:t>Service Validation And Testing</w:t>
        </w:r>
        <w:r w:rsidR="00853517">
          <w:rPr>
            <w:webHidden/>
          </w:rPr>
          <w:tab/>
        </w:r>
        <w:r w:rsidR="00853517">
          <w:rPr>
            <w:webHidden/>
          </w:rPr>
          <w:fldChar w:fldCharType="begin"/>
        </w:r>
        <w:r w:rsidR="00853517">
          <w:rPr>
            <w:webHidden/>
          </w:rPr>
          <w:instrText xml:space="preserve"> PAGEREF _Toc448153166 \h </w:instrText>
        </w:r>
        <w:r w:rsidR="00853517">
          <w:rPr>
            <w:webHidden/>
          </w:rPr>
        </w:r>
        <w:r w:rsidR="00853517">
          <w:rPr>
            <w:webHidden/>
          </w:rPr>
          <w:fldChar w:fldCharType="separate"/>
        </w:r>
        <w:r w:rsidR="00853517">
          <w:rPr>
            <w:webHidden/>
          </w:rPr>
          <w:t>21</w:t>
        </w:r>
        <w:r w:rsidR="00853517">
          <w:rPr>
            <w:webHidden/>
          </w:rPr>
          <w:fldChar w:fldCharType="end"/>
        </w:r>
      </w:hyperlink>
    </w:p>
    <w:p w14:paraId="4F4E4EA2" w14:textId="77777777" w:rsidR="00853517" w:rsidRDefault="00C24124">
      <w:pPr>
        <w:pStyle w:val="Verzeichnis3"/>
        <w:rPr>
          <w:rFonts w:asciiTheme="minorHAnsi" w:eastAsiaTheme="minorEastAsia" w:hAnsiTheme="minorHAnsi" w:cstheme="minorBidi"/>
          <w:sz w:val="24"/>
          <w:szCs w:val="24"/>
        </w:rPr>
      </w:pPr>
      <w:hyperlink w:anchor="_Toc448153167" w:history="1">
        <w:r w:rsidR="00853517" w:rsidRPr="009C6CEE">
          <w:rPr>
            <w:rStyle w:val="Link"/>
          </w:rPr>
          <w:t>3.2.6</w:t>
        </w:r>
        <w:r w:rsidR="00853517">
          <w:rPr>
            <w:rFonts w:asciiTheme="minorHAnsi" w:eastAsiaTheme="minorEastAsia" w:hAnsiTheme="minorHAnsi" w:cstheme="minorBidi"/>
            <w:sz w:val="24"/>
            <w:szCs w:val="24"/>
          </w:rPr>
          <w:tab/>
        </w:r>
        <w:r w:rsidR="00853517" w:rsidRPr="009C6CEE">
          <w:rPr>
            <w:rStyle w:val="Link"/>
          </w:rPr>
          <w:t>Change Evolution</w:t>
        </w:r>
        <w:r w:rsidR="00853517">
          <w:rPr>
            <w:webHidden/>
          </w:rPr>
          <w:tab/>
        </w:r>
        <w:r w:rsidR="00853517">
          <w:rPr>
            <w:webHidden/>
          </w:rPr>
          <w:fldChar w:fldCharType="begin"/>
        </w:r>
        <w:r w:rsidR="00853517">
          <w:rPr>
            <w:webHidden/>
          </w:rPr>
          <w:instrText xml:space="preserve"> PAGEREF _Toc448153167 \h </w:instrText>
        </w:r>
        <w:r w:rsidR="00853517">
          <w:rPr>
            <w:webHidden/>
          </w:rPr>
        </w:r>
        <w:r w:rsidR="00853517">
          <w:rPr>
            <w:webHidden/>
          </w:rPr>
          <w:fldChar w:fldCharType="separate"/>
        </w:r>
        <w:r w:rsidR="00853517">
          <w:rPr>
            <w:webHidden/>
          </w:rPr>
          <w:t>21</w:t>
        </w:r>
        <w:r w:rsidR="00853517">
          <w:rPr>
            <w:webHidden/>
          </w:rPr>
          <w:fldChar w:fldCharType="end"/>
        </w:r>
      </w:hyperlink>
    </w:p>
    <w:p w14:paraId="0A2B6AB5" w14:textId="77777777" w:rsidR="00853517" w:rsidRDefault="00C24124">
      <w:pPr>
        <w:pStyle w:val="Verzeichnis3"/>
        <w:rPr>
          <w:rFonts w:asciiTheme="minorHAnsi" w:eastAsiaTheme="minorEastAsia" w:hAnsiTheme="minorHAnsi" w:cstheme="minorBidi"/>
          <w:sz w:val="24"/>
          <w:szCs w:val="24"/>
        </w:rPr>
      </w:pPr>
      <w:hyperlink w:anchor="_Toc448153168" w:history="1">
        <w:r w:rsidR="00853517" w:rsidRPr="009C6CEE">
          <w:rPr>
            <w:rStyle w:val="Link"/>
          </w:rPr>
          <w:t>3.2.7</w:t>
        </w:r>
        <w:r w:rsidR="00853517">
          <w:rPr>
            <w:rFonts w:asciiTheme="minorHAnsi" w:eastAsiaTheme="minorEastAsia" w:hAnsiTheme="minorHAnsi" w:cstheme="minorBidi"/>
            <w:sz w:val="24"/>
            <w:szCs w:val="24"/>
          </w:rPr>
          <w:tab/>
        </w:r>
        <w:r w:rsidR="00853517" w:rsidRPr="009C6CEE">
          <w:rPr>
            <w:rStyle w:val="Link"/>
          </w:rPr>
          <w:t>Knowledge Management</w:t>
        </w:r>
        <w:r w:rsidR="00853517">
          <w:rPr>
            <w:webHidden/>
          </w:rPr>
          <w:tab/>
        </w:r>
        <w:r w:rsidR="00853517">
          <w:rPr>
            <w:webHidden/>
          </w:rPr>
          <w:fldChar w:fldCharType="begin"/>
        </w:r>
        <w:r w:rsidR="00853517">
          <w:rPr>
            <w:webHidden/>
          </w:rPr>
          <w:instrText xml:space="preserve"> PAGEREF _Toc448153168 \h </w:instrText>
        </w:r>
        <w:r w:rsidR="00853517">
          <w:rPr>
            <w:webHidden/>
          </w:rPr>
        </w:r>
        <w:r w:rsidR="00853517">
          <w:rPr>
            <w:webHidden/>
          </w:rPr>
          <w:fldChar w:fldCharType="separate"/>
        </w:r>
        <w:r w:rsidR="00853517">
          <w:rPr>
            <w:webHidden/>
          </w:rPr>
          <w:t>21</w:t>
        </w:r>
        <w:r w:rsidR="00853517">
          <w:rPr>
            <w:webHidden/>
          </w:rPr>
          <w:fldChar w:fldCharType="end"/>
        </w:r>
      </w:hyperlink>
    </w:p>
    <w:p w14:paraId="3EA94AAA" w14:textId="77777777" w:rsidR="00853517" w:rsidRDefault="00C24124">
      <w:pPr>
        <w:pStyle w:val="Verzeichnis1"/>
        <w:rPr>
          <w:rFonts w:asciiTheme="minorHAnsi" w:eastAsiaTheme="minorEastAsia" w:hAnsiTheme="minorHAnsi" w:cstheme="minorBidi"/>
          <w:b w:val="0"/>
          <w:sz w:val="24"/>
          <w:szCs w:val="24"/>
        </w:rPr>
      </w:pPr>
      <w:hyperlink w:anchor="_Toc448153169" w:history="1">
        <w:r w:rsidR="00853517" w:rsidRPr="009C6CEE">
          <w:rPr>
            <w:rStyle w:val="Link"/>
          </w:rPr>
          <w:t>4</w:t>
        </w:r>
        <w:r w:rsidR="00853517">
          <w:rPr>
            <w:rFonts w:asciiTheme="minorHAnsi" w:eastAsiaTheme="minorEastAsia" w:hAnsiTheme="minorHAnsi" w:cstheme="minorBidi"/>
            <w:b w:val="0"/>
            <w:sz w:val="24"/>
            <w:szCs w:val="24"/>
          </w:rPr>
          <w:tab/>
        </w:r>
        <w:r w:rsidR="00853517" w:rsidRPr="009C6CEE">
          <w:rPr>
            <w:rStyle w:val="Link"/>
          </w:rPr>
          <w:t>Konstruktion der Standardtypen zum Umgang mit den Risiken der Produktlebenszyklusphasen</w:t>
        </w:r>
        <w:r w:rsidR="00853517">
          <w:rPr>
            <w:webHidden/>
          </w:rPr>
          <w:tab/>
        </w:r>
        <w:r w:rsidR="00853517">
          <w:rPr>
            <w:webHidden/>
          </w:rPr>
          <w:fldChar w:fldCharType="begin"/>
        </w:r>
        <w:r w:rsidR="00853517">
          <w:rPr>
            <w:webHidden/>
          </w:rPr>
          <w:instrText xml:space="preserve"> PAGEREF _Toc448153169 \h </w:instrText>
        </w:r>
        <w:r w:rsidR="00853517">
          <w:rPr>
            <w:webHidden/>
          </w:rPr>
        </w:r>
        <w:r w:rsidR="00853517">
          <w:rPr>
            <w:webHidden/>
          </w:rPr>
          <w:fldChar w:fldCharType="separate"/>
        </w:r>
        <w:r w:rsidR="00853517">
          <w:rPr>
            <w:webHidden/>
          </w:rPr>
          <w:t>22</w:t>
        </w:r>
        <w:r w:rsidR="00853517">
          <w:rPr>
            <w:webHidden/>
          </w:rPr>
          <w:fldChar w:fldCharType="end"/>
        </w:r>
      </w:hyperlink>
    </w:p>
    <w:p w14:paraId="7FA23C56" w14:textId="77777777" w:rsidR="00853517" w:rsidRDefault="00C24124">
      <w:pPr>
        <w:pStyle w:val="Verzeichnis2"/>
        <w:rPr>
          <w:rFonts w:asciiTheme="minorHAnsi" w:eastAsiaTheme="minorEastAsia" w:hAnsiTheme="minorHAnsi" w:cstheme="minorBidi"/>
          <w:sz w:val="24"/>
          <w:szCs w:val="24"/>
        </w:rPr>
      </w:pPr>
      <w:hyperlink w:anchor="_Toc448153170" w:history="1">
        <w:r w:rsidR="00853517" w:rsidRPr="009C6CEE">
          <w:rPr>
            <w:rStyle w:val="Link"/>
          </w:rPr>
          <w:t>4.1</w:t>
        </w:r>
        <w:r w:rsidR="00853517">
          <w:rPr>
            <w:rFonts w:asciiTheme="minorHAnsi" w:eastAsiaTheme="minorEastAsia" w:hAnsiTheme="minorHAnsi" w:cstheme="minorBidi"/>
            <w:sz w:val="24"/>
            <w:szCs w:val="24"/>
          </w:rPr>
          <w:tab/>
        </w:r>
        <w:r w:rsidR="00853517" w:rsidRPr="009C6CEE">
          <w:rPr>
            <w:rStyle w:val="Link"/>
          </w:rPr>
          <w:t>DevOps</w:t>
        </w:r>
        <w:r w:rsidR="00853517">
          <w:rPr>
            <w:webHidden/>
          </w:rPr>
          <w:tab/>
        </w:r>
        <w:r w:rsidR="00853517">
          <w:rPr>
            <w:webHidden/>
          </w:rPr>
          <w:fldChar w:fldCharType="begin"/>
        </w:r>
        <w:r w:rsidR="00853517">
          <w:rPr>
            <w:webHidden/>
          </w:rPr>
          <w:instrText xml:space="preserve"> PAGEREF _Toc448153170 \h </w:instrText>
        </w:r>
        <w:r w:rsidR="00853517">
          <w:rPr>
            <w:webHidden/>
          </w:rPr>
        </w:r>
        <w:r w:rsidR="00853517">
          <w:rPr>
            <w:webHidden/>
          </w:rPr>
          <w:fldChar w:fldCharType="separate"/>
        </w:r>
        <w:r w:rsidR="00853517">
          <w:rPr>
            <w:webHidden/>
          </w:rPr>
          <w:t>22</w:t>
        </w:r>
        <w:r w:rsidR="00853517">
          <w:rPr>
            <w:webHidden/>
          </w:rPr>
          <w:fldChar w:fldCharType="end"/>
        </w:r>
      </w:hyperlink>
    </w:p>
    <w:p w14:paraId="0DF1B49E" w14:textId="77777777" w:rsidR="00853517" w:rsidRDefault="00C24124">
      <w:pPr>
        <w:pStyle w:val="Verzeichnis2"/>
        <w:rPr>
          <w:rFonts w:asciiTheme="minorHAnsi" w:eastAsiaTheme="minorEastAsia" w:hAnsiTheme="minorHAnsi" w:cstheme="minorBidi"/>
          <w:sz w:val="24"/>
          <w:szCs w:val="24"/>
        </w:rPr>
      </w:pPr>
      <w:hyperlink w:anchor="_Toc448153171" w:history="1">
        <w:r w:rsidR="00853517" w:rsidRPr="009C6CEE">
          <w:rPr>
            <w:rStyle w:val="Link"/>
          </w:rPr>
          <w:t>(Entwicklung + Einführung)</w:t>
        </w:r>
        <w:r w:rsidR="00853517">
          <w:rPr>
            <w:webHidden/>
          </w:rPr>
          <w:tab/>
        </w:r>
        <w:r w:rsidR="00853517">
          <w:rPr>
            <w:webHidden/>
          </w:rPr>
          <w:fldChar w:fldCharType="begin"/>
        </w:r>
        <w:r w:rsidR="00853517">
          <w:rPr>
            <w:webHidden/>
          </w:rPr>
          <w:instrText xml:space="preserve"> PAGEREF _Toc448153171 \h </w:instrText>
        </w:r>
        <w:r w:rsidR="00853517">
          <w:rPr>
            <w:webHidden/>
          </w:rPr>
        </w:r>
        <w:r w:rsidR="00853517">
          <w:rPr>
            <w:webHidden/>
          </w:rPr>
          <w:fldChar w:fldCharType="separate"/>
        </w:r>
        <w:r w:rsidR="00853517">
          <w:rPr>
            <w:webHidden/>
          </w:rPr>
          <w:t>22</w:t>
        </w:r>
        <w:r w:rsidR="00853517">
          <w:rPr>
            <w:webHidden/>
          </w:rPr>
          <w:fldChar w:fldCharType="end"/>
        </w:r>
      </w:hyperlink>
    </w:p>
    <w:p w14:paraId="0CAAD12A" w14:textId="77777777" w:rsidR="00853517" w:rsidRDefault="00C24124">
      <w:pPr>
        <w:pStyle w:val="Verzeichnis2"/>
        <w:rPr>
          <w:rFonts w:asciiTheme="minorHAnsi" w:eastAsiaTheme="minorEastAsia" w:hAnsiTheme="minorHAnsi" w:cstheme="minorBidi"/>
          <w:sz w:val="24"/>
          <w:szCs w:val="24"/>
        </w:rPr>
      </w:pPr>
      <w:hyperlink w:anchor="_Toc448153172" w:history="1">
        <w:r w:rsidR="00853517" w:rsidRPr="009C6CEE">
          <w:rPr>
            <w:rStyle w:val="Link"/>
          </w:rPr>
          <w:t>4.2</w:t>
        </w:r>
        <w:r w:rsidR="00853517">
          <w:rPr>
            <w:rFonts w:asciiTheme="minorHAnsi" w:eastAsiaTheme="minorEastAsia" w:hAnsiTheme="minorHAnsi" w:cstheme="minorBidi"/>
            <w:sz w:val="24"/>
            <w:szCs w:val="24"/>
          </w:rPr>
          <w:tab/>
        </w:r>
        <w:r w:rsidR="00853517" w:rsidRPr="009C6CEE">
          <w:rPr>
            <w:rStyle w:val="Link"/>
          </w:rPr>
          <w:t>Formell</w:t>
        </w:r>
        <w:r w:rsidR="00853517">
          <w:rPr>
            <w:webHidden/>
          </w:rPr>
          <w:tab/>
        </w:r>
        <w:r w:rsidR="00853517">
          <w:rPr>
            <w:webHidden/>
          </w:rPr>
          <w:fldChar w:fldCharType="begin"/>
        </w:r>
        <w:r w:rsidR="00853517">
          <w:rPr>
            <w:webHidden/>
          </w:rPr>
          <w:instrText xml:space="preserve"> PAGEREF _Toc448153172 \h </w:instrText>
        </w:r>
        <w:r w:rsidR="00853517">
          <w:rPr>
            <w:webHidden/>
          </w:rPr>
        </w:r>
        <w:r w:rsidR="00853517">
          <w:rPr>
            <w:webHidden/>
          </w:rPr>
          <w:fldChar w:fldCharType="separate"/>
        </w:r>
        <w:r w:rsidR="00853517">
          <w:rPr>
            <w:webHidden/>
          </w:rPr>
          <w:t>22</w:t>
        </w:r>
        <w:r w:rsidR="00853517">
          <w:rPr>
            <w:webHidden/>
          </w:rPr>
          <w:fldChar w:fldCharType="end"/>
        </w:r>
      </w:hyperlink>
    </w:p>
    <w:p w14:paraId="102701D7" w14:textId="77777777" w:rsidR="00853517" w:rsidRDefault="00C24124">
      <w:pPr>
        <w:pStyle w:val="Verzeichnis2"/>
        <w:rPr>
          <w:rFonts w:asciiTheme="minorHAnsi" w:eastAsiaTheme="minorEastAsia" w:hAnsiTheme="minorHAnsi" w:cstheme="minorBidi"/>
          <w:sz w:val="24"/>
          <w:szCs w:val="24"/>
        </w:rPr>
      </w:pPr>
      <w:hyperlink w:anchor="_Toc448153173" w:history="1">
        <w:r w:rsidR="00853517" w:rsidRPr="009C6CEE">
          <w:rPr>
            <w:rStyle w:val="Link"/>
          </w:rPr>
          <w:t>(Reife + Wachstum)</w:t>
        </w:r>
        <w:r w:rsidR="00853517">
          <w:rPr>
            <w:webHidden/>
          </w:rPr>
          <w:tab/>
        </w:r>
        <w:r w:rsidR="00853517">
          <w:rPr>
            <w:webHidden/>
          </w:rPr>
          <w:fldChar w:fldCharType="begin"/>
        </w:r>
        <w:r w:rsidR="00853517">
          <w:rPr>
            <w:webHidden/>
          </w:rPr>
          <w:instrText xml:space="preserve"> PAGEREF _Toc448153173 \h </w:instrText>
        </w:r>
        <w:r w:rsidR="00853517">
          <w:rPr>
            <w:webHidden/>
          </w:rPr>
        </w:r>
        <w:r w:rsidR="00853517">
          <w:rPr>
            <w:webHidden/>
          </w:rPr>
          <w:fldChar w:fldCharType="separate"/>
        </w:r>
        <w:r w:rsidR="00853517">
          <w:rPr>
            <w:webHidden/>
          </w:rPr>
          <w:t>22</w:t>
        </w:r>
        <w:r w:rsidR="00853517">
          <w:rPr>
            <w:webHidden/>
          </w:rPr>
          <w:fldChar w:fldCharType="end"/>
        </w:r>
      </w:hyperlink>
    </w:p>
    <w:p w14:paraId="437E56D1" w14:textId="77777777" w:rsidR="00853517" w:rsidRDefault="00C24124">
      <w:pPr>
        <w:pStyle w:val="Verzeichnis2"/>
        <w:rPr>
          <w:rFonts w:asciiTheme="minorHAnsi" w:eastAsiaTheme="minorEastAsia" w:hAnsiTheme="minorHAnsi" w:cstheme="minorBidi"/>
          <w:sz w:val="24"/>
          <w:szCs w:val="24"/>
        </w:rPr>
      </w:pPr>
      <w:hyperlink w:anchor="_Toc448153174" w:history="1">
        <w:r w:rsidR="00853517" w:rsidRPr="009C6CEE">
          <w:rPr>
            <w:rStyle w:val="Link"/>
          </w:rPr>
          <w:t>4.3</w:t>
        </w:r>
        <w:r w:rsidR="00853517">
          <w:rPr>
            <w:rFonts w:asciiTheme="minorHAnsi" w:eastAsiaTheme="minorEastAsia" w:hAnsiTheme="minorHAnsi" w:cstheme="minorBidi"/>
            <w:sz w:val="24"/>
            <w:szCs w:val="24"/>
          </w:rPr>
          <w:tab/>
        </w:r>
        <w:r w:rsidR="00853517" w:rsidRPr="009C6CEE">
          <w:rPr>
            <w:rStyle w:val="Link"/>
          </w:rPr>
          <w:t>Schlank</w:t>
        </w:r>
        <w:r w:rsidR="00853517">
          <w:rPr>
            <w:webHidden/>
          </w:rPr>
          <w:tab/>
        </w:r>
        <w:r w:rsidR="00853517">
          <w:rPr>
            <w:webHidden/>
          </w:rPr>
          <w:fldChar w:fldCharType="begin"/>
        </w:r>
        <w:r w:rsidR="00853517">
          <w:rPr>
            <w:webHidden/>
          </w:rPr>
          <w:instrText xml:space="preserve"> PAGEREF _Toc448153174 \h </w:instrText>
        </w:r>
        <w:r w:rsidR="00853517">
          <w:rPr>
            <w:webHidden/>
          </w:rPr>
        </w:r>
        <w:r w:rsidR="00853517">
          <w:rPr>
            <w:webHidden/>
          </w:rPr>
          <w:fldChar w:fldCharType="separate"/>
        </w:r>
        <w:r w:rsidR="00853517">
          <w:rPr>
            <w:webHidden/>
          </w:rPr>
          <w:t>22</w:t>
        </w:r>
        <w:r w:rsidR="00853517">
          <w:rPr>
            <w:webHidden/>
          </w:rPr>
          <w:fldChar w:fldCharType="end"/>
        </w:r>
      </w:hyperlink>
    </w:p>
    <w:p w14:paraId="60D5753A" w14:textId="77777777" w:rsidR="00853517" w:rsidRDefault="00C24124">
      <w:pPr>
        <w:pStyle w:val="Verzeichnis2"/>
        <w:rPr>
          <w:rFonts w:asciiTheme="minorHAnsi" w:eastAsiaTheme="minorEastAsia" w:hAnsiTheme="minorHAnsi" w:cstheme="minorBidi"/>
          <w:sz w:val="24"/>
          <w:szCs w:val="24"/>
        </w:rPr>
      </w:pPr>
      <w:hyperlink w:anchor="_Toc448153175" w:history="1">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_Toc448153175 \h </w:instrText>
        </w:r>
        <w:r w:rsidR="00853517">
          <w:rPr>
            <w:webHidden/>
          </w:rPr>
        </w:r>
        <w:r w:rsidR="00853517">
          <w:rPr>
            <w:webHidden/>
          </w:rPr>
          <w:fldChar w:fldCharType="separate"/>
        </w:r>
        <w:r w:rsidR="00853517">
          <w:rPr>
            <w:webHidden/>
          </w:rPr>
          <w:t>22</w:t>
        </w:r>
        <w:r w:rsidR="00853517">
          <w:rPr>
            <w:webHidden/>
          </w:rPr>
          <w:fldChar w:fldCharType="end"/>
        </w:r>
      </w:hyperlink>
    </w:p>
    <w:p w14:paraId="77FF2216" w14:textId="77777777" w:rsidR="00853517" w:rsidRDefault="00C24124">
      <w:pPr>
        <w:pStyle w:val="Verzeichnis2"/>
        <w:rPr>
          <w:rFonts w:asciiTheme="minorHAnsi" w:eastAsiaTheme="minorEastAsia" w:hAnsiTheme="minorHAnsi" w:cstheme="minorBidi"/>
          <w:sz w:val="24"/>
          <w:szCs w:val="24"/>
        </w:rPr>
      </w:pPr>
      <w:hyperlink w:anchor="_Toc448153176" w:history="1">
        <w:r w:rsidR="00853517" w:rsidRPr="009C6CEE">
          <w:rPr>
            <w:rStyle w:val="Link"/>
          </w:rPr>
          <w:t>4.4</w:t>
        </w:r>
        <w:r w:rsidR="00853517">
          <w:rPr>
            <w:rFonts w:asciiTheme="minorHAnsi" w:eastAsiaTheme="minorEastAsia" w:hAnsiTheme="minorHAnsi" w:cstheme="minorBidi"/>
            <w:sz w:val="24"/>
            <w:szCs w:val="24"/>
          </w:rPr>
          <w:tab/>
        </w:r>
        <w:r w:rsidR="00853517" w:rsidRPr="009C6CEE">
          <w:rPr>
            <w:rStyle w:val="Link"/>
          </w:rPr>
          <w:t>Zusammenfassung der Standardtypen</w:t>
        </w:r>
        <w:r w:rsidR="00853517">
          <w:rPr>
            <w:webHidden/>
          </w:rPr>
          <w:tab/>
        </w:r>
        <w:r w:rsidR="00853517">
          <w:rPr>
            <w:webHidden/>
          </w:rPr>
          <w:fldChar w:fldCharType="begin"/>
        </w:r>
        <w:r w:rsidR="00853517">
          <w:rPr>
            <w:webHidden/>
          </w:rPr>
          <w:instrText xml:space="preserve"> PAGEREF _Toc448153176 \h </w:instrText>
        </w:r>
        <w:r w:rsidR="00853517">
          <w:rPr>
            <w:webHidden/>
          </w:rPr>
        </w:r>
        <w:r w:rsidR="00853517">
          <w:rPr>
            <w:webHidden/>
          </w:rPr>
          <w:fldChar w:fldCharType="separate"/>
        </w:r>
        <w:r w:rsidR="00853517">
          <w:rPr>
            <w:webHidden/>
          </w:rPr>
          <w:t>22</w:t>
        </w:r>
        <w:r w:rsidR="00853517">
          <w:rPr>
            <w:webHidden/>
          </w:rPr>
          <w:fldChar w:fldCharType="end"/>
        </w:r>
      </w:hyperlink>
    </w:p>
    <w:p w14:paraId="11CB950A" w14:textId="77777777" w:rsidR="00853517" w:rsidRDefault="00C24124">
      <w:pPr>
        <w:pStyle w:val="Verzeichnis1"/>
        <w:rPr>
          <w:rFonts w:asciiTheme="minorHAnsi" w:eastAsiaTheme="minorEastAsia" w:hAnsiTheme="minorHAnsi" w:cstheme="minorBidi"/>
          <w:b w:val="0"/>
          <w:sz w:val="24"/>
          <w:szCs w:val="24"/>
        </w:rPr>
      </w:pPr>
      <w:hyperlink w:anchor="_Toc448153177" w:history="1">
        <w:r w:rsidR="00853517" w:rsidRPr="009C6CEE">
          <w:rPr>
            <w:rStyle w:val="Link"/>
          </w:rPr>
          <w:t>5</w:t>
        </w:r>
        <w:r w:rsidR="00853517">
          <w:rPr>
            <w:rFonts w:asciiTheme="minorHAnsi" w:eastAsiaTheme="minorEastAsia" w:hAnsiTheme="minorHAnsi" w:cstheme="minorBidi"/>
            <w:b w:val="0"/>
            <w:sz w:val="24"/>
            <w:szCs w:val="24"/>
          </w:rPr>
          <w:tab/>
        </w:r>
        <w:r w:rsidR="00853517" w:rsidRPr="009C6CEE">
          <w:rPr>
            <w:rStyle w:val="Link"/>
          </w:rPr>
          <w:t>Kritische Würdigung der Standardtypen</w:t>
        </w:r>
        <w:r w:rsidR="00853517">
          <w:rPr>
            <w:webHidden/>
          </w:rPr>
          <w:tab/>
        </w:r>
        <w:r w:rsidR="00853517">
          <w:rPr>
            <w:webHidden/>
          </w:rPr>
          <w:fldChar w:fldCharType="begin"/>
        </w:r>
        <w:r w:rsidR="00853517">
          <w:rPr>
            <w:webHidden/>
          </w:rPr>
          <w:instrText xml:space="preserve"> PAGEREF _Toc448153177 \h </w:instrText>
        </w:r>
        <w:r w:rsidR="00853517">
          <w:rPr>
            <w:webHidden/>
          </w:rPr>
        </w:r>
        <w:r w:rsidR="00853517">
          <w:rPr>
            <w:webHidden/>
          </w:rPr>
          <w:fldChar w:fldCharType="separate"/>
        </w:r>
        <w:r w:rsidR="00853517">
          <w:rPr>
            <w:webHidden/>
          </w:rPr>
          <w:t>23</w:t>
        </w:r>
        <w:r w:rsidR="00853517">
          <w:rPr>
            <w:webHidden/>
          </w:rPr>
          <w:fldChar w:fldCharType="end"/>
        </w:r>
      </w:hyperlink>
    </w:p>
    <w:p w14:paraId="4A215B9A" w14:textId="77777777" w:rsidR="00853517" w:rsidRDefault="00C24124">
      <w:pPr>
        <w:pStyle w:val="Verzeichnis1"/>
        <w:rPr>
          <w:rFonts w:asciiTheme="minorHAnsi" w:eastAsiaTheme="minorEastAsia" w:hAnsiTheme="minorHAnsi" w:cstheme="minorBidi"/>
          <w:b w:val="0"/>
          <w:sz w:val="24"/>
          <w:szCs w:val="24"/>
        </w:rPr>
      </w:pPr>
      <w:hyperlink w:anchor="_Toc448153178" w:history="1">
        <w:r w:rsidR="00853517" w:rsidRPr="009C6CEE">
          <w:rPr>
            <w:rStyle w:val="Link"/>
          </w:rPr>
          <w:t>6</w:t>
        </w:r>
        <w:r w:rsidR="00853517">
          <w:rPr>
            <w:rFonts w:asciiTheme="minorHAnsi" w:eastAsiaTheme="minorEastAsia" w:hAnsiTheme="minorHAnsi" w:cstheme="minorBidi"/>
            <w:b w:val="0"/>
            <w:sz w:val="24"/>
            <w:szCs w:val="24"/>
          </w:rPr>
          <w:tab/>
        </w:r>
        <w:r w:rsidR="00853517" w:rsidRPr="009C6CEE">
          <w:rPr>
            <w:rStyle w:val="Link"/>
          </w:rPr>
          <w:t>Demonstration der Standardtypen am Fallbeispiel DPDHL Group</w:t>
        </w:r>
        <w:r w:rsidR="00853517">
          <w:rPr>
            <w:webHidden/>
          </w:rPr>
          <w:tab/>
        </w:r>
        <w:r w:rsidR="00853517">
          <w:rPr>
            <w:webHidden/>
          </w:rPr>
          <w:fldChar w:fldCharType="begin"/>
        </w:r>
        <w:r w:rsidR="00853517">
          <w:rPr>
            <w:webHidden/>
          </w:rPr>
          <w:instrText xml:space="preserve"> PAGEREF _Toc448153178 \h </w:instrText>
        </w:r>
        <w:r w:rsidR="00853517">
          <w:rPr>
            <w:webHidden/>
          </w:rPr>
        </w:r>
        <w:r w:rsidR="00853517">
          <w:rPr>
            <w:webHidden/>
          </w:rPr>
          <w:fldChar w:fldCharType="separate"/>
        </w:r>
        <w:r w:rsidR="00853517">
          <w:rPr>
            <w:webHidden/>
          </w:rPr>
          <w:t>24</w:t>
        </w:r>
        <w:r w:rsidR="00853517">
          <w:rPr>
            <w:webHidden/>
          </w:rPr>
          <w:fldChar w:fldCharType="end"/>
        </w:r>
      </w:hyperlink>
    </w:p>
    <w:p w14:paraId="7CC3FAE8" w14:textId="77777777" w:rsidR="00853517" w:rsidRDefault="00C24124">
      <w:pPr>
        <w:pStyle w:val="Verzeichnis1"/>
        <w:rPr>
          <w:rFonts w:asciiTheme="minorHAnsi" w:eastAsiaTheme="minorEastAsia" w:hAnsiTheme="minorHAnsi" w:cstheme="minorBidi"/>
          <w:b w:val="0"/>
          <w:sz w:val="24"/>
          <w:szCs w:val="24"/>
        </w:rPr>
      </w:pPr>
      <w:hyperlink w:anchor="_Toc448153179" w:history="1">
        <w:r w:rsidR="00853517" w:rsidRPr="009C6CEE">
          <w:rPr>
            <w:rStyle w:val="Link"/>
          </w:rPr>
          <w:t>7</w:t>
        </w:r>
        <w:r w:rsidR="00853517">
          <w:rPr>
            <w:rFonts w:asciiTheme="minorHAnsi" w:eastAsiaTheme="minorEastAsia" w:hAnsiTheme="minorHAnsi" w:cstheme="minorBidi"/>
            <w:b w:val="0"/>
            <w:sz w:val="24"/>
            <w:szCs w:val="24"/>
          </w:rPr>
          <w:tab/>
        </w:r>
        <w:r w:rsidR="00853517" w:rsidRPr="009C6CEE">
          <w:rPr>
            <w:rStyle w:val="Link"/>
          </w:rPr>
          <w:t>Evaluation der Zielerreichung und Ausblick</w:t>
        </w:r>
        <w:r w:rsidR="00853517">
          <w:rPr>
            <w:webHidden/>
          </w:rPr>
          <w:tab/>
        </w:r>
        <w:r w:rsidR="00853517">
          <w:rPr>
            <w:webHidden/>
          </w:rPr>
          <w:fldChar w:fldCharType="begin"/>
        </w:r>
        <w:r w:rsidR="00853517">
          <w:rPr>
            <w:webHidden/>
          </w:rPr>
          <w:instrText xml:space="preserve"> PAGEREF _Toc448153179 \h </w:instrText>
        </w:r>
        <w:r w:rsidR="00853517">
          <w:rPr>
            <w:webHidden/>
          </w:rPr>
        </w:r>
        <w:r w:rsidR="00853517">
          <w:rPr>
            <w:webHidden/>
          </w:rPr>
          <w:fldChar w:fldCharType="separate"/>
        </w:r>
        <w:r w:rsidR="00853517">
          <w:rPr>
            <w:webHidden/>
          </w:rPr>
          <w:t>25</w:t>
        </w:r>
        <w:r w:rsidR="00853517">
          <w:rPr>
            <w:webHidden/>
          </w:rPr>
          <w:fldChar w:fldCharType="end"/>
        </w:r>
      </w:hyperlink>
    </w:p>
    <w:p w14:paraId="057D9FEE" w14:textId="77777777" w:rsidR="00853517" w:rsidRDefault="00C24124">
      <w:pPr>
        <w:pStyle w:val="Verzeichnis1"/>
        <w:rPr>
          <w:rFonts w:asciiTheme="minorHAnsi" w:eastAsiaTheme="minorEastAsia" w:hAnsiTheme="minorHAnsi" w:cstheme="minorBidi"/>
          <w:b w:val="0"/>
          <w:sz w:val="24"/>
          <w:szCs w:val="24"/>
        </w:rPr>
      </w:pPr>
      <w:hyperlink w:anchor="_Toc448153180" w:history="1">
        <w:r w:rsidR="00853517" w:rsidRPr="009C6CEE">
          <w:rPr>
            <w:rStyle w:val="Link"/>
          </w:rPr>
          <w:t>8</w:t>
        </w:r>
        <w:r w:rsidR="00853517">
          <w:rPr>
            <w:rFonts w:asciiTheme="minorHAnsi" w:eastAsiaTheme="minorEastAsia" w:hAnsiTheme="minorHAnsi" w:cstheme="minorBidi"/>
            <w:b w:val="0"/>
            <w:sz w:val="24"/>
            <w:szCs w:val="24"/>
          </w:rPr>
          <w:tab/>
        </w:r>
        <w:r w:rsidR="00853517" w:rsidRPr="009C6CEE">
          <w:rPr>
            <w:rStyle w:val="Link"/>
          </w:rPr>
          <w:t>Literaturverzeichnis</w:t>
        </w:r>
        <w:r w:rsidR="00853517">
          <w:rPr>
            <w:webHidden/>
          </w:rPr>
          <w:tab/>
        </w:r>
        <w:r w:rsidR="00853517">
          <w:rPr>
            <w:webHidden/>
          </w:rPr>
          <w:fldChar w:fldCharType="begin"/>
        </w:r>
        <w:r w:rsidR="00853517">
          <w:rPr>
            <w:webHidden/>
          </w:rPr>
          <w:instrText xml:space="preserve"> PAGEREF _Toc448153180 \h </w:instrText>
        </w:r>
        <w:r w:rsidR="00853517">
          <w:rPr>
            <w:webHidden/>
          </w:rPr>
        </w:r>
        <w:r w:rsidR="00853517">
          <w:rPr>
            <w:webHidden/>
          </w:rPr>
          <w:fldChar w:fldCharType="separate"/>
        </w:r>
        <w:r w:rsidR="00853517">
          <w:rPr>
            <w:webHidden/>
          </w:rPr>
          <w:t>26</w:t>
        </w:r>
        <w:r w:rsidR="00853517">
          <w:rPr>
            <w:webHidden/>
          </w:rPr>
          <w:fldChar w:fldCharType="end"/>
        </w:r>
      </w:hyperlink>
    </w:p>
    <w:p w14:paraId="3F6D1480" w14:textId="77777777" w:rsidR="00853517" w:rsidRDefault="00C24124">
      <w:pPr>
        <w:pStyle w:val="Verzeichnis1"/>
        <w:rPr>
          <w:rFonts w:asciiTheme="minorHAnsi" w:eastAsiaTheme="minorEastAsia" w:hAnsiTheme="minorHAnsi" w:cstheme="minorBidi"/>
          <w:b w:val="0"/>
          <w:sz w:val="24"/>
          <w:szCs w:val="24"/>
        </w:rPr>
      </w:pPr>
      <w:hyperlink w:anchor="_Toc448153181" w:history="1">
        <w:r w:rsidR="00853517" w:rsidRPr="009C6CEE">
          <w:rPr>
            <w:rStyle w:val="Link"/>
          </w:rPr>
          <w:t>Erklärung</w:t>
        </w:r>
        <w:r w:rsidR="00853517">
          <w:rPr>
            <w:webHidden/>
          </w:rPr>
          <w:tab/>
        </w:r>
        <w:r w:rsidR="00853517">
          <w:rPr>
            <w:webHidden/>
          </w:rPr>
          <w:fldChar w:fldCharType="begin"/>
        </w:r>
        <w:r w:rsidR="00853517">
          <w:rPr>
            <w:webHidden/>
          </w:rPr>
          <w:instrText xml:space="preserve"> PAGEREF _Toc448153181 \h </w:instrText>
        </w:r>
        <w:r w:rsidR="00853517">
          <w:rPr>
            <w:webHidden/>
          </w:rPr>
        </w:r>
        <w:r w:rsidR="00853517">
          <w:rPr>
            <w:webHidden/>
          </w:rPr>
          <w:fldChar w:fldCharType="separate"/>
        </w:r>
        <w:r w:rsidR="00853517">
          <w:rPr>
            <w:webHidden/>
          </w:rPr>
          <w:t>28</w:t>
        </w:r>
        <w:r w:rsidR="0085351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8153144"/>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8153145"/>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815314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8153147"/>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2"/>
      <w:r w:rsidR="00803CAA">
        <w:rPr>
          <w:rStyle w:val="Kommentarzeichen"/>
        </w:rPr>
        <w:commentReference w:id="22"/>
      </w:r>
      <w:commentRangeStart w:id="23"/>
      <w:r w:rsidR="001F123D">
        <w:t>Daher sind Prozesse und Abläufe im IT-Service-Management typischerweise nicht agil, sondern starr</w:t>
      </w:r>
      <w:commentRangeEnd w:id="23"/>
      <w:r w:rsidR="00803CAA">
        <w:rPr>
          <w:rStyle w:val="Kommentarzeichen"/>
        </w:rPr>
        <w:commentReference w:id="23"/>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4"/>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4"/>
      <w:r w:rsidR="00803CAA">
        <w:rPr>
          <w:rStyle w:val="Kommentarzeichen"/>
        </w:rPr>
        <w:commentReference w:id="24"/>
      </w:r>
      <w:r w:rsidR="001F123D">
        <w:t xml:space="preserve">. </w:t>
      </w:r>
      <w:commentRangeStart w:id="25"/>
      <w:r w:rsidR="001F123D">
        <w:t>Neben einer tieferen Zusammenarbeit in einem Team, stehen Standardisierung und Automatisierung sowie der Abbau von Bürokratie im Fokus dieses Ansatzes.</w:t>
      </w:r>
      <w:r w:rsidR="00E8229F">
        <w:t xml:space="preserve"> </w:t>
      </w:r>
      <w:commentRangeEnd w:id="25"/>
      <w:r w:rsidR="00803CAA">
        <w:rPr>
          <w:rStyle w:val="Kommentarzeichen"/>
        </w:rPr>
        <w:commentReference w:id="2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6"/>
      <w:r w:rsidR="00E8229F">
        <w:t xml:space="preserve">Dadurch entsteht Unternehmen bei der Umsetzung von konkreten </w:t>
      </w:r>
      <w:r w:rsidR="00803CAA">
        <w:t>Release-Management</w:t>
      </w:r>
      <w:r w:rsidR="00E8229F">
        <w:t xml:space="preserve"> Prozessen ein erhöhter Aufwand.</w:t>
      </w:r>
      <w:commentRangeEnd w:id="26"/>
      <w:r w:rsidR="00803CAA">
        <w:rPr>
          <w:rStyle w:val="Kommentarzeichen"/>
        </w:rPr>
        <w:commentReference w:id="26"/>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48153148"/>
      <w:r>
        <w:lastRenderedPageBreak/>
        <w:t>Grundlagen</w:t>
      </w:r>
      <w:bookmarkEnd w:id="27"/>
      <w:bookmarkEnd w:id="2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9" w:name="_Ref445029358"/>
      <w:bookmarkStart w:id="30" w:name="_Toc448153149"/>
      <w:r>
        <w:t>Innovation</w:t>
      </w:r>
      <w:r w:rsidR="00461FAA">
        <w:t xml:space="preserve"> </w:t>
      </w:r>
      <w:r w:rsidR="00DB13B7">
        <w:t>zur</w:t>
      </w:r>
      <w:r>
        <w:t xml:space="preserve"> Existenz</w:t>
      </w:r>
      <w:r w:rsidR="00DB13B7">
        <w:t>sicherung</w:t>
      </w:r>
      <w:bookmarkEnd w:id="29"/>
      <w:bookmarkEnd w:id="30"/>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1" w:name="_Ref445566438"/>
      <w:bookmarkStart w:id="32" w:name="_Ref444943110"/>
      <w:bookmarkStart w:id="33"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1"/>
      <w:r w:rsidRPr="00F30DA8">
        <w:rPr>
          <w:b/>
        </w:rPr>
        <w:t xml:space="preserve">: Zusammenhang Time </w:t>
      </w:r>
      <w:proofErr w:type="spellStart"/>
      <w:r w:rsidRPr="00F30DA8">
        <w:rPr>
          <w:b/>
        </w:rPr>
        <w:t>to</w:t>
      </w:r>
      <w:proofErr w:type="spellEnd"/>
      <w:r w:rsidRPr="00F30DA8">
        <w:rPr>
          <w:b/>
        </w:rPr>
        <w:t xml:space="preserve"> Market</w:t>
      </w:r>
      <w:bookmarkEnd w:id="32"/>
      <w:bookmarkEnd w:id="3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48153150"/>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48153151"/>
      <w:r>
        <w:t>Der Produktlebenszyklus</w:t>
      </w:r>
      <w:bookmarkEnd w:id="39"/>
      <w:bookmarkEnd w:id="40"/>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1" w:name="_Ref446672107"/>
      <w:bookmarkStart w:id="42"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1"/>
      <w:r>
        <w:rPr>
          <w:b/>
        </w:rPr>
        <w:t>: C</w:t>
      </w:r>
      <w:r w:rsidRPr="00611592">
        <w:rPr>
          <w:b/>
        </w:rPr>
        <w:t>harakteristische Produktlebenszyklen</w:t>
      </w:r>
      <w:bookmarkEnd w:id="42"/>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3" w:name="_Ref445303931"/>
      <w:bookmarkStart w:id="44"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3"/>
      <w:r w:rsidRPr="00075C67">
        <w:rPr>
          <w:b/>
        </w:rPr>
        <w:t>: Zuordnung der Produktlebenszyklusphasen</w:t>
      </w:r>
      <w:bookmarkEnd w:id="44"/>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5" w:name="_Ref446517190"/>
      <w:bookmarkStart w:id="46" w:name="_Toc448153152"/>
      <w:r>
        <w:t xml:space="preserve">Produktveröffentlichung durch Standards im </w:t>
      </w:r>
      <w:r w:rsidR="00803CAA">
        <w:t>Release-Management</w:t>
      </w:r>
      <w:bookmarkEnd w:id="45"/>
      <w:bookmarkEnd w:id="46"/>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7" w:name="_Ref445901269"/>
      <w:bookmarkStart w:id="48" w:name="_Ref445031218"/>
      <w:bookmarkStart w:id="49"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7"/>
      <w:r w:rsidRPr="004530A1">
        <w:rPr>
          <w:b/>
        </w:rPr>
        <w:t>: Zusammenhang Produkt zu Release</w:t>
      </w:r>
      <w:bookmarkEnd w:id="48"/>
      <w:bookmarkEnd w:id="4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0"/>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0"/>
      <w:r w:rsidR="00D53062">
        <w:rPr>
          <w:rStyle w:val="Kommentarzeichen"/>
        </w:rPr>
        <w:commentReference w:id="50"/>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1"/>
      <w:proofErr w:type="spellStart"/>
      <w:r>
        <w:t>Changes</w:t>
      </w:r>
      <w:commentRangeEnd w:id="51"/>
      <w:proofErr w:type="spellEnd"/>
      <w:r w:rsidR="002A1B0B">
        <w:rPr>
          <w:rStyle w:val="Kommentarzeichen"/>
        </w:rPr>
        <w:commentReference w:id="51"/>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2" w:name="_Ref445907730"/>
      <w:bookmarkStart w:id="53"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2"/>
      <w:r w:rsidRPr="0053131B">
        <w:rPr>
          <w:b/>
        </w:rPr>
        <w:t>: Überblick ITIL</w:t>
      </w:r>
      <w:bookmarkEnd w:id="53"/>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4" w:name="_Ref442963836"/>
      <w:bookmarkStart w:id="55" w:name="_Toc448153153"/>
      <w:r>
        <w:lastRenderedPageBreak/>
        <w:t xml:space="preserve">Entwurfsaspekte der </w:t>
      </w:r>
      <w:r w:rsidR="00803CAA">
        <w:t>Release-Management</w:t>
      </w:r>
      <w:r>
        <w:t xml:space="preserve"> Standardtypen</w:t>
      </w:r>
      <w:bookmarkEnd w:id="54"/>
      <w:bookmarkEnd w:id="55"/>
    </w:p>
    <w:p w14:paraId="140626A5" w14:textId="609C83C5" w:rsidR="00175F2D" w:rsidRPr="00175F2D"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009344EF">
        <w:t>Prozesse</w:t>
      </w:r>
      <w:r w:rsidRPr="00E04553">
        <w:t xml:space="preserve"> des IT-</w:t>
      </w:r>
      <w:r w:rsidR="009344EF">
        <w:t>Release</w:t>
      </w:r>
      <w:r w:rsidRPr="00E04553">
        <w:t xml:space="preserve">-Managements detailliert vorgestellt. </w:t>
      </w:r>
    </w:p>
    <w:p w14:paraId="28170CD2" w14:textId="7722F529" w:rsidR="00461FAA" w:rsidRDefault="00FD52FE" w:rsidP="00461FAA">
      <w:pPr>
        <w:pStyle w:val="berschrift2"/>
      </w:pPr>
      <w:bookmarkStart w:id="56" w:name="_Toc448153154"/>
      <w:r>
        <w:t xml:space="preserve">Risiken innerhalb </w:t>
      </w:r>
      <w:r w:rsidR="00461FAA">
        <w:t>Produktlebenszyklusphasen</w:t>
      </w:r>
      <w:bookmarkEnd w:id="56"/>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7" w:name="_Toc448153155"/>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8" w:name="_Toc448153156"/>
      <w:r>
        <w:lastRenderedPageBreak/>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9" w:name="_Toc448153157"/>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0" w:name="_Toc448153158"/>
      <w:r>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1" w:name="_Toc448153159"/>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2" w:name="_Toc448153160"/>
      <w:r>
        <w:t>Zusammenfassung der Risiken der einzelnen Phasen</w:t>
      </w:r>
      <w:bookmarkEnd w:id="62"/>
    </w:p>
    <w:p w14:paraId="0E26ED32" w14:textId="207DB2B9" w:rsidR="00175F2D" w:rsidRPr="003A709F" w:rsidRDefault="00175F2D" w:rsidP="00175F2D">
      <w:pPr>
        <w:rPr>
          <w:highlight w:val="yellow"/>
        </w:rPr>
      </w:pPr>
      <w:r w:rsidRPr="003A709F">
        <w:rPr>
          <w:highlight w:val="yellow"/>
        </w:rPr>
        <w:t>Ggf. Zusammenfassung Phasen aufgrund gleicher/ähnlicher Risiken</w:t>
      </w:r>
    </w:p>
    <w:p w14:paraId="119BC914" w14:textId="3CBDF5F2" w:rsidR="00175F2D" w:rsidRPr="003A709F" w:rsidRDefault="00175F2D" w:rsidP="00175F2D">
      <w:pPr>
        <w:rPr>
          <w:highlight w:val="yellow"/>
        </w:rPr>
      </w:pPr>
      <w:r w:rsidRPr="003A709F">
        <w:rPr>
          <w:highlight w:val="yellow"/>
        </w:rPr>
        <w:t>Kategorisierung der Risiken z. B. auf Zeit, Qualität, Kosten</w:t>
      </w:r>
    </w:p>
    <w:p w14:paraId="33E9CB77" w14:textId="6D45F167" w:rsidR="0013257C" w:rsidRPr="003A709F" w:rsidRDefault="0013257C"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w:t>
      </w:r>
      <w:r w:rsidR="00090467" w:rsidRPr="003A709F">
        <w:rPr>
          <w:highlight w:val="yellow"/>
        </w:rPr>
        <w:t xml:space="preserve"> Und oder </w:t>
      </w:r>
      <w:proofErr w:type="spellStart"/>
      <w:r w:rsidR="00090467" w:rsidRPr="003A709F">
        <w:rPr>
          <w:highlight w:val="yellow"/>
        </w:rPr>
        <w:t>Lennertz</w:t>
      </w:r>
      <w:proofErr w:type="spellEnd"/>
      <w:r w:rsidR="00090467" w:rsidRPr="003A709F">
        <w:rPr>
          <w:highlight w:val="yellow"/>
        </w:rPr>
        <w:t xml:space="preserve"> S. 20</w:t>
      </w:r>
    </w:p>
    <w:p w14:paraId="521E4F68" w14:textId="7A37A810"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461FAA">
      <w:pPr>
        <w:pStyle w:val="berschrift2"/>
      </w:pPr>
      <w:bookmarkStart w:id="63" w:name="_Toc448153161"/>
      <w:commentRangeStart w:id="64"/>
      <w:r>
        <w:t>Prozesse</w:t>
      </w:r>
      <w:r w:rsidR="00461FAA">
        <w:t xml:space="preserve"> </w:t>
      </w:r>
      <w:commentRangeEnd w:id="64"/>
      <w:r>
        <w:rPr>
          <w:rStyle w:val="Kommentarzeichen"/>
          <w:b w:val="0"/>
          <w:kern w:val="0"/>
        </w:rPr>
        <w:commentReference w:id="64"/>
      </w:r>
      <w:r w:rsidR="00461FAA">
        <w:t xml:space="preserve">des </w:t>
      </w:r>
      <w:r w:rsidR="00803CAA">
        <w:t>Release-Management</w:t>
      </w:r>
      <w:r w:rsidR="00461FAA">
        <w:t>s zum Umgang mit Risiken</w:t>
      </w:r>
      <w:bookmarkEnd w:id="63"/>
    </w:p>
    <w:p w14:paraId="67B3684E" w14:textId="7573BA42"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Eine detaillierte Vorstellung kann aufgrund des Umfangs an dieser Stelle nicht erfolgen, dazu ist die Quellliteratur heranzuziehen. </w:t>
      </w:r>
    </w:p>
    <w:p w14:paraId="51D3E5F0" w14:textId="594FAE47" w:rsidR="00461FAA" w:rsidRDefault="00BE5B1B" w:rsidP="00461FAA">
      <w:pPr>
        <w:pStyle w:val="berschrift3"/>
      </w:pPr>
      <w:bookmarkStart w:id="66" w:name="_Ref446517322"/>
      <w:bookmarkStart w:id="67" w:name="_Toc448153162"/>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r>
        <w:rPr>
          <w:rStyle w:val="Kommentarzeichen"/>
          <w:b w:val="0"/>
          <w:kern w:val="0"/>
        </w:rPr>
        <w:t xml:space="preserve"> </w:t>
      </w:r>
      <w:bookmarkEnd w:id="67"/>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xml:space="preserve">. Ziel ist es unter anderem die Veränderung innerhalb </w:t>
      </w:r>
      <w:r>
        <w:lastRenderedPageBreak/>
        <w:t>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w:t>
      </w:r>
      <w:r w:rsidR="008D3E9B">
        <w:lastRenderedPageBreak/>
        <w:t>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BE5B1B">
      <w:pPr>
        <w:pStyle w:val="berschrift3"/>
      </w:pPr>
      <w:bookmarkStart w:id="71" w:name="_Toc448153163"/>
      <w:r w:rsidRPr="005E2E45">
        <w:t>Change Management</w:t>
      </w:r>
      <w:bookmarkEnd w:id="71"/>
    </w:p>
    <w:p w14:paraId="1F0E1533" w14:textId="5B0DABA9" w:rsidR="00EA2F6B" w:rsidRDefault="00867E7F" w:rsidP="00EA2F6B">
      <w:r>
        <w:t>Der Change Management 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bookmarkStart w:id="72" w:name="_GoBack"/>
      <w:bookmarkEnd w:id="72"/>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lastRenderedPageBreak/>
        <w:t xml:space="preserve">Messung der Effizienz und Effektivität von </w:t>
      </w:r>
      <w:proofErr w:type="spellStart"/>
      <w:r w:rsidRPr="004E72CB">
        <w:t>Changes</w:t>
      </w:r>
      <w:proofErr w:type="spellEnd"/>
    </w:p>
    <w:p w14:paraId="6851B41D" w14:textId="4CD845B1"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w:t>
      </w:r>
      <w:r w:rsidR="006510BC">
        <w:lastRenderedPageBreak/>
        <w: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 ab</w:t>
      </w:r>
      <w:sdt>
        <w:sdtPr>
          <w:id w:val="-1084692606"/>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EA0FFE">
        <w:t>. Unterschieden werden hie</w:t>
      </w:r>
      <w:r w:rsidR="00ED0C47">
        <w:t>rfür mehrere Change-Typen um den</w:t>
      </w:r>
      <w:r w:rsidR="00EA0FFE">
        <w:t xml:space="preserve"> verschiedenen Priorisierung gerecht zu werden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 im Voraus zu erhalten, wenn dafür eine zuvor abgestimmtes Verfahren eingehalten wird.</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AF3E28">
        <w:t>3.2.4</w:t>
      </w:r>
      <w:r w:rsidR="00AF3E28">
        <w:fldChar w:fldCharType="end"/>
      </w:r>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p>
    <w:p w14:paraId="65D5B3DC" w14:textId="78C4AE46" w:rsidR="004B4F7B" w:rsidRPr="00EA2F6B" w:rsidRDefault="004B4F7B" w:rsidP="0064096F">
      <w:r>
        <w:lastRenderedPageBreak/>
        <w:t xml:space="preserve">Relevant für die Standardtypkonstruktion im Sinne des Change Management </w:t>
      </w:r>
      <w:r w:rsidR="00EF3AB7">
        <w:t xml:space="preserve">ist damit die Nutzung von Standard </w:t>
      </w:r>
      <w:proofErr w:type="spellStart"/>
      <w:r w:rsidR="00EF3AB7">
        <w:t>Changes</w:t>
      </w:r>
      <w:proofErr w:type="spellEnd"/>
      <w:r w:rsidR="004E72CB">
        <w:t xml:space="preserve"> und die spezifische Definition von Wartungsfenstern</w:t>
      </w:r>
      <w:r>
        <w:t>.</w:t>
      </w:r>
    </w:p>
    <w:p w14:paraId="3BE2D251" w14:textId="3F5D5BDD" w:rsidR="00BE5B1B" w:rsidRDefault="00BE5B1B" w:rsidP="00BE5B1B">
      <w:pPr>
        <w:pStyle w:val="berschrift3"/>
      </w:pPr>
      <w:bookmarkStart w:id="73" w:name="_Toc448153164"/>
      <w:r>
        <w:t xml:space="preserve">Service Asset </w:t>
      </w:r>
      <w:proofErr w:type="spellStart"/>
      <w:r>
        <w:t>And</w:t>
      </w:r>
      <w:proofErr w:type="spellEnd"/>
      <w:r>
        <w:t xml:space="preserve"> </w:t>
      </w:r>
      <w:proofErr w:type="spellStart"/>
      <w:r>
        <w:t>Configuration</w:t>
      </w:r>
      <w:bookmarkEnd w:id="73"/>
      <w:proofErr w:type="spellEnd"/>
      <w:r w:rsidR="008E73D9">
        <w:t xml:space="preserve"> Management</w:t>
      </w:r>
    </w:p>
    <w:p w14:paraId="55DCE98D" w14:textId="4C8A0716" w:rsidR="00BE5B1B" w:rsidRDefault="00BE5B1B" w:rsidP="00BE5B1B">
      <w:pPr>
        <w:pStyle w:val="berschrift3"/>
      </w:pPr>
      <w:bookmarkStart w:id="74" w:name="_Toc448153165"/>
      <w:bookmarkStart w:id="75" w:name="_Ref449366923"/>
      <w:r>
        <w:t xml:space="preserve">Release </w:t>
      </w:r>
      <w:proofErr w:type="spellStart"/>
      <w:r>
        <w:t>And</w:t>
      </w:r>
      <w:proofErr w:type="spellEnd"/>
      <w:r>
        <w:t xml:space="preserve"> </w:t>
      </w:r>
      <w:proofErr w:type="spellStart"/>
      <w:r>
        <w:t>Deployment</w:t>
      </w:r>
      <w:proofErr w:type="spellEnd"/>
      <w:r>
        <w:t xml:space="preserve"> Management</w:t>
      </w:r>
      <w:bookmarkEnd w:id="74"/>
      <w:bookmarkEnd w:id="75"/>
    </w:p>
    <w:p w14:paraId="004E07B3" w14:textId="5BE9BF38" w:rsidR="00BE5B1B" w:rsidRDefault="00BE5B1B" w:rsidP="00BE5B1B">
      <w:pPr>
        <w:pStyle w:val="berschrift3"/>
      </w:pPr>
      <w:bookmarkStart w:id="76" w:name="_Toc448153166"/>
      <w:r>
        <w:t xml:space="preserve">Service Validation </w:t>
      </w:r>
      <w:proofErr w:type="spellStart"/>
      <w:r>
        <w:t>And</w:t>
      </w:r>
      <w:proofErr w:type="spellEnd"/>
      <w:r>
        <w:t xml:space="preserve"> </w:t>
      </w:r>
      <w:proofErr w:type="spellStart"/>
      <w:r>
        <w:t>Testing</w:t>
      </w:r>
      <w:bookmarkEnd w:id="76"/>
      <w:proofErr w:type="spellEnd"/>
    </w:p>
    <w:p w14:paraId="6E6CB85D" w14:textId="453CEF1C" w:rsidR="00BE5B1B" w:rsidRDefault="00853517" w:rsidP="00BE5B1B">
      <w:pPr>
        <w:pStyle w:val="berschrift3"/>
      </w:pPr>
      <w:bookmarkStart w:id="77" w:name="_Toc448153167"/>
      <w:r>
        <w:t>Change Eva</w:t>
      </w:r>
      <w:r w:rsidR="00BE5B1B">
        <w:t>lu</w:t>
      </w:r>
      <w:r>
        <w:t>a</w:t>
      </w:r>
      <w:r w:rsidR="00BE5B1B">
        <w:t>tion</w:t>
      </w:r>
      <w:bookmarkEnd w:id="77"/>
    </w:p>
    <w:p w14:paraId="452300E9" w14:textId="34570056" w:rsidR="00BE5B1B" w:rsidRPr="00BE5B1B" w:rsidRDefault="00BE5B1B" w:rsidP="00BE5B1B">
      <w:pPr>
        <w:pStyle w:val="berschrift3"/>
      </w:pPr>
      <w:bookmarkStart w:id="78" w:name="_Toc448153168"/>
      <w:r>
        <w:t>Knowledge Management</w:t>
      </w:r>
      <w:bookmarkEnd w:id="78"/>
    </w:p>
    <w:p w14:paraId="69529776" w14:textId="584BCBB2" w:rsidR="00461FAA" w:rsidRDefault="00461FAA" w:rsidP="00461FAA">
      <w:pPr>
        <w:pStyle w:val="berschrift1"/>
      </w:pPr>
      <w:bookmarkStart w:id="79" w:name="_Ref442963953"/>
      <w:bookmarkStart w:id="80" w:name="_Toc448153169"/>
      <w:r>
        <w:lastRenderedPageBreak/>
        <w:t>Ko</w:t>
      </w:r>
      <w:r w:rsidR="00BC71A2">
        <w:t>nstruktion der Standardtypen zum Umgang mit den</w:t>
      </w:r>
      <w:r>
        <w:t xml:space="preserve"> Risiken der Produktlebenszyklusphasen</w:t>
      </w:r>
      <w:bookmarkEnd w:id="79"/>
      <w:bookmarkEnd w:id="80"/>
    </w:p>
    <w:p w14:paraId="48C18A00" w14:textId="56297313" w:rsidR="00386B1B" w:rsidRPr="00386B1B" w:rsidRDefault="00386B1B" w:rsidP="00386B1B">
      <w:r>
        <w:t>In Kapitel 3.1 erfolgte die Vorstellung der Risiken der einzelnen Produktlebenszyklusphasen und die Zusammenfassung zu unterschiedlichen Gruppen. Mögliche Risikobehandlungsmaßnahmen des Release-Managements wurden in Kapitel 3.2 vorgestellt. Dieses Kapitel beschäftigt sich mit der Zuordnung der Release-Management-Prozesse zu den Produktlebenszyklusgruppen anhand der zu behandelten Risiken. Dazu werden die Grundelemente der Release-Management-Prozesse je nach Bedingung hergeleitet, ausgewählt und beschrieben.</w:t>
      </w:r>
    </w:p>
    <w:p w14:paraId="07414298" w14:textId="77777777" w:rsidR="00386B1B" w:rsidRDefault="00461FAA" w:rsidP="00461FAA">
      <w:pPr>
        <w:pStyle w:val="berschrift2"/>
      </w:pPr>
      <w:bookmarkStart w:id="81" w:name="_Toc448153170"/>
      <w:proofErr w:type="spellStart"/>
      <w:r>
        <w:t>DevOps</w:t>
      </w:r>
      <w:bookmarkEnd w:id="81"/>
      <w:proofErr w:type="spellEnd"/>
    </w:p>
    <w:p w14:paraId="52CACDF6" w14:textId="6DA47A50" w:rsidR="00461FAA" w:rsidRPr="00853517" w:rsidRDefault="00386B1B" w:rsidP="00853517">
      <w:pPr>
        <w:rPr>
          <w:highlight w:val="yellow"/>
        </w:rPr>
      </w:pPr>
      <w:bookmarkStart w:id="82" w:name="_Toc448153171"/>
      <w:r w:rsidRPr="00853517">
        <w:rPr>
          <w:highlight w:val="yellow"/>
        </w:rPr>
        <w:t>(Entwicklung + Einführung)</w:t>
      </w:r>
      <w:bookmarkEnd w:id="82"/>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3" w:name="_Toc448153172"/>
      <w:r>
        <w:t>Formell</w:t>
      </w:r>
      <w:bookmarkEnd w:id="83"/>
    </w:p>
    <w:p w14:paraId="494C391F" w14:textId="73A2F227" w:rsidR="00461FAA" w:rsidRPr="00853517" w:rsidRDefault="00386B1B" w:rsidP="00853517">
      <w:pPr>
        <w:rPr>
          <w:highlight w:val="yellow"/>
        </w:rPr>
      </w:pPr>
      <w:bookmarkStart w:id="84" w:name="_Toc448153173"/>
      <w:r w:rsidRPr="00853517">
        <w:rPr>
          <w:highlight w:val="yellow"/>
        </w:rPr>
        <w:t>(Reife + Wachstum)</w:t>
      </w:r>
      <w:bookmarkEnd w:id="84"/>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5" w:name="_Toc448153174"/>
      <w:r>
        <w:t>Schlank</w:t>
      </w:r>
      <w:bookmarkEnd w:id="85"/>
    </w:p>
    <w:p w14:paraId="0C38438A" w14:textId="6E027DDC" w:rsidR="00461FAA" w:rsidRPr="00853517" w:rsidRDefault="00386B1B" w:rsidP="00853517">
      <w:pPr>
        <w:rPr>
          <w:highlight w:val="yellow"/>
        </w:rPr>
      </w:pPr>
      <w:bookmarkStart w:id="86" w:name="_Toc448153175"/>
      <w:r w:rsidRPr="00853517">
        <w:rPr>
          <w:highlight w:val="yellow"/>
        </w:rPr>
        <w:t>(Entsorgung)</w:t>
      </w:r>
      <w:bookmarkEnd w:id="86"/>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7" w:name="_Toc448153176"/>
      <w:r>
        <w:t>Zusammenfassung der Standardtypen</w:t>
      </w:r>
      <w:bookmarkEnd w:id="87"/>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88"/>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8"/>
        <w:tc>
          <w:tcPr>
            <w:tcW w:w="1394" w:type="dxa"/>
          </w:tcPr>
          <w:p w14:paraId="06638CB8" w14:textId="7DAF2CF0" w:rsidR="00386B1B" w:rsidRDefault="00386B1B" w:rsidP="0064096F">
            <w:r>
              <w:rPr>
                <w:rStyle w:val="Kommentarzeichen"/>
              </w:rPr>
              <w:commentReference w:id="88"/>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89" w:name="_Ref442964028"/>
      <w:bookmarkStart w:id="90" w:name="_Toc448153177"/>
      <w:r>
        <w:lastRenderedPageBreak/>
        <w:t>Kritische Würdigung der Standardtypen</w:t>
      </w:r>
      <w:bookmarkEnd w:id="89"/>
      <w:bookmarkEnd w:id="90"/>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661EB3CA"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1" w:name="_Ref442964114"/>
      <w:bookmarkStart w:id="92" w:name="_Toc448153178"/>
      <w:r>
        <w:lastRenderedPageBreak/>
        <w:t>Demonstration der Standardtypen am Fallbeispiel DPDHL Group</w:t>
      </w:r>
      <w:bookmarkEnd w:id="91"/>
      <w:bookmarkEnd w:id="92"/>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3" w:name="_Ref442964164"/>
      <w:bookmarkStart w:id="94" w:name="_Toc448153179"/>
      <w:r>
        <w:lastRenderedPageBreak/>
        <w:t>Evaluation der Zielerreichung und Ausblick</w:t>
      </w:r>
      <w:bookmarkEnd w:id="93"/>
      <w:bookmarkEnd w:id="94"/>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5" w:name="_Toc410799361"/>
      <w:bookmarkStart w:id="96" w:name="_Toc410799446"/>
      <w:bookmarkStart w:id="97" w:name="_Toc410799366"/>
      <w:bookmarkStart w:id="98" w:name="_Toc410799451"/>
      <w:bookmarkStart w:id="99" w:name="_Toc415465661"/>
      <w:bookmarkStart w:id="100" w:name="_Ref418325438"/>
      <w:bookmarkStart w:id="101" w:name="_Ref414785387"/>
      <w:bookmarkStart w:id="102" w:name="_Toc415465643"/>
    </w:p>
    <w:bookmarkEnd w:id="102" w:displacedByCustomXml="next"/>
    <w:bookmarkEnd w:id="101" w:displacedByCustomXml="next"/>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Start w:id="103" w:name="_Toc44815318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3"/>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4" w:name="_Toc448153181"/>
      <w:r>
        <w:lastRenderedPageBreak/>
        <w:t>Erklärung</w:t>
      </w:r>
      <w:bookmarkEnd w:id="104"/>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5" w:name="Text15"/>
      <w:r w:rsidR="00783160">
        <w:instrText xml:space="preserve"> FORMTEXT </w:instrText>
      </w:r>
      <w:r w:rsidR="00783160">
        <w:fldChar w:fldCharType="separate"/>
      </w:r>
      <w:r w:rsidR="00783160">
        <w:rPr>
          <w:noProof/>
        </w:rPr>
        <w:t>Lohr, Steve</w:t>
      </w:r>
      <w:r w:rsidR="00783160">
        <w:fldChar w:fldCharType="end"/>
      </w:r>
      <w:bookmarkEnd w:id="105"/>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6" w:name="Text16"/>
      <w:r w:rsidR="00783160">
        <w:instrText xml:space="preserve"> FORMTEXT </w:instrText>
      </w:r>
      <w:r w:rsidR="00783160">
        <w:fldChar w:fldCharType="separate"/>
      </w:r>
      <w:r w:rsidR="00783160">
        <w:rPr>
          <w:noProof/>
        </w:rPr>
        <w:t>9066454</w:t>
      </w:r>
      <w:r w:rsidR="00783160">
        <w:fldChar w:fldCharType="end"/>
      </w:r>
      <w:bookmarkEnd w:id="106"/>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7" w:name="Text17"/>
      <w:r w:rsidR="00783160">
        <w:instrText xml:space="preserve"> FORMTEXT </w:instrText>
      </w:r>
      <w:r w:rsidR="00783160">
        <w:fldChar w:fldCharType="separate"/>
      </w:r>
      <w:r w:rsidR="00783160">
        <w:rPr>
          <w:noProof/>
        </w:rPr>
        <w:t>Wirtschaftsinformatik</w:t>
      </w:r>
      <w:r w:rsidR="00783160">
        <w:fldChar w:fldCharType="end"/>
      </w:r>
      <w:bookmarkEnd w:id="107"/>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C24124" w:rsidRDefault="00C24124">
      <w:pPr>
        <w:pStyle w:val="Kommentartext"/>
      </w:pPr>
      <w:r>
        <w:rPr>
          <w:rStyle w:val="Kommentarzeichen"/>
        </w:rPr>
        <w:annotationRef/>
      </w:r>
      <w:r>
        <w:t>Quelle?</w:t>
      </w:r>
    </w:p>
  </w:comment>
  <w:comment w:id="21" w:author="steve.lohr@gmx.de" w:date="2016-02-11T14:36:00Z" w:initials="s">
    <w:p w14:paraId="250ACCFB" w14:textId="39268141" w:rsidR="00C24124" w:rsidRDefault="00C24124">
      <w:pPr>
        <w:pStyle w:val="Kommentartext"/>
      </w:pPr>
      <w:r>
        <w:rPr>
          <w:rStyle w:val="Kommentarzeichen"/>
        </w:rPr>
        <w:annotationRef/>
      </w:r>
      <w:r>
        <w:t>Quellen?</w:t>
      </w:r>
    </w:p>
  </w:comment>
  <w:comment w:id="22" w:author="steve.lohr@gmx.de" w:date="2016-02-11T14:37:00Z" w:initials="s">
    <w:p w14:paraId="153963AC" w14:textId="13D9F872" w:rsidR="00C24124" w:rsidRDefault="00C24124">
      <w:pPr>
        <w:pStyle w:val="Kommentartext"/>
      </w:pPr>
      <w:r>
        <w:rPr>
          <w:rStyle w:val="Kommentarzeichen"/>
        </w:rPr>
        <w:annotationRef/>
      </w:r>
      <w:r>
        <w:t>Quellen?</w:t>
      </w:r>
    </w:p>
  </w:comment>
  <w:comment w:id="23" w:author="steve.lohr@gmx.de" w:date="2016-02-11T14:37:00Z" w:initials="s">
    <w:p w14:paraId="2C1CF473" w14:textId="766F6959" w:rsidR="00C24124" w:rsidRDefault="00C24124">
      <w:pPr>
        <w:pStyle w:val="Kommentartext"/>
      </w:pPr>
      <w:r>
        <w:rPr>
          <w:rStyle w:val="Kommentarzeichen"/>
        </w:rPr>
        <w:annotationRef/>
      </w:r>
      <w:r>
        <w:t>Quellen?</w:t>
      </w:r>
    </w:p>
  </w:comment>
  <w:comment w:id="24" w:author="steve.lohr@gmx.de" w:date="2016-02-11T14:38:00Z" w:initials="s">
    <w:p w14:paraId="72E4F7F6" w14:textId="68D93145" w:rsidR="00C24124" w:rsidRDefault="00C24124">
      <w:pPr>
        <w:pStyle w:val="Kommentartext"/>
      </w:pPr>
      <w:r>
        <w:rPr>
          <w:rStyle w:val="Kommentarzeichen"/>
        </w:rPr>
        <w:annotationRef/>
      </w:r>
      <w:r>
        <w:t>Quellen?</w:t>
      </w:r>
    </w:p>
  </w:comment>
  <w:comment w:id="25" w:author="steve.lohr@gmx.de" w:date="2016-02-11T14:38:00Z" w:initials="s">
    <w:p w14:paraId="6F4407B8" w14:textId="4ACB5FC8" w:rsidR="00C24124" w:rsidRDefault="00C24124">
      <w:pPr>
        <w:pStyle w:val="Kommentartext"/>
      </w:pPr>
      <w:r>
        <w:rPr>
          <w:rStyle w:val="Kommentarzeichen"/>
        </w:rPr>
        <w:annotationRef/>
      </w:r>
      <w:r>
        <w:t>Quelle?</w:t>
      </w:r>
    </w:p>
  </w:comment>
  <w:comment w:id="26" w:author="steve.lohr@gmx.de" w:date="2016-02-11T14:39:00Z" w:initials="s">
    <w:p w14:paraId="5914F1CE" w14:textId="3190C329" w:rsidR="00C24124" w:rsidRDefault="00C24124">
      <w:pPr>
        <w:pStyle w:val="Kommentartext"/>
      </w:pPr>
      <w:r>
        <w:rPr>
          <w:rStyle w:val="Kommentarzeichen"/>
        </w:rPr>
        <w:annotationRef/>
      </w:r>
      <w:r>
        <w:t>Quelle?</w:t>
      </w:r>
    </w:p>
  </w:comment>
  <w:comment w:id="50" w:author="steve lohr" w:date="2016-04-11T14:30:00Z" w:initials="s">
    <w:p w14:paraId="6B936FCA" w14:textId="11BC56CA" w:rsidR="00C24124" w:rsidRDefault="00C24124">
      <w:pPr>
        <w:pStyle w:val="Kommentartext"/>
      </w:pPr>
      <w:r>
        <w:rPr>
          <w:rStyle w:val="Kommentarzeichen"/>
        </w:rPr>
        <w:annotationRef/>
      </w:r>
      <w:r>
        <w:t>Nicht vergessen!</w:t>
      </w:r>
    </w:p>
  </w:comment>
  <w:comment w:id="51" w:author="steve lohr" w:date="2016-04-10T18:39:00Z" w:initials="s">
    <w:p w14:paraId="21A3B37D" w14:textId="48E14854" w:rsidR="00C24124" w:rsidRDefault="00C24124">
      <w:pPr>
        <w:pStyle w:val="Kommentartext"/>
      </w:pPr>
      <w:r>
        <w:rPr>
          <w:rStyle w:val="Kommentarzeichen"/>
        </w:rPr>
        <w:annotationRef/>
      </w:r>
      <w:r>
        <w:t>Definieren und unterschiedliche Typen (Standard, Emergency, andere) beschreiben</w:t>
      </w:r>
    </w:p>
  </w:comment>
  <w:comment w:id="64" w:author="steve lohr" w:date="2016-04-11T14:43:00Z" w:initials="s">
    <w:p w14:paraId="0423EC9B" w14:textId="265D6F9D" w:rsidR="00C24124" w:rsidRDefault="00C24124">
      <w:pPr>
        <w:pStyle w:val="Kommentartext"/>
      </w:pPr>
      <w:r>
        <w:rPr>
          <w:rStyle w:val="Kommentarzeichen"/>
        </w:rPr>
        <w:annotationRef/>
      </w:r>
      <w:r>
        <w:t>ISO und COBIT ergänzen</w:t>
      </w:r>
    </w:p>
  </w:comment>
  <w:comment w:id="68" w:author="steve lohr" w:date="2016-04-20T14:40:00Z" w:initials="s">
    <w:p w14:paraId="77262617" w14:textId="0B0F853D" w:rsidR="00C24124" w:rsidRDefault="00C24124">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C24124" w:rsidRDefault="00C24124">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C24124" w:rsidRDefault="00C24124">
      <w:pPr>
        <w:pStyle w:val="Kommentartext"/>
      </w:pPr>
      <w:r>
        <w:rPr>
          <w:rStyle w:val="Kommentarzeichen"/>
        </w:rPr>
        <w:annotationRef/>
      </w:r>
      <w:r>
        <w:t>Ggf. doch aufnehmen z. B. Tests, Nachweise, Dokumentation</w:t>
      </w:r>
    </w:p>
  </w:comment>
  <w:comment w:id="88" w:author="steve lohr" w:date="2016-04-11T14:56:00Z" w:initials="s">
    <w:p w14:paraId="59EB980E" w14:textId="187A7ABF" w:rsidR="00C24124" w:rsidRDefault="00C24124">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39AAB" w14:textId="77777777" w:rsidR="00FE76F4" w:rsidRDefault="00FE76F4">
      <w:r>
        <w:separator/>
      </w:r>
    </w:p>
    <w:p w14:paraId="44C17F24" w14:textId="77777777" w:rsidR="00FE76F4" w:rsidRDefault="00FE76F4"/>
    <w:p w14:paraId="4E376CEE" w14:textId="77777777" w:rsidR="00FE76F4" w:rsidRDefault="00FE76F4"/>
  </w:endnote>
  <w:endnote w:type="continuationSeparator" w:id="0">
    <w:p w14:paraId="1A5EBB51" w14:textId="77777777" w:rsidR="00FE76F4" w:rsidRDefault="00FE76F4">
      <w:r>
        <w:continuationSeparator/>
      </w:r>
    </w:p>
    <w:p w14:paraId="3F44CAFF" w14:textId="77777777" w:rsidR="00FE76F4" w:rsidRDefault="00FE76F4"/>
    <w:p w14:paraId="4D2C77CC" w14:textId="77777777" w:rsidR="00FE76F4" w:rsidRDefault="00FE7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C24124" w:rsidRDefault="00C24124">
    <w:pPr>
      <w:pStyle w:val="Fuzeile"/>
      <w:framePr w:wrap="around" w:vAnchor="text" w:hAnchor="margin" w:xAlign="right" w:y="1"/>
    </w:pPr>
    <w:r>
      <w:fldChar w:fldCharType="begin"/>
    </w:r>
    <w:r>
      <w:instrText xml:space="preserve">PAGE  </w:instrText>
    </w:r>
    <w:r>
      <w:fldChar w:fldCharType="end"/>
    </w:r>
  </w:p>
  <w:p w14:paraId="7140BEF8" w14:textId="77777777" w:rsidR="00C24124" w:rsidRDefault="00C2412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C24124" w:rsidRDefault="00C2412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C24124" w:rsidRDefault="00C2412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C24124" w:rsidRDefault="00C24124">
    <w:pPr>
      <w:pStyle w:val="Fuzeile"/>
      <w:pBdr>
        <w:bottom w:val="single" w:sz="6" w:space="1" w:color="auto"/>
      </w:pBdr>
      <w:spacing w:before="0" w:line="240" w:lineRule="auto"/>
      <w:ind w:right="-2"/>
      <w:jc w:val="center"/>
      <w:rPr>
        <w:rFonts w:eastAsia="Times New Roman"/>
        <w:sz w:val="16"/>
      </w:rPr>
    </w:pPr>
  </w:p>
  <w:p w14:paraId="7BBE1A81" w14:textId="77777777" w:rsidR="00C24124" w:rsidRDefault="00C2412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C24124" w:rsidRDefault="00C2412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C24124" w:rsidRDefault="00C2412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73AD0" w14:textId="77777777" w:rsidR="00FE76F4" w:rsidRDefault="00FE76F4" w:rsidP="00106448">
      <w:pPr>
        <w:spacing w:before="60" w:after="60" w:line="240" w:lineRule="auto"/>
      </w:pPr>
      <w:r>
        <w:separator/>
      </w:r>
    </w:p>
  </w:footnote>
  <w:footnote w:type="continuationSeparator" w:id="0">
    <w:p w14:paraId="2C0E5DE7" w14:textId="77777777" w:rsidR="00FE76F4" w:rsidRDefault="00FE76F4">
      <w:r>
        <w:continuationSeparator/>
      </w:r>
    </w:p>
  </w:footnote>
  <w:footnote w:type="continuationNotice" w:id="1">
    <w:p w14:paraId="1916C5C7" w14:textId="77777777" w:rsidR="00FE76F4" w:rsidRDefault="00FE76F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C24124" w:rsidRDefault="00C2412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C24124" w:rsidRDefault="00C2412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510BC">
      <w:rPr>
        <w:noProof/>
      </w:rPr>
      <w:t>31</w:t>
    </w:r>
    <w:r>
      <w:fldChar w:fldCharType="end"/>
    </w:r>
  </w:p>
  <w:p w14:paraId="4E19B897" w14:textId="77777777" w:rsidR="00C24124" w:rsidRDefault="00C2412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C24124" w:rsidRDefault="00C2412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6510BC">
      <w:rPr>
        <w:noProof/>
      </w:rPr>
      <w:t>32</w:t>
    </w:r>
    <w:r>
      <w:fldChar w:fldCharType="end"/>
    </w:r>
  </w:p>
  <w:p w14:paraId="79D4B611" w14:textId="77777777" w:rsidR="00C24124" w:rsidRDefault="00C2412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C24124" w:rsidRDefault="00C2412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4B4F7B">
      <w:rPr>
        <w:noProof/>
      </w:rPr>
      <w:t>I</w:t>
    </w:r>
    <w:r>
      <w:fldChar w:fldCharType="end"/>
    </w:r>
  </w:p>
  <w:p w14:paraId="519499C0" w14:textId="77777777" w:rsidR="00C24124" w:rsidRDefault="00C2412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C24124" w:rsidRDefault="00C24124">
    <w:pPr>
      <w:pStyle w:val="Kopfzeile"/>
      <w:pBdr>
        <w:bottom w:val="single" w:sz="6" w:space="1" w:color="auto"/>
      </w:pBdr>
      <w:tabs>
        <w:tab w:val="clear" w:pos="9072"/>
        <w:tab w:val="left" w:pos="7000"/>
      </w:tabs>
    </w:pPr>
    <w:r>
      <w:tab/>
    </w:r>
  </w:p>
  <w:p w14:paraId="2930D97B" w14:textId="77777777" w:rsidR="00C24124" w:rsidRDefault="00C2412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C24124" w:rsidRDefault="00C2412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B4F7B">
      <w:rPr>
        <w:noProof/>
      </w:rPr>
      <w:t>II</w:t>
    </w:r>
    <w:r>
      <w:fldChar w:fldCharType="end"/>
    </w:r>
  </w:p>
  <w:p w14:paraId="547EF2D1" w14:textId="77777777" w:rsidR="00C24124" w:rsidRDefault="00C2412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C24124" w:rsidRDefault="00C2412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B4F7B">
      <w:rPr>
        <w:noProof/>
      </w:rPr>
      <w:t>III</w:t>
    </w:r>
    <w:r>
      <w:fldChar w:fldCharType="end"/>
    </w:r>
  </w:p>
  <w:p w14:paraId="4B67AB85" w14:textId="77777777" w:rsidR="00C24124" w:rsidRDefault="00C2412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C24124" w:rsidRDefault="00C2412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B4F7B">
      <w:rPr>
        <w:noProof/>
      </w:rPr>
      <w:t>IV</w:t>
    </w:r>
    <w:r>
      <w:fldChar w:fldCharType="end"/>
    </w:r>
  </w:p>
  <w:p w14:paraId="445F50FB" w14:textId="77777777" w:rsidR="00C24124" w:rsidRDefault="00C2412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C24124" w:rsidRDefault="00C2412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B4F7B">
      <w:rPr>
        <w:noProof/>
      </w:rPr>
      <w:t>V</w:t>
    </w:r>
    <w:r>
      <w:fldChar w:fldCharType="end"/>
    </w:r>
  </w:p>
  <w:p w14:paraId="6D345E0B" w14:textId="77777777" w:rsidR="00C24124" w:rsidRDefault="00C2412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C24124" w:rsidRDefault="00C24124">
    <w:pPr>
      <w:pStyle w:val="Kopfzeile"/>
      <w:pBdr>
        <w:bottom w:val="single" w:sz="6" w:space="1" w:color="auto"/>
      </w:pBdr>
      <w:tabs>
        <w:tab w:val="clear" w:pos="9072"/>
        <w:tab w:val="left" w:pos="6720"/>
        <w:tab w:val="right" w:pos="8222"/>
      </w:tabs>
    </w:pPr>
    <w:fldSimple w:instr=" STYLEREF  &quot;Überschrift 1&quot; ">
      <w:r w:rsidR="006510BC">
        <w:rPr>
          <w:noProof/>
        </w:rPr>
        <w:t>Entwurfsaspekte der Release-Management Standardtypen</w:t>
      </w:r>
    </w:fldSimple>
    <w:r>
      <w:tab/>
    </w:r>
    <w:r>
      <w:tab/>
    </w:r>
    <w:r>
      <w:fldChar w:fldCharType="begin"/>
    </w:r>
    <w:r>
      <w:instrText xml:space="preserve"> PAGE </w:instrText>
    </w:r>
    <w:r>
      <w:fldChar w:fldCharType="separate"/>
    </w:r>
    <w:r w:rsidR="006510BC">
      <w:rPr>
        <w:noProof/>
      </w:rPr>
      <w:t>22</w:t>
    </w:r>
    <w:r>
      <w:fldChar w:fldCharType="end"/>
    </w:r>
  </w:p>
  <w:p w14:paraId="5DCA97F4" w14:textId="77777777" w:rsidR="00C24124" w:rsidRDefault="00C2412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C24124" w:rsidRDefault="00C24124"/>
  <w:p w14:paraId="3EFEA5EC" w14:textId="77777777" w:rsidR="00C24124" w:rsidRDefault="00C2412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9">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4">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8"/>
  </w:num>
  <w:num w:numId="4">
    <w:abstractNumId w:val="5"/>
  </w:num>
  <w:num w:numId="5">
    <w:abstractNumId w:val="20"/>
  </w:num>
  <w:num w:numId="6">
    <w:abstractNumId w:val="2"/>
  </w:num>
  <w:num w:numId="7">
    <w:abstractNumId w:val="15"/>
  </w:num>
  <w:num w:numId="8">
    <w:abstractNumId w:val="25"/>
  </w:num>
  <w:num w:numId="9">
    <w:abstractNumId w:val="21"/>
  </w:num>
  <w:num w:numId="10">
    <w:abstractNumId w:val="6"/>
  </w:num>
  <w:num w:numId="11">
    <w:abstractNumId w:val="12"/>
  </w:num>
  <w:num w:numId="12">
    <w:abstractNumId w:val="14"/>
  </w:num>
  <w:num w:numId="13">
    <w:abstractNumId w:val="26"/>
  </w:num>
  <w:num w:numId="14">
    <w:abstractNumId w:val="0"/>
  </w:num>
  <w:num w:numId="15">
    <w:abstractNumId w:val="22"/>
  </w:num>
  <w:num w:numId="16">
    <w:abstractNumId w:val="19"/>
  </w:num>
  <w:num w:numId="17">
    <w:abstractNumId w:val="16"/>
  </w:num>
  <w:num w:numId="18">
    <w:abstractNumId w:val="4"/>
  </w:num>
  <w:num w:numId="19">
    <w:abstractNumId w:val="9"/>
  </w:num>
  <w:num w:numId="20">
    <w:abstractNumId w:val="7"/>
  </w:num>
  <w:num w:numId="21">
    <w:abstractNumId w:val="23"/>
  </w:num>
  <w:num w:numId="22">
    <w:abstractNumId w:val="24"/>
  </w:num>
  <w:num w:numId="23">
    <w:abstractNumId w:val="27"/>
  </w:num>
  <w:num w:numId="24">
    <w:abstractNumId w:val="17"/>
  </w:num>
  <w:num w:numId="25">
    <w:abstractNumId w:val="28"/>
  </w:num>
  <w:num w:numId="26">
    <w:abstractNumId w:val="11"/>
  </w:num>
  <w:num w:numId="27">
    <w:abstractNumId w:val="8"/>
  </w:num>
  <w:num w:numId="28">
    <w:abstractNumId w:val="13"/>
  </w:num>
  <w:num w:numId="29">
    <w:abstractNumId w:val="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A6B63"/>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7F8"/>
    <w:rsid w:val="00C46E62"/>
    <w:rsid w:val="00C47FFA"/>
    <w:rsid w:val="00C5437B"/>
    <w:rsid w:val="00C569D9"/>
    <w:rsid w:val="00C56BC2"/>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2FC04A51-D06F-F842-98DD-F5A00719B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39</Pages>
  <Words>10241</Words>
  <Characters>64523</Characters>
  <Application>Microsoft Macintosh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74615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99</cp:revision>
  <cp:lastPrinted>2005-07-19T18:06:00Z</cp:lastPrinted>
  <dcterms:created xsi:type="dcterms:W3CDTF">2016-01-27T20:00:00Z</dcterms:created>
  <dcterms:modified xsi:type="dcterms:W3CDTF">2016-04-25T16:06:00Z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