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BE775C" w:rsidRPr="00914102" w:rsidRDefault="00BE775C" w:rsidP="00A65D39">
                            <w:pPr>
                              <w:pStyle w:val="Vorgelegt"/>
                            </w:pPr>
                            <w:r>
                              <w:t>Vorgelegt der Fakultät für Wirtschaftswissenschaft</w:t>
                            </w:r>
                          </w:p>
                          <w:p w14:paraId="2DA42285" w14:textId="77777777" w:rsidR="00BE775C" w:rsidRDefault="00BE775C"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BE775C" w:rsidRDefault="00BE775C" w:rsidP="00A65D39">
                            <w:pPr>
                              <w:pStyle w:val="Vorgelegt"/>
                            </w:pPr>
                            <w:r>
                              <w:t>Lehrstuhl für Betriebswirtschaftslehre,</w:t>
                            </w:r>
                          </w:p>
                          <w:p w14:paraId="30ECB503" w14:textId="77777777" w:rsidR="00BE775C" w:rsidRPr="00D2428A" w:rsidRDefault="00BE775C"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BE775C" w:rsidRPr="00914102" w:rsidRDefault="00BE775C" w:rsidP="00A65D39">
                      <w:pPr>
                        <w:pStyle w:val="Vorgelegt"/>
                      </w:pPr>
                      <w:r>
                        <w:t>Vorgelegt der Fakultät für Wirtschaftswissenschaft</w:t>
                      </w:r>
                    </w:p>
                    <w:p w14:paraId="2DA42285" w14:textId="77777777" w:rsidR="00BE775C" w:rsidRDefault="00BE775C"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BE775C" w:rsidRDefault="00BE775C" w:rsidP="00A65D39">
                      <w:pPr>
                        <w:pStyle w:val="Vorgelegt"/>
                      </w:pPr>
                      <w:r>
                        <w:t>Lehrstuhl für Betriebswirtschaftslehre,</w:t>
                      </w:r>
                    </w:p>
                    <w:p w14:paraId="30ECB503" w14:textId="77777777" w:rsidR="00BE775C" w:rsidRPr="00D2428A" w:rsidRDefault="00BE775C"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3BAE7528" w14:textId="77777777" w:rsidR="00AA138C"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5589753" w:history="1">
        <w:r w:rsidR="00AA138C" w:rsidRPr="00196C69">
          <w:rPr>
            <w:rStyle w:val="Link"/>
          </w:rPr>
          <w:t>Abbildungsverzeichnis</w:t>
        </w:r>
        <w:r w:rsidR="00AA138C">
          <w:rPr>
            <w:webHidden/>
          </w:rPr>
          <w:tab/>
        </w:r>
        <w:r w:rsidR="00AA138C">
          <w:rPr>
            <w:webHidden/>
          </w:rPr>
          <w:fldChar w:fldCharType="begin"/>
        </w:r>
        <w:r w:rsidR="00AA138C">
          <w:rPr>
            <w:webHidden/>
          </w:rPr>
          <w:instrText xml:space="preserve"> PAGEREF _Toc455589753 \h </w:instrText>
        </w:r>
        <w:r w:rsidR="00AA138C">
          <w:rPr>
            <w:webHidden/>
          </w:rPr>
        </w:r>
        <w:r w:rsidR="00AA138C">
          <w:rPr>
            <w:webHidden/>
          </w:rPr>
          <w:fldChar w:fldCharType="separate"/>
        </w:r>
        <w:r w:rsidR="00AA138C">
          <w:rPr>
            <w:webHidden/>
          </w:rPr>
          <w:t>II</w:t>
        </w:r>
        <w:r w:rsidR="00AA138C">
          <w:rPr>
            <w:webHidden/>
          </w:rPr>
          <w:fldChar w:fldCharType="end"/>
        </w:r>
      </w:hyperlink>
    </w:p>
    <w:p w14:paraId="2ED15181" w14:textId="77777777" w:rsidR="00AA138C" w:rsidRDefault="00BE775C">
      <w:pPr>
        <w:pStyle w:val="Verzeichnis1"/>
        <w:rPr>
          <w:rFonts w:asciiTheme="minorHAnsi" w:eastAsiaTheme="minorEastAsia" w:hAnsiTheme="minorHAnsi" w:cstheme="minorBidi"/>
          <w:b w:val="0"/>
          <w:sz w:val="24"/>
          <w:szCs w:val="24"/>
        </w:rPr>
      </w:pPr>
      <w:hyperlink w:anchor="_Toc455589754" w:history="1">
        <w:r w:rsidR="00AA138C" w:rsidRPr="00196C69">
          <w:rPr>
            <w:rStyle w:val="Link"/>
          </w:rPr>
          <w:t>Tabellenverzeichnis</w:t>
        </w:r>
        <w:r w:rsidR="00AA138C">
          <w:rPr>
            <w:webHidden/>
          </w:rPr>
          <w:tab/>
        </w:r>
        <w:r w:rsidR="00AA138C">
          <w:rPr>
            <w:webHidden/>
          </w:rPr>
          <w:fldChar w:fldCharType="begin"/>
        </w:r>
        <w:r w:rsidR="00AA138C">
          <w:rPr>
            <w:webHidden/>
          </w:rPr>
          <w:instrText xml:space="preserve"> PAGEREF _Toc455589754 \h </w:instrText>
        </w:r>
        <w:r w:rsidR="00AA138C">
          <w:rPr>
            <w:webHidden/>
          </w:rPr>
        </w:r>
        <w:r w:rsidR="00AA138C">
          <w:rPr>
            <w:webHidden/>
          </w:rPr>
          <w:fldChar w:fldCharType="separate"/>
        </w:r>
        <w:r w:rsidR="00AA138C">
          <w:rPr>
            <w:webHidden/>
          </w:rPr>
          <w:t>III</w:t>
        </w:r>
        <w:r w:rsidR="00AA138C">
          <w:rPr>
            <w:webHidden/>
          </w:rPr>
          <w:fldChar w:fldCharType="end"/>
        </w:r>
      </w:hyperlink>
    </w:p>
    <w:p w14:paraId="2F3090C4" w14:textId="77777777" w:rsidR="00AA138C" w:rsidRDefault="00BE775C">
      <w:pPr>
        <w:pStyle w:val="Verzeichnis1"/>
        <w:rPr>
          <w:rFonts w:asciiTheme="minorHAnsi" w:eastAsiaTheme="minorEastAsia" w:hAnsiTheme="minorHAnsi" w:cstheme="minorBidi"/>
          <w:b w:val="0"/>
          <w:sz w:val="24"/>
          <w:szCs w:val="24"/>
        </w:rPr>
      </w:pPr>
      <w:hyperlink w:anchor="_Toc455589755" w:history="1">
        <w:r w:rsidR="00AA138C" w:rsidRPr="00196C69">
          <w:rPr>
            <w:rStyle w:val="Link"/>
            <w:lang w:val="en-US"/>
          </w:rPr>
          <w:t>Abkürzungsverzeichnis</w:t>
        </w:r>
        <w:r w:rsidR="00AA138C">
          <w:rPr>
            <w:webHidden/>
          </w:rPr>
          <w:tab/>
        </w:r>
        <w:r w:rsidR="00AA138C">
          <w:rPr>
            <w:webHidden/>
          </w:rPr>
          <w:fldChar w:fldCharType="begin"/>
        </w:r>
        <w:r w:rsidR="00AA138C">
          <w:rPr>
            <w:webHidden/>
          </w:rPr>
          <w:instrText xml:space="preserve"> PAGEREF _Toc455589755 \h </w:instrText>
        </w:r>
        <w:r w:rsidR="00AA138C">
          <w:rPr>
            <w:webHidden/>
          </w:rPr>
        </w:r>
        <w:r w:rsidR="00AA138C">
          <w:rPr>
            <w:webHidden/>
          </w:rPr>
          <w:fldChar w:fldCharType="separate"/>
        </w:r>
        <w:r w:rsidR="00AA138C">
          <w:rPr>
            <w:webHidden/>
          </w:rPr>
          <w:t>IV</w:t>
        </w:r>
        <w:r w:rsidR="00AA138C">
          <w:rPr>
            <w:webHidden/>
          </w:rPr>
          <w:fldChar w:fldCharType="end"/>
        </w:r>
      </w:hyperlink>
    </w:p>
    <w:p w14:paraId="752E6CF1" w14:textId="77777777" w:rsidR="00AA138C" w:rsidRDefault="00BE775C">
      <w:pPr>
        <w:pStyle w:val="Verzeichnis1"/>
        <w:rPr>
          <w:rFonts w:asciiTheme="minorHAnsi" w:eastAsiaTheme="minorEastAsia" w:hAnsiTheme="minorHAnsi" w:cstheme="minorBidi"/>
          <w:b w:val="0"/>
          <w:sz w:val="24"/>
          <w:szCs w:val="24"/>
        </w:rPr>
      </w:pPr>
      <w:hyperlink w:anchor="_Toc455589756" w:history="1">
        <w:r w:rsidR="00AA138C" w:rsidRPr="00196C69">
          <w:rPr>
            <w:rStyle w:val="Link"/>
          </w:rPr>
          <w:t>1</w:t>
        </w:r>
        <w:r w:rsidR="00AA138C">
          <w:rPr>
            <w:rFonts w:asciiTheme="minorHAnsi" w:eastAsiaTheme="minorEastAsia" w:hAnsiTheme="minorHAnsi" w:cstheme="minorBidi"/>
            <w:b w:val="0"/>
            <w:sz w:val="24"/>
            <w:szCs w:val="24"/>
          </w:rPr>
          <w:tab/>
        </w:r>
        <w:r w:rsidR="00AA138C" w:rsidRPr="00196C69">
          <w:rPr>
            <w:rStyle w:val="Link"/>
          </w:rPr>
          <w:t>Einleitung</w:t>
        </w:r>
        <w:r w:rsidR="00AA138C">
          <w:rPr>
            <w:webHidden/>
          </w:rPr>
          <w:tab/>
        </w:r>
        <w:r w:rsidR="00AA138C">
          <w:rPr>
            <w:webHidden/>
          </w:rPr>
          <w:fldChar w:fldCharType="begin"/>
        </w:r>
        <w:r w:rsidR="00AA138C">
          <w:rPr>
            <w:webHidden/>
          </w:rPr>
          <w:instrText xml:space="preserve"> PAGEREF _Toc455589756 \h </w:instrText>
        </w:r>
        <w:r w:rsidR="00AA138C">
          <w:rPr>
            <w:webHidden/>
          </w:rPr>
        </w:r>
        <w:r w:rsidR="00AA138C">
          <w:rPr>
            <w:webHidden/>
          </w:rPr>
          <w:fldChar w:fldCharType="separate"/>
        </w:r>
        <w:r w:rsidR="00AA138C">
          <w:rPr>
            <w:webHidden/>
          </w:rPr>
          <w:t>1</w:t>
        </w:r>
        <w:r w:rsidR="00AA138C">
          <w:rPr>
            <w:webHidden/>
          </w:rPr>
          <w:fldChar w:fldCharType="end"/>
        </w:r>
      </w:hyperlink>
    </w:p>
    <w:p w14:paraId="11164D2B" w14:textId="77777777" w:rsidR="00AA138C" w:rsidRDefault="00BE775C">
      <w:pPr>
        <w:pStyle w:val="Verzeichnis1"/>
        <w:rPr>
          <w:rFonts w:asciiTheme="minorHAnsi" w:eastAsiaTheme="minorEastAsia" w:hAnsiTheme="minorHAnsi" w:cstheme="minorBidi"/>
          <w:b w:val="0"/>
          <w:sz w:val="24"/>
          <w:szCs w:val="24"/>
        </w:rPr>
      </w:pPr>
      <w:hyperlink w:anchor="_Toc455589757" w:history="1">
        <w:r w:rsidR="00AA138C" w:rsidRPr="00196C69">
          <w:rPr>
            <w:rStyle w:val="Link"/>
          </w:rPr>
          <w:t>2</w:t>
        </w:r>
        <w:r w:rsidR="00AA138C">
          <w:rPr>
            <w:rFonts w:asciiTheme="minorHAnsi" w:eastAsiaTheme="minorEastAsia" w:hAnsiTheme="minorHAnsi" w:cstheme="minorBidi"/>
            <w:b w:val="0"/>
            <w:sz w:val="24"/>
            <w:szCs w:val="24"/>
          </w:rPr>
          <w:tab/>
        </w:r>
        <w:r w:rsidR="00AA138C" w:rsidRPr="00196C69">
          <w:rPr>
            <w:rStyle w:val="Link"/>
          </w:rPr>
          <w:t>Grundlagen</w:t>
        </w:r>
        <w:r w:rsidR="00AA138C">
          <w:rPr>
            <w:webHidden/>
          </w:rPr>
          <w:tab/>
        </w:r>
        <w:r w:rsidR="00AA138C">
          <w:rPr>
            <w:webHidden/>
          </w:rPr>
          <w:fldChar w:fldCharType="begin"/>
        </w:r>
        <w:r w:rsidR="00AA138C">
          <w:rPr>
            <w:webHidden/>
          </w:rPr>
          <w:instrText xml:space="preserve"> PAGEREF _Toc455589757 \h </w:instrText>
        </w:r>
        <w:r w:rsidR="00AA138C">
          <w:rPr>
            <w:webHidden/>
          </w:rPr>
        </w:r>
        <w:r w:rsidR="00AA138C">
          <w:rPr>
            <w:webHidden/>
          </w:rPr>
          <w:fldChar w:fldCharType="separate"/>
        </w:r>
        <w:r w:rsidR="00AA138C">
          <w:rPr>
            <w:webHidden/>
          </w:rPr>
          <w:t>3</w:t>
        </w:r>
        <w:r w:rsidR="00AA138C">
          <w:rPr>
            <w:webHidden/>
          </w:rPr>
          <w:fldChar w:fldCharType="end"/>
        </w:r>
      </w:hyperlink>
    </w:p>
    <w:p w14:paraId="1F9B2897" w14:textId="77777777" w:rsidR="00AA138C" w:rsidRDefault="00BE775C">
      <w:pPr>
        <w:pStyle w:val="Verzeichnis2"/>
        <w:rPr>
          <w:rFonts w:asciiTheme="minorHAnsi" w:eastAsiaTheme="minorEastAsia" w:hAnsiTheme="minorHAnsi" w:cstheme="minorBidi"/>
          <w:sz w:val="24"/>
          <w:szCs w:val="24"/>
        </w:rPr>
      </w:pPr>
      <w:hyperlink w:anchor="_Toc455589758" w:history="1">
        <w:r w:rsidR="00AA138C" w:rsidRPr="00196C69">
          <w:rPr>
            <w:rStyle w:val="Link"/>
          </w:rPr>
          <w:t>2.1</w:t>
        </w:r>
        <w:r w:rsidR="00AA138C">
          <w:rPr>
            <w:rFonts w:asciiTheme="minorHAnsi" w:eastAsiaTheme="minorEastAsia" w:hAnsiTheme="minorHAnsi" w:cstheme="minorBidi"/>
            <w:sz w:val="24"/>
            <w:szCs w:val="24"/>
          </w:rPr>
          <w:tab/>
        </w:r>
        <w:r w:rsidR="00AA138C" w:rsidRPr="00196C69">
          <w:rPr>
            <w:rStyle w:val="Link"/>
          </w:rPr>
          <w:t>Innovation zur Existenzsicherung</w:t>
        </w:r>
        <w:r w:rsidR="00AA138C">
          <w:rPr>
            <w:webHidden/>
          </w:rPr>
          <w:tab/>
        </w:r>
        <w:r w:rsidR="00AA138C">
          <w:rPr>
            <w:webHidden/>
          </w:rPr>
          <w:fldChar w:fldCharType="begin"/>
        </w:r>
        <w:r w:rsidR="00AA138C">
          <w:rPr>
            <w:webHidden/>
          </w:rPr>
          <w:instrText xml:space="preserve"> PAGEREF _Toc455589758 \h </w:instrText>
        </w:r>
        <w:r w:rsidR="00AA138C">
          <w:rPr>
            <w:webHidden/>
          </w:rPr>
        </w:r>
        <w:r w:rsidR="00AA138C">
          <w:rPr>
            <w:webHidden/>
          </w:rPr>
          <w:fldChar w:fldCharType="separate"/>
        </w:r>
        <w:r w:rsidR="00AA138C">
          <w:rPr>
            <w:webHidden/>
          </w:rPr>
          <w:t>3</w:t>
        </w:r>
        <w:r w:rsidR="00AA138C">
          <w:rPr>
            <w:webHidden/>
          </w:rPr>
          <w:fldChar w:fldCharType="end"/>
        </w:r>
      </w:hyperlink>
    </w:p>
    <w:p w14:paraId="1E70E4A7" w14:textId="77777777" w:rsidR="00AA138C" w:rsidRDefault="00BE775C">
      <w:pPr>
        <w:pStyle w:val="Verzeichnis2"/>
        <w:rPr>
          <w:rFonts w:asciiTheme="minorHAnsi" w:eastAsiaTheme="minorEastAsia" w:hAnsiTheme="minorHAnsi" w:cstheme="minorBidi"/>
          <w:sz w:val="24"/>
          <w:szCs w:val="24"/>
        </w:rPr>
      </w:pPr>
      <w:hyperlink w:anchor="_Toc455589759" w:history="1">
        <w:r w:rsidR="00AA138C" w:rsidRPr="00196C69">
          <w:rPr>
            <w:rStyle w:val="Link"/>
          </w:rPr>
          <w:t>2.2</w:t>
        </w:r>
        <w:r w:rsidR="00AA138C">
          <w:rPr>
            <w:rFonts w:asciiTheme="minorHAnsi" w:eastAsiaTheme="minorEastAsia" w:hAnsiTheme="minorHAnsi" w:cstheme="minorBidi"/>
            <w:sz w:val="24"/>
            <w:szCs w:val="24"/>
          </w:rPr>
          <w:tab/>
        </w:r>
        <w:r w:rsidR="00AA138C" w:rsidRPr="00196C69">
          <w:rPr>
            <w:rStyle w:val="Link"/>
          </w:rPr>
          <w:t>Innovationssteuerung durch Produkt-Management</w:t>
        </w:r>
        <w:r w:rsidR="00AA138C">
          <w:rPr>
            <w:webHidden/>
          </w:rPr>
          <w:tab/>
        </w:r>
        <w:r w:rsidR="00AA138C">
          <w:rPr>
            <w:webHidden/>
          </w:rPr>
          <w:fldChar w:fldCharType="begin"/>
        </w:r>
        <w:r w:rsidR="00AA138C">
          <w:rPr>
            <w:webHidden/>
          </w:rPr>
          <w:instrText xml:space="preserve"> PAGEREF _Toc455589759 \h </w:instrText>
        </w:r>
        <w:r w:rsidR="00AA138C">
          <w:rPr>
            <w:webHidden/>
          </w:rPr>
        </w:r>
        <w:r w:rsidR="00AA138C">
          <w:rPr>
            <w:webHidden/>
          </w:rPr>
          <w:fldChar w:fldCharType="separate"/>
        </w:r>
        <w:r w:rsidR="00AA138C">
          <w:rPr>
            <w:webHidden/>
          </w:rPr>
          <w:t>6</w:t>
        </w:r>
        <w:r w:rsidR="00AA138C">
          <w:rPr>
            <w:webHidden/>
          </w:rPr>
          <w:fldChar w:fldCharType="end"/>
        </w:r>
      </w:hyperlink>
    </w:p>
    <w:p w14:paraId="6C008C31" w14:textId="77777777" w:rsidR="00AA138C" w:rsidRDefault="00BE775C">
      <w:pPr>
        <w:pStyle w:val="Verzeichnis2"/>
        <w:rPr>
          <w:rFonts w:asciiTheme="minorHAnsi" w:eastAsiaTheme="minorEastAsia" w:hAnsiTheme="minorHAnsi" w:cstheme="minorBidi"/>
          <w:sz w:val="24"/>
          <w:szCs w:val="24"/>
        </w:rPr>
      </w:pPr>
      <w:hyperlink w:anchor="_Toc455589760" w:history="1">
        <w:r w:rsidR="00AA138C" w:rsidRPr="00196C69">
          <w:rPr>
            <w:rStyle w:val="Link"/>
          </w:rPr>
          <w:t>2.3</w:t>
        </w:r>
        <w:r w:rsidR="00AA138C">
          <w:rPr>
            <w:rFonts w:asciiTheme="minorHAnsi" w:eastAsiaTheme="minorEastAsia" w:hAnsiTheme="minorHAnsi" w:cstheme="minorBidi"/>
            <w:sz w:val="24"/>
            <w:szCs w:val="24"/>
          </w:rPr>
          <w:tab/>
        </w:r>
        <w:r w:rsidR="00AA138C" w:rsidRPr="00196C69">
          <w:rPr>
            <w:rStyle w:val="Link"/>
          </w:rPr>
          <w:t>Der Produktlebenszyklus</w:t>
        </w:r>
        <w:r w:rsidR="00AA138C">
          <w:rPr>
            <w:webHidden/>
          </w:rPr>
          <w:tab/>
        </w:r>
        <w:r w:rsidR="00AA138C">
          <w:rPr>
            <w:webHidden/>
          </w:rPr>
          <w:fldChar w:fldCharType="begin"/>
        </w:r>
        <w:r w:rsidR="00AA138C">
          <w:rPr>
            <w:webHidden/>
          </w:rPr>
          <w:instrText xml:space="preserve"> PAGEREF _Toc455589760 \h </w:instrText>
        </w:r>
        <w:r w:rsidR="00AA138C">
          <w:rPr>
            <w:webHidden/>
          </w:rPr>
        </w:r>
        <w:r w:rsidR="00AA138C">
          <w:rPr>
            <w:webHidden/>
          </w:rPr>
          <w:fldChar w:fldCharType="separate"/>
        </w:r>
        <w:r w:rsidR="00AA138C">
          <w:rPr>
            <w:webHidden/>
          </w:rPr>
          <w:t>7</w:t>
        </w:r>
        <w:r w:rsidR="00AA138C">
          <w:rPr>
            <w:webHidden/>
          </w:rPr>
          <w:fldChar w:fldCharType="end"/>
        </w:r>
      </w:hyperlink>
    </w:p>
    <w:p w14:paraId="6C0F3679" w14:textId="77777777" w:rsidR="00AA138C" w:rsidRDefault="00BE775C">
      <w:pPr>
        <w:pStyle w:val="Verzeichnis2"/>
        <w:rPr>
          <w:rFonts w:asciiTheme="minorHAnsi" w:eastAsiaTheme="minorEastAsia" w:hAnsiTheme="minorHAnsi" w:cstheme="minorBidi"/>
          <w:sz w:val="24"/>
          <w:szCs w:val="24"/>
        </w:rPr>
      </w:pPr>
      <w:hyperlink w:anchor="_Toc455589761" w:history="1">
        <w:r w:rsidR="00AA138C" w:rsidRPr="00196C69">
          <w:rPr>
            <w:rStyle w:val="Link"/>
          </w:rPr>
          <w:t>2.4</w:t>
        </w:r>
        <w:r w:rsidR="00AA138C">
          <w:rPr>
            <w:rFonts w:asciiTheme="minorHAnsi" w:eastAsiaTheme="minorEastAsia" w:hAnsiTheme="minorHAnsi" w:cstheme="minorBidi"/>
            <w:sz w:val="24"/>
            <w:szCs w:val="24"/>
          </w:rPr>
          <w:tab/>
        </w:r>
        <w:r w:rsidR="00AA138C" w:rsidRPr="00196C69">
          <w:rPr>
            <w:rStyle w:val="Link"/>
          </w:rPr>
          <w:t>Produktveröffentlichung durch Standards im Release-Management</w:t>
        </w:r>
        <w:r w:rsidR="00AA138C">
          <w:rPr>
            <w:webHidden/>
          </w:rPr>
          <w:tab/>
        </w:r>
        <w:r w:rsidR="00AA138C">
          <w:rPr>
            <w:webHidden/>
          </w:rPr>
          <w:fldChar w:fldCharType="begin"/>
        </w:r>
        <w:r w:rsidR="00AA138C">
          <w:rPr>
            <w:webHidden/>
          </w:rPr>
          <w:instrText xml:space="preserve"> PAGEREF _Toc455589761 \h </w:instrText>
        </w:r>
        <w:r w:rsidR="00AA138C">
          <w:rPr>
            <w:webHidden/>
          </w:rPr>
        </w:r>
        <w:r w:rsidR="00AA138C">
          <w:rPr>
            <w:webHidden/>
          </w:rPr>
          <w:fldChar w:fldCharType="separate"/>
        </w:r>
        <w:r w:rsidR="00AA138C">
          <w:rPr>
            <w:webHidden/>
          </w:rPr>
          <w:t>11</w:t>
        </w:r>
        <w:r w:rsidR="00AA138C">
          <w:rPr>
            <w:webHidden/>
          </w:rPr>
          <w:fldChar w:fldCharType="end"/>
        </w:r>
      </w:hyperlink>
    </w:p>
    <w:p w14:paraId="1EA9B7C5" w14:textId="77777777" w:rsidR="00AA138C" w:rsidRDefault="00BE775C">
      <w:pPr>
        <w:pStyle w:val="Verzeichnis1"/>
        <w:rPr>
          <w:rFonts w:asciiTheme="minorHAnsi" w:eastAsiaTheme="minorEastAsia" w:hAnsiTheme="minorHAnsi" w:cstheme="minorBidi"/>
          <w:b w:val="0"/>
          <w:sz w:val="24"/>
          <w:szCs w:val="24"/>
        </w:rPr>
      </w:pPr>
      <w:hyperlink w:anchor="_Toc455589762" w:history="1">
        <w:r w:rsidR="00AA138C" w:rsidRPr="00196C69">
          <w:rPr>
            <w:rStyle w:val="Link"/>
          </w:rPr>
          <w:t>3</w:t>
        </w:r>
        <w:r w:rsidR="00AA138C">
          <w:rPr>
            <w:rFonts w:asciiTheme="minorHAnsi" w:eastAsiaTheme="minorEastAsia" w:hAnsiTheme="minorHAnsi" w:cstheme="minorBidi"/>
            <w:b w:val="0"/>
            <w:sz w:val="24"/>
            <w:szCs w:val="24"/>
          </w:rPr>
          <w:tab/>
        </w:r>
        <w:r w:rsidR="00AA138C" w:rsidRPr="00196C69">
          <w:rPr>
            <w:rStyle w:val="Link"/>
          </w:rPr>
          <w:t>Risiken im Produktlebenszyklus als Basis der Standardtypen</w:t>
        </w:r>
        <w:r w:rsidR="00AA138C">
          <w:rPr>
            <w:webHidden/>
          </w:rPr>
          <w:tab/>
        </w:r>
        <w:r w:rsidR="00AA138C">
          <w:rPr>
            <w:webHidden/>
          </w:rPr>
          <w:fldChar w:fldCharType="begin"/>
        </w:r>
        <w:r w:rsidR="00AA138C">
          <w:rPr>
            <w:webHidden/>
          </w:rPr>
          <w:instrText xml:space="preserve"> PAGEREF _Toc455589762 \h </w:instrText>
        </w:r>
        <w:r w:rsidR="00AA138C">
          <w:rPr>
            <w:webHidden/>
          </w:rPr>
        </w:r>
        <w:r w:rsidR="00AA138C">
          <w:rPr>
            <w:webHidden/>
          </w:rPr>
          <w:fldChar w:fldCharType="separate"/>
        </w:r>
        <w:r w:rsidR="00AA138C">
          <w:rPr>
            <w:webHidden/>
          </w:rPr>
          <w:t>16</w:t>
        </w:r>
        <w:r w:rsidR="00AA138C">
          <w:rPr>
            <w:webHidden/>
          </w:rPr>
          <w:fldChar w:fldCharType="end"/>
        </w:r>
      </w:hyperlink>
    </w:p>
    <w:p w14:paraId="6FFBC520" w14:textId="77777777" w:rsidR="00AA138C" w:rsidRDefault="00BE775C">
      <w:pPr>
        <w:pStyle w:val="Verzeichnis2"/>
        <w:rPr>
          <w:rFonts w:asciiTheme="minorHAnsi" w:eastAsiaTheme="minorEastAsia" w:hAnsiTheme="minorHAnsi" w:cstheme="minorBidi"/>
          <w:sz w:val="24"/>
          <w:szCs w:val="24"/>
        </w:rPr>
      </w:pPr>
      <w:hyperlink w:anchor="_Toc455589763" w:history="1">
        <w:r w:rsidR="00AA138C" w:rsidRPr="00196C69">
          <w:rPr>
            <w:rStyle w:val="Link"/>
          </w:rPr>
          <w:t>3.1</w:t>
        </w:r>
        <w:r w:rsidR="00AA138C">
          <w:rPr>
            <w:rFonts w:asciiTheme="minorHAnsi" w:eastAsiaTheme="minorEastAsia" w:hAnsiTheme="minorHAnsi" w:cstheme="minorBidi"/>
            <w:sz w:val="24"/>
            <w:szCs w:val="24"/>
          </w:rPr>
          <w:tab/>
        </w:r>
        <w:r w:rsidR="00AA138C" w:rsidRPr="00196C69">
          <w:rPr>
            <w:rStyle w:val="Link"/>
          </w:rPr>
          <w:t>Entwicklung</w:t>
        </w:r>
        <w:r w:rsidR="00AA138C">
          <w:rPr>
            <w:webHidden/>
          </w:rPr>
          <w:tab/>
        </w:r>
        <w:r w:rsidR="00AA138C">
          <w:rPr>
            <w:webHidden/>
          </w:rPr>
          <w:fldChar w:fldCharType="begin"/>
        </w:r>
        <w:r w:rsidR="00AA138C">
          <w:rPr>
            <w:webHidden/>
          </w:rPr>
          <w:instrText xml:space="preserve"> PAGEREF _Toc455589763 \h </w:instrText>
        </w:r>
        <w:r w:rsidR="00AA138C">
          <w:rPr>
            <w:webHidden/>
          </w:rPr>
        </w:r>
        <w:r w:rsidR="00AA138C">
          <w:rPr>
            <w:webHidden/>
          </w:rPr>
          <w:fldChar w:fldCharType="separate"/>
        </w:r>
        <w:r w:rsidR="00AA138C">
          <w:rPr>
            <w:webHidden/>
          </w:rPr>
          <w:t>16</w:t>
        </w:r>
        <w:r w:rsidR="00AA138C">
          <w:rPr>
            <w:webHidden/>
          </w:rPr>
          <w:fldChar w:fldCharType="end"/>
        </w:r>
      </w:hyperlink>
    </w:p>
    <w:p w14:paraId="28C63E2F" w14:textId="77777777" w:rsidR="00AA138C" w:rsidRDefault="00BE775C">
      <w:pPr>
        <w:pStyle w:val="Verzeichnis2"/>
        <w:rPr>
          <w:rFonts w:asciiTheme="minorHAnsi" w:eastAsiaTheme="minorEastAsia" w:hAnsiTheme="minorHAnsi" w:cstheme="minorBidi"/>
          <w:sz w:val="24"/>
          <w:szCs w:val="24"/>
        </w:rPr>
      </w:pPr>
      <w:hyperlink w:anchor="_Toc455589764" w:history="1">
        <w:r w:rsidR="00AA138C" w:rsidRPr="00196C69">
          <w:rPr>
            <w:rStyle w:val="Link"/>
          </w:rPr>
          <w:t>3.2</w:t>
        </w:r>
        <w:r w:rsidR="00AA138C">
          <w:rPr>
            <w:rFonts w:asciiTheme="minorHAnsi" w:eastAsiaTheme="minorEastAsia" w:hAnsiTheme="minorHAnsi" w:cstheme="minorBidi"/>
            <w:sz w:val="24"/>
            <w:szCs w:val="24"/>
          </w:rPr>
          <w:tab/>
        </w:r>
        <w:r w:rsidR="00AA138C" w:rsidRPr="00196C69">
          <w:rPr>
            <w:rStyle w:val="Link"/>
          </w:rPr>
          <w:t>Einführung</w:t>
        </w:r>
        <w:r w:rsidR="00AA138C">
          <w:rPr>
            <w:webHidden/>
          </w:rPr>
          <w:tab/>
        </w:r>
        <w:r w:rsidR="00AA138C">
          <w:rPr>
            <w:webHidden/>
          </w:rPr>
          <w:fldChar w:fldCharType="begin"/>
        </w:r>
        <w:r w:rsidR="00AA138C">
          <w:rPr>
            <w:webHidden/>
          </w:rPr>
          <w:instrText xml:space="preserve"> PAGEREF _Toc455589764 \h </w:instrText>
        </w:r>
        <w:r w:rsidR="00AA138C">
          <w:rPr>
            <w:webHidden/>
          </w:rPr>
        </w:r>
        <w:r w:rsidR="00AA138C">
          <w:rPr>
            <w:webHidden/>
          </w:rPr>
          <w:fldChar w:fldCharType="separate"/>
        </w:r>
        <w:r w:rsidR="00AA138C">
          <w:rPr>
            <w:webHidden/>
          </w:rPr>
          <w:t>17</w:t>
        </w:r>
        <w:r w:rsidR="00AA138C">
          <w:rPr>
            <w:webHidden/>
          </w:rPr>
          <w:fldChar w:fldCharType="end"/>
        </w:r>
      </w:hyperlink>
    </w:p>
    <w:p w14:paraId="584C57BB" w14:textId="77777777" w:rsidR="00AA138C" w:rsidRDefault="00BE775C">
      <w:pPr>
        <w:pStyle w:val="Verzeichnis2"/>
        <w:rPr>
          <w:rFonts w:asciiTheme="minorHAnsi" w:eastAsiaTheme="minorEastAsia" w:hAnsiTheme="minorHAnsi" w:cstheme="minorBidi"/>
          <w:sz w:val="24"/>
          <w:szCs w:val="24"/>
        </w:rPr>
      </w:pPr>
      <w:hyperlink w:anchor="_Toc455589765" w:history="1">
        <w:r w:rsidR="00AA138C" w:rsidRPr="00196C69">
          <w:rPr>
            <w:rStyle w:val="Link"/>
          </w:rPr>
          <w:t>3.3</w:t>
        </w:r>
        <w:r w:rsidR="00AA138C">
          <w:rPr>
            <w:rFonts w:asciiTheme="minorHAnsi" w:eastAsiaTheme="minorEastAsia" w:hAnsiTheme="minorHAnsi" w:cstheme="minorBidi"/>
            <w:sz w:val="24"/>
            <w:szCs w:val="24"/>
          </w:rPr>
          <w:tab/>
        </w:r>
        <w:r w:rsidR="00AA138C" w:rsidRPr="00196C69">
          <w:rPr>
            <w:rStyle w:val="Link"/>
          </w:rPr>
          <w:t>Wachstum</w:t>
        </w:r>
        <w:r w:rsidR="00AA138C">
          <w:rPr>
            <w:webHidden/>
          </w:rPr>
          <w:tab/>
        </w:r>
        <w:r w:rsidR="00AA138C">
          <w:rPr>
            <w:webHidden/>
          </w:rPr>
          <w:fldChar w:fldCharType="begin"/>
        </w:r>
        <w:r w:rsidR="00AA138C">
          <w:rPr>
            <w:webHidden/>
          </w:rPr>
          <w:instrText xml:space="preserve"> PAGEREF _Toc455589765 \h </w:instrText>
        </w:r>
        <w:r w:rsidR="00AA138C">
          <w:rPr>
            <w:webHidden/>
          </w:rPr>
        </w:r>
        <w:r w:rsidR="00AA138C">
          <w:rPr>
            <w:webHidden/>
          </w:rPr>
          <w:fldChar w:fldCharType="separate"/>
        </w:r>
        <w:r w:rsidR="00AA138C">
          <w:rPr>
            <w:webHidden/>
          </w:rPr>
          <w:t>18</w:t>
        </w:r>
        <w:r w:rsidR="00AA138C">
          <w:rPr>
            <w:webHidden/>
          </w:rPr>
          <w:fldChar w:fldCharType="end"/>
        </w:r>
      </w:hyperlink>
    </w:p>
    <w:p w14:paraId="03CE85CB" w14:textId="77777777" w:rsidR="00AA138C" w:rsidRDefault="00BE775C">
      <w:pPr>
        <w:pStyle w:val="Verzeichnis2"/>
        <w:rPr>
          <w:rFonts w:asciiTheme="minorHAnsi" w:eastAsiaTheme="minorEastAsia" w:hAnsiTheme="minorHAnsi" w:cstheme="minorBidi"/>
          <w:sz w:val="24"/>
          <w:szCs w:val="24"/>
        </w:rPr>
      </w:pPr>
      <w:hyperlink w:anchor="_Toc455589766" w:history="1">
        <w:r w:rsidR="00AA138C" w:rsidRPr="00196C69">
          <w:rPr>
            <w:rStyle w:val="Link"/>
          </w:rPr>
          <w:t>3.4</w:t>
        </w:r>
        <w:r w:rsidR="00AA138C">
          <w:rPr>
            <w:rFonts w:asciiTheme="minorHAnsi" w:eastAsiaTheme="minorEastAsia" w:hAnsiTheme="minorHAnsi" w:cstheme="minorBidi"/>
            <w:sz w:val="24"/>
            <w:szCs w:val="24"/>
          </w:rPr>
          <w:tab/>
        </w:r>
        <w:r w:rsidR="00AA138C" w:rsidRPr="00196C69">
          <w:rPr>
            <w:rStyle w:val="Link"/>
          </w:rPr>
          <w:t>Reife</w:t>
        </w:r>
        <w:r w:rsidR="00AA138C">
          <w:rPr>
            <w:webHidden/>
          </w:rPr>
          <w:tab/>
        </w:r>
        <w:r w:rsidR="00AA138C">
          <w:rPr>
            <w:webHidden/>
          </w:rPr>
          <w:fldChar w:fldCharType="begin"/>
        </w:r>
        <w:r w:rsidR="00AA138C">
          <w:rPr>
            <w:webHidden/>
          </w:rPr>
          <w:instrText xml:space="preserve"> PAGEREF _Toc455589766 \h </w:instrText>
        </w:r>
        <w:r w:rsidR="00AA138C">
          <w:rPr>
            <w:webHidden/>
          </w:rPr>
        </w:r>
        <w:r w:rsidR="00AA138C">
          <w:rPr>
            <w:webHidden/>
          </w:rPr>
          <w:fldChar w:fldCharType="separate"/>
        </w:r>
        <w:r w:rsidR="00AA138C">
          <w:rPr>
            <w:webHidden/>
          </w:rPr>
          <w:t>19</w:t>
        </w:r>
        <w:r w:rsidR="00AA138C">
          <w:rPr>
            <w:webHidden/>
          </w:rPr>
          <w:fldChar w:fldCharType="end"/>
        </w:r>
      </w:hyperlink>
    </w:p>
    <w:p w14:paraId="24EF5C98" w14:textId="77777777" w:rsidR="00AA138C" w:rsidRDefault="00BE775C">
      <w:pPr>
        <w:pStyle w:val="Verzeichnis2"/>
        <w:rPr>
          <w:rFonts w:asciiTheme="minorHAnsi" w:eastAsiaTheme="minorEastAsia" w:hAnsiTheme="minorHAnsi" w:cstheme="minorBidi"/>
          <w:sz w:val="24"/>
          <w:szCs w:val="24"/>
        </w:rPr>
      </w:pPr>
      <w:hyperlink w:anchor="_Toc455589767" w:history="1">
        <w:r w:rsidR="00AA138C" w:rsidRPr="00196C69">
          <w:rPr>
            <w:rStyle w:val="Link"/>
          </w:rPr>
          <w:t>3.5</w:t>
        </w:r>
        <w:r w:rsidR="00AA138C">
          <w:rPr>
            <w:rFonts w:asciiTheme="minorHAnsi" w:eastAsiaTheme="minorEastAsia" w:hAnsiTheme="minorHAnsi" w:cstheme="minorBidi"/>
            <w:sz w:val="24"/>
            <w:szCs w:val="24"/>
          </w:rPr>
          <w:tab/>
        </w:r>
        <w:r w:rsidR="00AA138C" w:rsidRPr="00196C69">
          <w:rPr>
            <w:rStyle w:val="Link"/>
          </w:rPr>
          <w:t>Entsorgung</w:t>
        </w:r>
        <w:r w:rsidR="00AA138C">
          <w:rPr>
            <w:webHidden/>
          </w:rPr>
          <w:tab/>
        </w:r>
        <w:r w:rsidR="00AA138C">
          <w:rPr>
            <w:webHidden/>
          </w:rPr>
          <w:fldChar w:fldCharType="begin"/>
        </w:r>
        <w:r w:rsidR="00AA138C">
          <w:rPr>
            <w:webHidden/>
          </w:rPr>
          <w:instrText xml:space="preserve"> PAGEREF _Toc455589767 \h </w:instrText>
        </w:r>
        <w:r w:rsidR="00AA138C">
          <w:rPr>
            <w:webHidden/>
          </w:rPr>
        </w:r>
        <w:r w:rsidR="00AA138C">
          <w:rPr>
            <w:webHidden/>
          </w:rPr>
          <w:fldChar w:fldCharType="separate"/>
        </w:r>
        <w:r w:rsidR="00AA138C">
          <w:rPr>
            <w:webHidden/>
          </w:rPr>
          <w:t>19</w:t>
        </w:r>
        <w:r w:rsidR="00AA138C">
          <w:rPr>
            <w:webHidden/>
          </w:rPr>
          <w:fldChar w:fldCharType="end"/>
        </w:r>
      </w:hyperlink>
    </w:p>
    <w:p w14:paraId="0DBFEE44" w14:textId="77777777" w:rsidR="00AA138C" w:rsidRDefault="00BE775C">
      <w:pPr>
        <w:pStyle w:val="Verzeichnis2"/>
        <w:rPr>
          <w:rFonts w:asciiTheme="minorHAnsi" w:eastAsiaTheme="minorEastAsia" w:hAnsiTheme="minorHAnsi" w:cstheme="minorBidi"/>
          <w:sz w:val="24"/>
          <w:szCs w:val="24"/>
        </w:rPr>
      </w:pPr>
      <w:hyperlink w:anchor="_Toc455589768" w:history="1">
        <w:r w:rsidR="00AA138C" w:rsidRPr="00196C69">
          <w:rPr>
            <w:rStyle w:val="Link"/>
          </w:rPr>
          <w:t>3.6</w:t>
        </w:r>
        <w:r w:rsidR="00AA138C">
          <w:rPr>
            <w:rFonts w:asciiTheme="minorHAnsi" w:eastAsiaTheme="minorEastAsia" w:hAnsiTheme="minorHAnsi" w:cstheme="minorBidi"/>
            <w:sz w:val="24"/>
            <w:szCs w:val="24"/>
          </w:rPr>
          <w:tab/>
        </w:r>
        <w:r w:rsidR="00AA138C" w:rsidRPr="00196C69">
          <w:rPr>
            <w:rStyle w:val="Link"/>
          </w:rPr>
          <w:t>Zusammenfassung der Risiken in den Phasen</w:t>
        </w:r>
        <w:r w:rsidR="00AA138C">
          <w:rPr>
            <w:webHidden/>
          </w:rPr>
          <w:tab/>
        </w:r>
        <w:r w:rsidR="00AA138C">
          <w:rPr>
            <w:webHidden/>
          </w:rPr>
          <w:fldChar w:fldCharType="begin"/>
        </w:r>
        <w:r w:rsidR="00AA138C">
          <w:rPr>
            <w:webHidden/>
          </w:rPr>
          <w:instrText xml:space="preserve"> PAGEREF _Toc455589768 \h </w:instrText>
        </w:r>
        <w:r w:rsidR="00AA138C">
          <w:rPr>
            <w:webHidden/>
          </w:rPr>
        </w:r>
        <w:r w:rsidR="00AA138C">
          <w:rPr>
            <w:webHidden/>
          </w:rPr>
          <w:fldChar w:fldCharType="separate"/>
        </w:r>
        <w:r w:rsidR="00AA138C">
          <w:rPr>
            <w:webHidden/>
          </w:rPr>
          <w:t>20</w:t>
        </w:r>
        <w:r w:rsidR="00AA138C">
          <w:rPr>
            <w:webHidden/>
          </w:rPr>
          <w:fldChar w:fldCharType="end"/>
        </w:r>
      </w:hyperlink>
    </w:p>
    <w:p w14:paraId="17245F47" w14:textId="77777777" w:rsidR="00AA138C" w:rsidRDefault="00BE775C">
      <w:pPr>
        <w:pStyle w:val="Verzeichnis1"/>
        <w:rPr>
          <w:rFonts w:asciiTheme="minorHAnsi" w:eastAsiaTheme="minorEastAsia" w:hAnsiTheme="minorHAnsi" w:cstheme="minorBidi"/>
          <w:b w:val="0"/>
          <w:sz w:val="24"/>
          <w:szCs w:val="24"/>
        </w:rPr>
      </w:pPr>
      <w:hyperlink w:anchor="_Toc455589769" w:history="1">
        <w:r w:rsidR="00AA138C" w:rsidRPr="00196C69">
          <w:rPr>
            <w:rStyle w:val="Link"/>
          </w:rPr>
          <w:t>4</w:t>
        </w:r>
        <w:r w:rsidR="00AA138C">
          <w:rPr>
            <w:rFonts w:asciiTheme="minorHAnsi" w:eastAsiaTheme="minorEastAsia" w:hAnsiTheme="minorHAnsi" w:cstheme="minorBidi"/>
            <w:b w:val="0"/>
            <w:sz w:val="24"/>
            <w:szCs w:val="24"/>
          </w:rPr>
          <w:tab/>
        </w:r>
        <w:r w:rsidR="00AA138C" w:rsidRPr="00196C69">
          <w:rPr>
            <w:rStyle w:val="Link"/>
          </w:rPr>
          <w:t>Faktoren des Release-Managements zum Umgang mit Risiken</w:t>
        </w:r>
        <w:r w:rsidR="00AA138C">
          <w:rPr>
            <w:webHidden/>
          </w:rPr>
          <w:tab/>
        </w:r>
        <w:r w:rsidR="00AA138C">
          <w:rPr>
            <w:webHidden/>
          </w:rPr>
          <w:fldChar w:fldCharType="begin"/>
        </w:r>
        <w:r w:rsidR="00AA138C">
          <w:rPr>
            <w:webHidden/>
          </w:rPr>
          <w:instrText xml:space="preserve"> PAGEREF _Toc455589769 \h </w:instrText>
        </w:r>
        <w:r w:rsidR="00AA138C">
          <w:rPr>
            <w:webHidden/>
          </w:rPr>
        </w:r>
        <w:r w:rsidR="00AA138C">
          <w:rPr>
            <w:webHidden/>
          </w:rPr>
          <w:fldChar w:fldCharType="separate"/>
        </w:r>
        <w:r w:rsidR="00AA138C">
          <w:rPr>
            <w:webHidden/>
          </w:rPr>
          <w:t>22</w:t>
        </w:r>
        <w:r w:rsidR="00AA138C">
          <w:rPr>
            <w:webHidden/>
          </w:rPr>
          <w:fldChar w:fldCharType="end"/>
        </w:r>
      </w:hyperlink>
    </w:p>
    <w:p w14:paraId="6967DF96" w14:textId="77777777" w:rsidR="00AA138C" w:rsidRDefault="00BE775C">
      <w:pPr>
        <w:pStyle w:val="Verzeichnis2"/>
        <w:rPr>
          <w:rFonts w:asciiTheme="minorHAnsi" w:eastAsiaTheme="minorEastAsia" w:hAnsiTheme="minorHAnsi" w:cstheme="minorBidi"/>
          <w:sz w:val="24"/>
          <w:szCs w:val="24"/>
        </w:rPr>
      </w:pPr>
      <w:hyperlink w:anchor="_Toc455589770" w:history="1">
        <w:r w:rsidR="00AA138C" w:rsidRPr="00196C69">
          <w:rPr>
            <w:rStyle w:val="Link"/>
          </w:rPr>
          <w:t>4.1</w:t>
        </w:r>
        <w:r w:rsidR="00AA138C">
          <w:rPr>
            <w:rFonts w:asciiTheme="minorHAnsi" w:eastAsiaTheme="minorEastAsia" w:hAnsiTheme="minorHAnsi" w:cstheme="minorBidi"/>
            <w:sz w:val="24"/>
            <w:szCs w:val="24"/>
          </w:rPr>
          <w:tab/>
        </w:r>
        <w:r w:rsidR="00AA138C" w:rsidRPr="00196C69">
          <w:rPr>
            <w:rStyle w:val="Link"/>
          </w:rPr>
          <w:t>Transition Planning and Support</w:t>
        </w:r>
        <w:r w:rsidR="00AA138C">
          <w:rPr>
            <w:webHidden/>
          </w:rPr>
          <w:tab/>
        </w:r>
        <w:r w:rsidR="00AA138C">
          <w:rPr>
            <w:webHidden/>
          </w:rPr>
          <w:fldChar w:fldCharType="begin"/>
        </w:r>
        <w:r w:rsidR="00AA138C">
          <w:rPr>
            <w:webHidden/>
          </w:rPr>
          <w:instrText xml:space="preserve"> PAGEREF _Toc455589770 \h </w:instrText>
        </w:r>
        <w:r w:rsidR="00AA138C">
          <w:rPr>
            <w:webHidden/>
          </w:rPr>
        </w:r>
        <w:r w:rsidR="00AA138C">
          <w:rPr>
            <w:webHidden/>
          </w:rPr>
          <w:fldChar w:fldCharType="separate"/>
        </w:r>
        <w:r w:rsidR="00AA138C">
          <w:rPr>
            <w:webHidden/>
          </w:rPr>
          <w:t>22</w:t>
        </w:r>
        <w:r w:rsidR="00AA138C">
          <w:rPr>
            <w:webHidden/>
          </w:rPr>
          <w:fldChar w:fldCharType="end"/>
        </w:r>
      </w:hyperlink>
    </w:p>
    <w:p w14:paraId="50F9718E" w14:textId="77777777" w:rsidR="00AA138C" w:rsidRDefault="00BE775C">
      <w:pPr>
        <w:pStyle w:val="Verzeichnis2"/>
        <w:rPr>
          <w:rFonts w:asciiTheme="minorHAnsi" w:eastAsiaTheme="minorEastAsia" w:hAnsiTheme="minorHAnsi" w:cstheme="minorBidi"/>
          <w:sz w:val="24"/>
          <w:szCs w:val="24"/>
        </w:rPr>
      </w:pPr>
      <w:hyperlink w:anchor="_Toc455589771" w:history="1">
        <w:r w:rsidR="00AA138C" w:rsidRPr="00196C69">
          <w:rPr>
            <w:rStyle w:val="Link"/>
          </w:rPr>
          <w:t>4.2</w:t>
        </w:r>
        <w:r w:rsidR="00AA138C">
          <w:rPr>
            <w:rFonts w:asciiTheme="minorHAnsi" w:eastAsiaTheme="minorEastAsia" w:hAnsiTheme="minorHAnsi" w:cstheme="minorBidi"/>
            <w:sz w:val="24"/>
            <w:szCs w:val="24"/>
          </w:rPr>
          <w:tab/>
        </w:r>
        <w:r w:rsidR="00AA138C" w:rsidRPr="00196C69">
          <w:rPr>
            <w:rStyle w:val="Link"/>
          </w:rPr>
          <w:t>Change Management</w:t>
        </w:r>
        <w:r w:rsidR="00AA138C">
          <w:rPr>
            <w:webHidden/>
          </w:rPr>
          <w:tab/>
        </w:r>
        <w:r w:rsidR="00AA138C">
          <w:rPr>
            <w:webHidden/>
          </w:rPr>
          <w:fldChar w:fldCharType="begin"/>
        </w:r>
        <w:r w:rsidR="00AA138C">
          <w:rPr>
            <w:webHidden/>
          </w:rPr>
          <w:instrText xml:space="preserve"> PAGEREF _Toc455589771 \h </w:instrText>
        </w:r>
        <w:r w:rsidR="00AA138C">
          <w:rPr>
            <w:webHidden/>
          </w:rPr>
        </w:r>
        <w:r w:rsidR="00AA138C">
          <w:rPr>
            <w:webHidden/>
          </w:rPr>
          <w:fldChar w:fldCharType="separate"/>
        </w:r>
        <w:r w:rsidR="00AA138C">
          <w:rPr>
            <w:webHidden/>
          </w:rPr>
          <w:t>24</w:t>
        </w:r>
        <w:r w:rsidR="00AA138C">
          <w:rPr>
            <w:webHidden/>
          </w:rPr>
          <w:fldChar w:fldCharType="end"/>
        </w:r>
      </w:hyperlink>
    </w:p>
    <w:p w14:paraId="0C863C4A" w14:textId="77777777" w:rsidR="00AA138C" w:rsidRDefault="00BE775C">
      <w:pPr>
        <w:pStyle w:val="Verzeichnis2"/>
        <w:rPr>
          <w:rFonts w:asciiTheme="minorHAnsi" w:eastAsiaTheme="minorEastAsia" w:hAnsiTheme="minorHAnsi" w:cstheme="minorBidi"/>
          <w:sz w:val="24"/>
          <w:szCs w:val="24"/>
        </w:rPr>
      </w:pPr>
      <w:hyperlink w:anchor="_Toc455589772" w:history="1">
        <w:r w:rsidR="00AA138C" w:rsidRPr="00196C69">
          <w:rPr>
            <w:rStyle w:val="Link"/>
          </w:rPr>
          <w:t>4.3</w:t>
        </w:r>
        <w:r w:rsidR="00AA138C">
          <w:rPr>
            <w:rFonts w:asciiTheme="minorHAnsi" w:eastAsiaTheme="minorEastAsia" w:hAnsiTheme="minorHAnsi" w:cstheme="minorBidi"/>
            <w:sz w:val="24"/>
            <w:szCs w:val="24"/>
          </w:rPr>
          <w:tab/>
        </w:r>
        <w:r w:rsidR="00AA138C" w:rsidRPr="00196C69">
          <w:rPr>
            <w:rStyle w:val="Link"/>
          </w:rPr>
          <w:t>Service Asset And Configuration Management</w:t>
        </w:r>
        <w:r w:rsidR="00AA138C">
          <w:rPr>
            <w:webHidden/>
          </w:rPr>
          <w:tab/>
        </w:r>
        <w:r w:rsidR="00AA138C">
          <w:rPr>
            <w:webHidden/>
          </w:rPr>
          <w:fldChar w:fldCharType="begin"/>
        </w:r>
        <w:r w:rsidR="00AA138C">
          <w:rPr>
            <w:webHidden/>
          </w:rPr>
          <w:instrText xml:space="preserve"> PAGEREF _Toc455589772 \h </w:instrText>
        </w:r>
        <w:r w:rsidR="00AA138C">
          <w:rPr>
            <w:webHidden/>
          </w:rPr>
        </w:r>
        <w:r w:rsidR="00AA138C">
          <w:rPr>
            <w:webHidden/>
          </w:rPr>
          <w:fldChar w:fldCharType="separate"/>
        </w:r>
        <w:r w:rsidR="00AA138C">
          <w:rPr>
            <w:webHidden/>
          </w:rPr>
          <w:t>27</w:t>
        </w:r>
        <w:r w:rsidR="00AA138C">
          <w:rPr>
            <w:webHidden/>
          </w:rPr>
          <w:fldChar w:fldCharType="end"/>
        </w:r>
      </w:hyperlink>
    </w:p>
    <w:p w14:paraId="14C3A559" w14:textId="77777777" w:rsidR="00AA138C" w:rsidRDefault="00BE775C">
      <w:pPr>
        <w:pStyle w:val="Verzeichnis2"/>
        <w:rPr>
          <w:rFonts w:asciiTheme="minorHAnsi" w:eastAsiaTheme="minorEastAsia" w:hAnsiTheme="minorHAnsi" w:cstheme="minorBidi"/>
          <w:sz w:val="24"/>
          <w:szCs w:val="24"/>
        </w:rPr>
      </w:pPr>
      <w:hyperlink w:anchor="_Toc455589773" w:history="1">
        <w:r w:rsidR="00AA138C" w:rsidRPr="00196C69">
          <w:rPr>
            <w:rStyle w:val="Link"/>
          </w:rPr>
          <w:t>4.4</w:t>
        </w:r>
        <w:r w:rsidR="00AA138C">
          <w:rPr>
            <w:rFonts w:asciiTheme="minorHAnsi" w:eastAsiaTheme="minorEastAsia" w:hAnsiTheme="minorHAnsi" w:cstheme="minorBidi"/>
            <w:sz w:val="24"/>
            <w:szCs w:val="24"/>
          </w:rPr>
          <w:tab/>
        </w:r>
        <w:r w:rsidR="00AA138C" w:rsidRPr="00196C69">
          <w:rPr>
            <w:rStyle w:val="Link"/>
          </w:rPr>
          <w:t>Release And Deployment Management</w:t>
        </w:r>
        <w:r w:rsidR="00AA138C">
          <w:rPr>
            <w:webHidden/>
          </w:rPr>
          <w:tab/>
        </w:r>
        <w:r w:rsidR="00AA138C">
          <w:rPr>
            <w:webHidden/>
          </w:rPr>
          <w:fldChar w:fldCharType="begin"/>
        </w:r>
        <w:r w:rsidR="00AA138C">
          <w:rPr>
            <w:webHidden/>
          </w:rPr>
          <w:instrText xml:space="preserve"> PAGEREF _Toc455589773 \h </w:instrText>
        </w:r>
        <w:r w:rsidR="00AA138C">
          <w:rPr>
            <w:webHidden/>
          </w:rPr>
        </w:r>
        <w:r w:rsidR="00AA138C">
          <w:rPr>
            <w:webHidden/>
          </w:rPr>
          <w:fldChar w:fldCharType="separate"/>
        </w:r>
        <w:r w:rsidR="00AA138C">
          <w:rPr>
            <w:webHidden/>
          </w:rPr>
          <w:t>28</w:t>
        </w:r>
        <w:r w:rsidR="00AA138C">
          <w:rPr>
            <w:webHidden/>
          </w:rPr>
          <w:fldChar w:fldCharType="end"/>
        </w:r>
      </w:hyperlink>
    </w:p>
    <w:p w14:paraId="30AAFF3B" w14:textId="77777777" w:rsidR="00AA138C" w:rsidRDefault="00BE775C">
      <w:pPr>
        <w:pStyle w:val="Verzeichnis2"/>
        <w:rPr>
          <w:rFonts w:asciiTheme="minorHAnsi" w:eastAsiaTheme="minorEastAsia" w:hAnsiTheme="minorHAnsi" w:cstheme="minorBidi"/>
          <w:sz w:val="24"/>
          <w:szCs w:val="24"/>
        </w:rPr>
      </w:pPr>
      <w:hyperlink w:anchor="_Toc455589774" w:history="1">
        <w:r w:rsidR="00AA138C" w:rsidRPr="00196C69">
          <w:rPr>
            <w:rStyle w:val="Link"/>
          </w:rPr>
          <w:t>4.5</w:t>
        </w:r>
        <w:r w:rsidR="00AA138C">
          <w:rPr>
            <w:rFonts w:asciiTheme="minorHAnsi" w:eastAsiaTheme="minorEastAsia" w:hAnsiTheme="minorHAnsi" w:cstheme="minorBidi"/>
            <w:sz w:val="24"/>
            <w:szCs w:val="24"/>
          </w:rPr>
          <w:tab/>
        </w:r>
        <w:r w:rsidR="00AA138C" w:rsidRPr="00196C69">
          <w:rPr>
            <w:rStyle w:val="Link"/>
          </w:rPr>
          <w:t>Service Validation And Testing</w:t>
        </w:r>
        <w:r w:rsidR="00AA138C">
          <w:rPr>
            <w:webHidden/>
          </w:rPr>
          <w:tab/>
        </w:r>
        <w:r w:rsidR="00AA138C">
          <w:rPr>
            <w:webHidden/>
          </w:rPr>
          <w:fldChar w:fldCharType="begin"/>
        </w:r>
        <w:r w:rsidR="00AA138C">
          <w:rPr>
            <w:webHidden/>
          </w:rPr>
          <w:instrText xml:space="preserve"> PAGEREF _Toc455589774 \h </w:instrText>
        </w:r>
        <w:r w:rsidR="00AA138C">
          <w:rPr>
            <w:webHidden/>
          </w:rPr>
        </w:r>
        <w:r w:rsidR="00AA138C">
          <w:rPr>
            <w:webHidden/>
          </w:rPr>
          <w:fldChar w:fldCharType="separate"/>
        </w:r>
        <w:r w:rsidR="00AA138C">
          <w:rPr>
            <w:webHidden/>
          </w:rPr>
          <w:t>31</w:t>
        </w:r>
        <w:r w:rsidR="00AA138C">
          <w:rPr>
            <w:webHidden/>
          </w:rPr>
          <w:fldChar w:fldCharType="end"/>
        </w:r>
      </w:hyperlink>
    </w:p>
    <w:p w14:paraId="2B0E413E" w14:textId="77777777" w:rsidR="00AA138C" w:rsidRDefault="00BE775C">
      <w:pPr>
        <w:pStyle w:val="Verzeichnis2"/>
        <w:rPr>
          <w:rFonts w:asciiTheme="minorHAnsi" w:eastAsiaTheme="minorEastAsia" w:hAnsiTheme="minorHAnsi" w:cstheme="minorBidi"/>
          <w:sz w:val="24"/>
          <w:szCs w:val="24"/>
        </w:rPr>
      </w:pPr>
      <w:hyperlink w:anchor="_Toc455589775" w:history="1">
        <w:r w:rsidR="00AA138C" w:rsidRPr="00196C69">
          <w:rPr>
            <w:rStyle w:val="Link"/>
          </w:rPr>
          <w:t>4.6</w:t>
        </w:r>
        <w:r w:rsidR="00AA138C">
          <w:rPr>
            <w:rFonts w:asciiTheme="minorHAnsi" w:eastAsiaTheme="minorEastAsia" w:hAnsiTheme="minorHAnsi" w:cstheme="minorBidi"/>
            <w:sz w:val="24"/>
            <w:szCs w:val="24"/>
          </w:rPr>
          <w:tab/>
        </w:r>
        <w:r w:rsidR="00AA138C" w:rsidRPr="00196C69">
          <w:rPr>
            <w:rStyle w:val="Link"/>
          </w:rPr>
          <w:t>Change Evaluation</w:t>
        </w:r>
        <w:r w:rsidR="00AA138C">
          <w:rPr>
            <w:webHidden/>
          </w:rPr>
          <w:tab/>
        </w:r>
        <w:r w:rsidR="00AA138C">
          <w:rPr>
            <w:webHidden/>
          </w:rPr>
          <w:fldChar w:fldCharType="begin"/>
        </w:r>
        <w:r w:rsidR="00AA138C">
          <w:rPr>
            <w:webHidden/>
          </w:rPr>
          <w:instrText xml:space="preserve"> PAGEREF _Toc455589775 \h </w:instrText>
        </w:r>
        <w:r w:rsidR="00AA138C">
          <w:rPr>
            <w:webHidden/>
          </w:rPr>
        </w:r>
        <w:r w:rsidR="00AA138C">
          <w:rPr>
            <w:webHidden/>
          </w:rPr>
          <w:fldChar w:fldCharType="separate"/>
        </w:r>
        <w:r w:rsidR="00AA138C">
          <w:rPr>
            <w:webHidden/>
          </w:rPr>
          <w:t>34</w:t>
        </w:r>
        <w:r w:rsidR="00AA138C">
          <w:rPr>
            <w:webHidden/>
          </w:rPr>
          <w:fldChar w:fldCharType="end"/>
        </w:r>
      </w:hyperlink>
    </w:p>
    <w:p w14:paraId="5CE9B3F3" w14:textId="77777777" w:rsidR="00AA138C" w:rsidRDefault="00BE775C">
      <w:pPr>
        <w:pStyle w:val="Verzeichnis2"/>
        <w:rPr>
          <w:rFonts w:asciiTheme="minorHAnsi" w:eastAsiaTheme="minorEastAsia" w:hAnsiTheme="minorHAnsi" w:cstheme="minorBidi"/>
          <w:sz w:val="24"/>
          <w:szCs w:val="24"/>
        </w:rPr>
      </w:pPr>
      <w:hyperlink w:anchor="_Toc455589776" w:history="1">
        <w:r w:rsidR="00AA138C" w:rsidRPr="00196C69">
          <w:rPr>
            <w:rStyle w:val="Link"/>
          </w:rPr>
          <w:t>4.7</w:t>
        </w:r>
        <w:r w:rsidR="00AA138C">
          <w:rPr>
            <w:rFonts w:asciiTheme="minorHAnsi" w:eastAsiaTheme="minorEastAsia" w:hAnsiTheme="minorHAnsi" w:cstheme="minorBidi"/>
            <w:sz w:val="24"/>
            <w:szCs w:val="24"/>
          </w:rPr>
          <w:tab/>
        </w:r>
        <w:r w:rsidR="00AA138C" w:rsidRPr="00196C69">
          <w:rPr>
            <w:rStyle w:val="Link"/>
          </w:rPr>
          <w:t>Knowledge Management</w:t>
        </w:r>
        <w:r w:rsidR="00AA138C">
          <w:rPr>
            <w:webHidden/>
          </w:rPr>
          <w:tab/>
        </w:r>
        <w:r w:rsidR="00AA138C">
          <w:rPr>
            <w:webHidden/>
          </w:rPr>
          <w:fldChar w:fldCharType="begin"/>
        </w:r>
        <w:r w:rsidR="00AA138C">
          <w:rPr>
            <w:webHidden/>
          </w:rPr>
          <w:instrText xml:space="preserve"> PAGEREF _Toc455589776 \h </w:instrText>
        </w:r>
        <w:r w:rsidR="00AA138C">
          <w:rPr>
            <w:webHidden/>
          </w:rPr>
        </w:r>
        <w:r w:rsidR="00AA138C">
          <w:rPr>
            <w:webHidden/>
          </w:rPr>
          <w:fldChar w:fldCharType="separate"/>
        </w:r>
        <w:r w:rsidR="00AA138C">
          <w:rPr>
            <w:webHidden/>
          </w:rPr>
          <w:t>35</w:t>
        </w:r>
        <w:r w:rsidR="00AA138C">
          <w:rPr>
            <w:webHidden/>
          </w:rPr>
          <w:fldChar w:fldCharType="end"/>
        </w:r>
      </w:hyperlink>
    </w:p>
    <w:p w14:paraId="0CA9559C" w14:textId="77777777" w:rsidR="00AA138C" w:rsidRDefault="00BE775C">
      <w:pPr>
        <w:pStyle w:val="Verzeichnis2"/>
        <w:rPr>
          <w:rFonts w:asciiTheme="minorHAnsi" w:eastAsiaTheme="minorEastAsia" w:hAnsiTheme="minorHAnsi" w:cstheme="minorBidi"/>
          <w:sz w:val="24"/>
          <w:szCs w:val="24"/>
        </w:rPr>
      </w:pPr>
      <w:hyperlink w:anchor="_Toc455589777" w:history="1">
        <w:r w:rsidR="00AA138C" w:rsidRPr="00196C69">
          <w:rPr>
            <w:rStyle w:val="Link"/>
          </w:rPr>
          <w:t>4.8</w:t>
        </w:r>
        <w:r w:rsidR="00AA138C">
          <w:rPr>
            <w:rFonts w:asciiTheme="minorHAnsi" w:eastAsiaTheme="minorEastAsia" w:hAnsiTheme="minorHAnsi" w:cstheme="minorBidi"/>
            <w:sz w:val="24"/>
            <w:szCs w:val="24"/>
          </w:rPr>
          <w:tab/>
        </w:r>
        <w:r w:rsidR="00AA138C" w:rsidRPr="00196C69">
          <w:rPr>
            <w:rStyle w:val="Link"/>
          </w:rPr>
          <w:t>Zusammenfassung der Faktoren des Release-Managements</w:t>
        </w:r>
        <w:r w:rsidR="00AA138C">
          <w:rPr>
            <w:webHidden/>
          </w:rPr>
          <w:tab/>
        </w:r>
        <w:r w:rsidR="00AA138C">
          <w:rPr>
            <w:webHidden/>
          </w:rPr>
          <w:fldChar w:fldCharType="begin"/>
        </w:r>
        <w:r w:rsidR="00AA138C">
          <w:rPr>
            <w:webHidden/>
          </w:rPr>
          <w:instrText xml:space="preserve"> PAGEREF _Toc455589777 \h </w:instrText>
        </w:r>
        <w:r w:rsidR="00AA138C">
          <w:rPr>
            <w:webHidden/>
          </w:rPr>
        </w:r>
        <w:r w:rsidR="00AA138C">
          <w:rPr>
            <w:webHidden/>
          </w:rPr>
          <w:fldChar w:fldCharType="separate"/>
        </w:r>
        <w:r w:rsidR="00AA138C">
          <w:rPr>
            <w:webHidden/>
          </w:rPr>
          <w:t>36</w:t>
        </w:r>
        <w:r w:rsidR="00AA138C">
          <w:rPr>
            <w:webHidden/>
          </w:rPr>
          <w:fldChar w:fldCharType="end"/>
        </w:r>
      </w:hyperlink>
    </w:p>
    <w:p w14:paraId="5745FD77" w14:textId="77777777" w:rsidR="00AA138C" w:rsidRDefault="00BE775C">
      <w:pPr>
        <w:pStyle w:val="Verzeichnis1"/>
        <w:rPr>
          <w:rFonts w:asciiTheme="minorHAnsi" w:eastAsiaTheme="minorEastAsia" w:hAnsiTheme="minorHAnsi" w:cstheme="minorBidi"/>
          <w:b w:val="0"/>
          <w:sz w:val="24"/>
          <w:szCs w:val="24"/>
        </w:rPr>
      </w:pPr>
      <w:hyperlink w:anchor="_Toc455589778" w:history="1">
        <w:r w:rsidR="00AA138C" w:rsidRPr="00196C69">
          <w:rPr>
            <w:rStyle w:val="Link"/>
          </w:rPr>
          <w:t>5</w:t>
        </w:r>
        <w:r w:rsidR="00AA138C">
          <w:rPr>
            <w:rFonts w:asciiTheme="minorHAnsi" w:eastAsiaTheme="minorEastAsia" w:hAnsiTheme="minorHAnsi" w:cstheme="minorBidi"/>
            <w:b w:val="0"/>
            <w:sz w:val="24"/>
            <w:szCs w:val="24"/>
          </w:rPr>
          <w:tab/>
        </w:r>
        <w:r w:rsidR="00AA138C" w:rsidRPr="00196C69">
          <w:rPr>
            <w:rStyle w:val="Link"/>
          </w:rPr>
          <w:t>Ableitung der Standardtypen aus den Faktoren und Risiken</w:t>
        </w:r>
        <w:r w:rsidR="00AA138C">
          <w:rPr>
            <w:webHidden/>
          </w:rPr>
          <w:tab/>
        </w:r>
        <w:r w:rsidR="00AA138C">
          <w:rPr>
            <w:webHidden/>
          </w:rPr>
          <w:fldChar w:fldCharType="begin"/>
        </w:r>
        <w:r w:rsidR="00AA138C">
          <w:rPr>
            <w:webHidden/>
          </w:rPr>
          <w:instrText xml:space="preserve"> PAGEREF _Toc455589778 \h </w:instrText>
        </w:r>
        <w:r w:rsidR="00AA138C">
          <w:rPr>
            <w:webHidden/>
          </w:rPr>
        </w:r>
        <w:r w:rsidR="00AA138C">
          <w:rPr>
            <w:webHidden/>
          </w:rPr>
          <w:fldChar w:fldCharType="separate"/>
        </w:r>
        <w:r w:rsidR="00AA138C">
          <w:rPr>
            <w:webHidden/>
          </w:rPr>
          <w:t>38</w:t>
        </w:r>
        <w:r w:rsidR="00AA138C">
          <w:rPr>
            <w:webHidden/>
          </w:rPr>
          <w:fldChar w:fldCharType="end"/>
        </w:r>
      </w:hyperlink>
    </w:p>
    <w:p w14:paraId="3319961F" w14:textId="77777777" w:rsidR="00AA138C" w:rsidRDefault="00BE775C">
      <w:pPr>
        <w:pStyle w:val="Verzeichnis2"/>
        <w:rPr>
          <w:rFonts w:asciiTheme="minorHAnsi" w:eastAsiaTheme="minorEastAsia" w:hAnsiTheme="minorHAnsi" w:cstheme="minorBidi"/>
          <w:sz w:val="24"/>
          <w:szCs w:val="24"/>
        </w:rPr>
      </w:pPr>
      <w:hyperlink w:anchor="_Toc455589779" w:history="1">
        <w:r w:rsidR="00AA138C" w:rsidRPr="00196C69">
          <w:rPr>
            <w:rStyle w:val="Link"/>
          </w:rPr>
          <w:t>5.1</w:t>
        </w:r>
        <w:r w:rsidR="00AA138C">
          <w:rPr>
            <w:rFonts w:asciiTheme="minorHAnsi" w:eastAsiaTheme="minorEastAsia" w:hAnsiTheme="minorHAnsi" w:cstheme="minorBidi"/>
            <w:sz w:val="24"/>
            <w:szCs w:val="24"/>
          </w:rPr>
          <w:tab/>
        </w:r>
        <w:r w:rsidR="00AA138C" w:rsidRPr="00196C69">
          <w:rPr>
            <w:rStyle w:val="Link"/>
          </w:rPr>
          <w:t>Zeit-Qualität</w:t>
        </w:r>
        <w:r w:rsidR="00AA138C">
          <w:rPr>
            <w:webHidden/>
          </w:rPr>
          <w:tab/>
        </w:r>
        <w:r w:rsidR="00AA138C">
          <w:rPr>
            <w:webHidden/>
          </w:rPr>
          <w:fldChar w:fldCharType="begin"/>
        </w:r>
        <w:r w:rsidR="00AA138C">
          <w:rPr>
            <w:webHidden/>
          </w:rPr>
          <w:instrText xml:space="preserve"> PAGEREF _Toc455589779 \h </w:instrText>
        </w:r>
        <w:r w:rsidR="00AA138C">
          <w:rPr>
            <w:webHidden/>
          </w:rPr>
        </w:r>
        <w:r w:rsidR="00AA138C">
          <w:rPr>
            <w:webHidden/>
          </w:rPr>
          <w:fldChar w:fldCharType="separate"/>
        </w:r>
        <w:r w:rsidR="00AA138C">
          <w:rPr>
            <w:webHidden/>
          </w:rPr>
          <w:t>38</w:t>
        </w:r>
        <w:r w:rsidR="00AA138C">
          <w:rPr>
            <w:webHidden/>
          </w:rPr>
          <w:fldChar w:fldCharType="end"/>
        </w:r>
      </w:hyperlink>
    </w:p>
    <w:p w14:paraId="77A0FF92" w14:textId="77777777" w:rsidR="00AA138C" w:rsidRDefault="00BE775C">
      <w:pPr>
        <w:pStyle w:val="Verzeichnis2"/>
        <w:rPr>
          <w:rFonts w:asciiTheme="minorHAnsi" w:eastAsiaTheme="minorEastAsia" w:hAnsiTheme="minorHAnsi" w:cstheme="minorBidi"/>
          <w:sz w:val="24"/>
          <w:szCs w:val="24"/>
        </w:rPr>
      </w:pPr>
      <w:hyperlink w:anchor="_Toc455589780" w:history="1">
        <w:r w:rsidR="00AA138C" w:rsidRPr="00196C69">
          <w:rPr>
            <w:rStyle w:val="Link"/>
          </w:rPr>
          <w:t>5.2</w:t>
        </w:r>
        <w:r w:rsidR="00AA138C">
          <w:rPr>
            <w:rFonts w:asciiTheme="minorHAnsi" w:eastAsiaTheme="minorEastAsia" w:hAnsiTheme="minorHAnsi" w:cstheme="minorBidi"/>
            <w:sz w:val="24"/>
            <w:szCs w:val="24"/>
          </w:rPr>
          <w:tab/>
        </w:r>
        <w:r w:rsidR="00AA138C" w:rsidRPr="00196C69">
          <w:rPr>
            <w:rStyle w:val="Link"/>
          </w:rPr>
          <w:t>Qualität-Kosten</w:t>
        </w:r>
        <w:r w:rsidR="00AA138C">
          <w:rPr>
            <w:webHidden/>
          </w:rPr>
          <w:tab/>
        </w:r>
        <w:r w:rsidR="00AA138C">
          <w:rPr>
            <w:webHidden/>
          </w:rPr>
          <w:fldChar w:fldCharType="begin"/>
        </w:r>
        <w:r w:rsidR="00AA138C">
          <w:rPr>
            <w:webHidden/>
          </w:rPr>
          <w:instrText xml:space="preserve"> PAGEREF _Toc455589780 \h </w:instrText>
        </w:r>
        <w:r w:rsidR="00AA138C">
          <w:rPr>
            <w:webHidden/>
          </w:rPr>
        </w:r>
        <w:r w:rsidR="00AA138C">
          <w:rPr>
            <w:webHidden/>
          </w:rPr>
          <w:fldChar w:fldCharType="separate"/>
        </w:r>
        <w:r w:rsidR="00AA138C">
          <w:rPr>
            <w:webHidden/>
          </w:rPr>
          <w:t>38</w:t>
        </w:r>
        <w:r w:rsidR="00AA138C">
          <w:rPr>
            <w:webHidden/>
          </w:rPr>
          <w:fldChar w:fldCharType="end"/>
        </w:r>
      </w:hyperlink>
    </w:p>
    <w:p w14:paraId="76797BD9" w14:textId="77777777" w:rsidR="00AA138C" w:rsidRDefault="00BE775C">
      <w:pPr>
        <w:pStyle w:val="Verzeichnis2"/>
        <w:rPr>
          <w:rFonts w:asciiTheme="minorHAnsi" w:eastAsiaTheme="minorEastAsia" w:hAnsiTheme="minorHAnsi" w:cstheme="minorBidi"/>
          <w:sz w:val="24"/>
          <w:szCs w:val="24"/>
        </w:rPr>
      </w:pPr>
      <w:hyperlink w:anchor="_Toc455589781" w:history="1">
        <w:r w:rsidR="00AA138C" w:rsidRPr="00196C69">
          <w:rPr>
            <w:rStyle w:val="Link"/>
          </w:rPr>
          <w:t>5.3</w:t>
        </w:r>
        <w:r w:rsidR="00AA138C">
          <w:rPr>
            <w:rFonts w:asciiTheme="minorHAnsi" w:eastAsiaTheme="minorEastAsia" w:hAnsiTheme="minorHAnsi" w:cstheme="minorBidi"/>
            <w:sz w:val="24"/>
            <w:szCs w:val="24"/>
          </w:rPr>
          <w:tab/>
        </w:r>
        <w:r w:rsidR="00AA138C" w:rsidRPr="00196C69">
          <w:rPr>
            <w:rStyle w:val="Link"/>
          </w:rPr>
          <w:t>Kosten</w:t>
        </w:r>
        <w:r w:rsidR="00AA138C">
          <w:rPr>
            <w:webHidden/>
          </w:rPr>
          <w:tab/>
        </w:r>
        <w:r w:rsidR="00AA138C">
          <w:rPr>
            <w:webHidden/>
          </w:rPr>
          <w:fldChar w:fldCharType="begin"/>
        </w:r>
        <w:r w:rsidR="00AA138C">
          <w:rPr>
            <w:webHidden/>
          </w:rPr>
          <w:instrText xml:space="preserve"> PAGEREF _Toc455589781 \h </w:instrText>
        </w:r>
        <w:r w:rsidR="00AA138C">
          <w:rPr>
            <w:webHidden/>
          </w:rPr>
        </w:r>
        <w:r w:rsidR="00AA138C">
          <w:rPr>
            <w:webHidden/>
          </w:rPr>
          <w:fldChar w:fldCharType="separate"/>
        </w:r>
        <w:r w:rsidR="00AA138C">
          <w:rPr>
            <w:webHidden/>
          </w:rPr>
          <w:t>38</w:t>
        </w:r>
        <w:r w:rsidR="00AA138C">
          <w:rPr>
            <w:webHidden/>
          </w:rPr>
          <w:fldChar w:fldCharType="end"/>
        </w:r>
      </w:hyperlink>
    </w:p>
    <w:p w14:paraId="2D911EC2" w14:textId="77777777" w:rsidR="00AA138C" w:rsidRDefault="00BE775C">
      <w:pPr>
        <w:pStyle w:val="Verzeichnis2"/>
        <w:rPr>
          <w:rFonts w:asciiTheme="minorHAnsi" w:eastAsiaTheme="minorEastAsia" w:hAnsiTheme="minorHAnsi" w:cstheme="minorBidi"/>
          <w:sz w:val="24"/>
          <w:szCs w:val="24"/>
        </w:rPr>
      </w:pPr>
      <w:hyperlink w:anchor="_Toc455589782" w:history="1">
        <w:r w:rsidR="00AA138C" w:rsidRPr="00196C69">
          <w:rPr>
            <w:rStyle w:val="Link"/>
          </w:rPr>
          <w:t>5.4</w:t>
        </w:r>
        <w:r w:rsidR="00AA138C">
          <w:rPr>
            <w:rFonts w:asciiTheme="minorHAnsi" w:eastAsiaTheme="minorEastAsia" w:hAnsiTheme="minorHAnsi" w:cstheme="minorBidi"/>
            <w:sz w:val="24"/>
            <w:szCs w:val="24"/>
          </w:rPr>
          <w:tab/>
        </w:r>
        <w:r w:rsidR="00AA138C" w:rsidRPr="00196C69">
          <w:rPr>
            <w:rStyle w:val="Link"/>
          </w:rPr>
          <w:t>Zusammenfassung der Standardtypen</w:t>
        </w:r>
        <w:r w:rsidR="00AA138C">
          <w:rPr>
            <w:webHidden/>
          </w:rPr>
          <w:tab/>
        </w:r>
        <w:r w:rsidR="00AA138C">
          <w:rPr>
            <w:webHidden/>
          </w:rPr>
          <w:fldChar w:fldCharType="begin"/>
        </w:r>
        <w:r w:rsidR="00AA138C">
          <w:rPr>
            <w:webHidden/>
          </w:rPr>
          <w:instrText xml:space="preserve"> PAGEREF _Toc455589782 \h </w:instrText>
        </w:r>
        <w:r w:rsidR="00AA138C">
          <w:rPr>
            <w:webHidden/>
          </w:rPr>
        </w:r>
        <w:r w:rsidR="00AA138C">
          <w:rPr>
            <w:webHidden/>
          </w:rPr>
          <w:fldChar w:fldCharType="separate"/>
        </w:r>
        <w:r w:rsidR="00AA138C">
          <w:rPr>
            <w:webHidden/>
          </w:rPr>
          <w:t>38</w:t>
        </w:r>
        <w:r w:rsidR="00AA138C">
          <w:rPr>
            <w:webHidden/>
          </w:rPr>
          <w:fldChar w:fldCharType="end"/>
        </w:r>
      </w:hyperlink>
    </w:p>
    <w:p w14:paraId="3355B3BF" w14:textId="77777777" w:rsidR="00AA138C" w:rsidRDefault="00BE775C">
      <w:pPr>
        <w:pStyle w:val="Verzeichnis1"/>
        <w:rPr>
          <w:rFonts w:asciiTheme="minorHAnsi" w:eastAsiaTheme="minorEastAsia" w:hAnsiTheme="minorHAnsi" w:cstheme="minorBidi"/>
          <w:b w:val="0"/>
          <w:sz w:val="24"/>
          <w:szCs w:val="24"/>
        </w:rPr>
      </w:pPr>
      <w:hyperlink w:anchor="_Toc455589783" w:history="1">
        <w:r w:rsidR="00AA138C" w:rsidRPr="00196C69">
          <w:rPr>
            <w:rStyle w:val="Link"/>
          </w:rPr>
          <w:t>6</w:t>
        </w:r>
        <w:r w:rsidR="00AA138C">
          <w:rPr>
            <w:rFonts w:asciiTheme="minorHAnsi" w:eastAsiaTheme="minorEastAsia" w:hAnsiTheme="minorHAnsi" w:cstheme="minorBidi"/>
            <w:b w:val="0"/>
            <w:sz w:val="24"/>
            <w:szCs w:val="24"/>
          </w:rPr>
          <w:tab/>
        </w:r>
        <w:r w:rsidR="00AA138C" w:rsidRPr="00196C69">
          <w:rPr>
            <w:rStyle w:val="Link"/>
          </w:rPr>
          <w:t>Kritische Würdigung der Standardtypen</w:t>
        </w:r>
        <w:r w:rsidR="00AA138C">
          <w:rPr>
            <w:webHidden/>
          </w:rPr>
          <w:tab/>
        </w:r>
        <w:r w:rsidR="00AA138C">
          <w:rPr>
            <w:webHidden/>
          </w:rPr>
          <w:fldChar w:fldCharType="begin"/>
        </w:r>
        <w:r w:rsidR="00AA138C">
          <w:rPr>
            <w:webHidden/>
          </w:rPr>
          <w:instrText xml:space="preserve"> PAGEREF _Toc455589783 \h </w:instrText>
        </w:r>
        <w:r w:rsidR="00AA138C">
          <w:rPr>
            <w:webHidden/>
          </w:rPr>
        </w:r>
        <w:r w:rsidR="00AA138C">
          <w:rPr>
            <w:webHidden/>
          </w:rPr>
          <w:fldChar w:fldCharType="separate"/>
        </w:r>
        <w:r w:rsidR="00AA138C">
          <w:rPr>
            <w:webHidden/>
          </w:rPr>
          <w:t>40</w:t>
        </w:r>
        <w:r w:rsidR="00AA138C">
          <w:rPr>
            <w:webHidden/>
          </w:rPr>
          <w:fldChar w:fldCharType="end"/>
        </w:r>
      </w:hyperlink>
    </w:p>
    <w:p w14:paraId="79DD73DC" w14:textId="77777777" w:rsidR="00AA138C" w:rsidRDefault="00BE775C">
      <w:pPr>
        <w:pStyle w:val="Verzeichnis1"/>
        <w:rPr>
          <w:rFonts w:asciiTheme="minorHAnsi" w:eastAsiaTheme="minorEastAsia" w:hAnsiTheme="minorHAnsi" w:cstheme="minorBidi"/>
          <w:b w:val="0"/>
          <w:sz w:val="24"/>
          <w:szCs w:val="24"/>
        </w:rPr>
      </w:pPr>
      <w:hyperlink w:anchor="_Toc455589784" w:history="1">
        <w:r w:rsidR="00AA138C" w:rsidRPr="00196C69">
          <w:rPr>
            <w:rStyle w:val="Link"/>
          </w:rPr>
          <w:t>7</w:t>
        </w:r>
        <w:r w:rsidR="00AA138C">
          <w:rPr>
            <w:rFonts w:asciiTheme="minorHAnsi" w:eastAsiaTheme="minorEastAsia" w:hAnsiTheme="minorHAnsi" w:cstheme="minorBidi"/>
            <w:b w:val="0"/>
            <w:sz w:val="24"/>
            <w:szCs w:val="24"/>
          </w:rPr>
          <w:tab/>
        </w:r>
        <w:r w:rsidR="00AA138C" w:rsidRPr="00196C69">
          <w:rPr>
            <w:rStyle w:val="Link"/>
          </w:rPr>
          <w:t>Evaluation der Zielerreichung und Ausblick</w:t>
        </w:r>
        <w:r w:rsidR="00AA138C">
          <w:rPr>
            <w:webHidden/>
          </w:rPr>
          <w:tab/>
        </w:r>
        <w:r w:rsidR="00AA138C">
          <w:rPr>
            <w:webHidden/>
          </w:rPr>
          <w:fldChar w:fldCharType="begin"/>
        </w:r>
        <w:r w:rsidR="00AA138C">
          <w:rPr>
            <w:webHidden/>
          </w:rPr>
          <w:instrText xml:space="preserve"> PAGEREF _Toc455589784 \h </w:instrText>
        </w:r>
        <w:r w:rsidR="00AA138C">
          <w:rPr>
            <w:webHidden/>
          </w:rPr>
        </w:r>
        <w:r w:rsidR="00AA138C">
          <w:rPr>
            <w:webHidden/>
          </w:rPr>
          <w:fldChar w:fldCharType="separate"/>
        </w:r>
        <w:r w:rsidR="00AA138C">
          <w:rPr>
            <w:webHidden/>
          </w:rPr>
          <w:t>41</w:t>
        </w:r>
        <w:r w:rsidR="00AA138C">
          <w:rPr>
            <w:webHidden/>
          </w:rPr>
          <w:fldChar w:fldCharType="end"/>
        </w:r>
      </w:hyperlink>
    </w:p>
    <w:p w14:paraId="3FB2B815" w14:textId="77777777" w:rsidR="00AA138C" w:rsidRDefault="00BE775C">
      <w:pPr>
        <w:pStyle w:val="Verzeichnis1"/>
        <w:rPr>
          <w:rFonts w:asciiTheme="minorHAnsi" w:eastAsiaTheme="minorEastAsia" w:hAnsiTheme="minorHAnsi" w:cstheme="minorBidi"/>
          <w:b w:val="0"/>
          <w:sz w:val="24"/>
          <w:szCs w:val="24"/>
        </w:rPr>
      </w:pPr>
      <w:hyperlink w:anchor="_Toc455589785" w:history="1">
        <w:r w:rsidR="00AA138C" w:rsidRPr="00196C69">
          <w:rPr>
            <w:rStyle w:val="Link"/>
          </w:rPr>
          <w:t>8</w:t>
        </w:r>
        <w:r w:rsidR="00AA138C">
          <w:rPr>
            <w:rFonts w:asciiTheme="minorHAnsi" w:eastAsiaTheme="minorEastAsia" w:hAnsiTheme="minorHAnsi" w:cstheme="minorBidi"/>
            <w:b w:val="0"/>
            <w:sz w:val="24"/>
            <w:szCs w:val="24"/>
          </w:rPr>
          <w:tab/>
        </w:r>
        <w:r w:rsidR="00AA138C" w:rsidRPr="00196C69">
          <w:rPr>
            <w:rStyle w:val="Link"/>
          </w:rPr>
          <w:t>Literaturverzeichnis</w:t>
        </w:r>
        <w:r w:rsidR="00AA138C">
          <w:rPr>
            <w:webHidden/>
          </w:rPr>
          <w:tab/>
        </w:r>
        <w:r w:rsidR="00AA138C">
          <w:rPr>
            <w:webHidden/>
          </w:rPr>
          <w:fldChar w:fldCharType="begin"/>
        </w:r>
        <w:r w:rsidR="00AA138C">
          <w:rPr>
            <w:webHidden/>
          </w:rPr>
          <w:instrText xml:space="preserve"> PAGEREF _Toc455589785 \h </w:instrText>
        </w:r>
        <w:r w:rsidR="00AA138C">
          <w:rPr>
            <w:webHidden/>
          </w:rPr>
        </w:r>
        <w:r w:rsidR="00AA138C">
          <w:rPr>
            <w:webHidden/>
          </w:rPr>
          <w:fldChar w:fldCharType="separate"/>
        </w:r>
        <w:r w:rsidR="00AA138C">
          <w:rPr>
            <w:webHidden/>
          </w:rPr>
          <w:t>42</w:t>
        </w:r>
        <w:r w:rsidR="00AA138C">
          <w:rPr>
            <w:webHidden/>
          </w:rPr>
          <w:fldChar w:fldCharType="end"/>
        </w:r>
      </w:hyperlink>
    </w:p>
    <w:p w14:paraId="464CCC87" w14:textId="77777777" w:rsidR="00AA138C" w:rsidRDefault="00BE775C">
      <w:pPr>
        <w:pStyle w:val="Verzeichnis1"/>
        <w:rPr>
          <w:rFonts w:asciiTheme="minorHAnsi" w:eastAsiaTheme="minorEastAsia" w:hAnsiTheme="minorHAnsi" w:cstheme="minorBidi"/>
          <w:b w:val="0"/>
          <w:sz w:val="24"/>
          <w:szCs w:val="24"/>
        </w:rPr>
      </w:pPr>
      <w:hyperlink w:anchor="_Toc455589786" w:history="1">
        <w:r w:rsidR="00AA138C" w:rsidRPr="00196C69">
          <w:rPr>
            <w:rStyle w:val="Link"/>
          </w:rPr>
          <w:t>Erklärung</w:t>
        </w:r>
        <w:r w:rsidR="00AA138C">
          <w:rPr>
            <w:webHidden/>
          </w:rPr>
          <w:tab/>
        </w:r>
        <w:r w:rsidR="00AA138C">
          <w:rPr>
            <w:webHidden/>
          </w:rPr>
          <w:fldChar w:fldCharType="begin"/>
        </w:r>
        <w:r w:rsidR="00AA138C">
          <w:rPr>
            <w:webHidden/>
          </w:rPr>
          <w:instrText xml:space="preserve"> PAGEREF _Toc455589786 \h </w:instrText>
        </w:r>
        <w:r w:rsidR="00AA138C">
          <w:rPr>
            <w:webHidden/>
          </w:rPr>
        </w:r>
        <w:r w:rsidR="00AA138C">
          <w:rPr>
            <w:webHidden/>
          </w:rPr>
          <w:fldChar w:fldCharType="separate"/>
        </w:r>
        <w:r w:rsidR="00AA138C">
          <w:rPr>
            <w:webHidden/>
          </w:rPr>
          <w:t>45</w:t>
        </w:r>
        <w:r w:rsidR="00AA138C">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5589753"/>
      <w:r>
        <w:lastRenderedPageBreak/>
        <w:t>A</w:t>
      </w:r>
      <w:r w:rsidR="00F144F5" w:rsidRPr="00753DE5">
        <w:t>bbildungsverzeichnis</w:t>
      </w:r>
      <w:bookmarkEnd w:id="10"/>
    </w:p>
    <w:p w14:paraId="753F1D55" w14:textId="77777777" w:rsidR="0045774F"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5774F">
        <w:rPr>
          <w:noProof/>
        </w:rPr>
        <w:t>Abbildung 2.1: Zusammenhang Time to Market</w:t>
      </w:r>
      <w:r w:rsidR="0045774F">
        <w:rPr>
          <w:noProof/>
        </w:rPr>
        <w:tab/>
      </w:r>
      <w:r w:rsidR="0045774F">
        <w:rPr>
          <w:noProof/>
        </w:rPr>
        <w:fldChar w:fldCharType="begin"/>
      </w:r>
      <w:r w:rsidR="0045774F">
        <w:rPr>
          <w:noProof/>
        </w:rPr>
        <w:instrText xml:space="preserve"> PAGEREF _Toc455576760 \h </w:instrText>
      </w:r>
      <w:r w:rsidR="0045774F">
        <w:rPr>
          <w:noProof/>
        </w:rPr>
      </w:r>
      <w:r w:rsidR="0045774F">
        <w:rPr>
          <w:noProof/>
        </w:rPr>
        <w:fldChar w:fldCharType="separate"/>
      </w:r>
      <w:r w:rsidR="0045774F">
        <w:rPr>
          <w:noProof/>
        </w:rPr>
        <w:t>5</w:t>
      </w:r>
      <w:r w:rsidR="0045774F">
        <w:rPr>
          <w:noProof/>
        </w:rPr>
        <w:fldChar w:fldCharType="end"/>
      </w:r>
    </w:p>
    <w:p w14:paraId="11554E7A" w14:textId="77777777" w:rsidR="0045774F" w:rsidRDefault="0045774F">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_Toc455576761 \h </w:instrText>
      </w:r>
      <w:r>
        <w:rPr>
          <w:noProof/>
        </w:rPr>
      </w:r>
      <w:r>
        <w:rPr>
          <w:noProof/>
        </w:rPr>
        <w:fldChar w:fldCharType="separate"/>
      </w:r>
      <w:r>
        <w:rPr>
          <w:noProof/>
        </w:rPr>
        <w:t>8</w:t>
      </w:r>
      <w:r>
        <w:rPr>
          <w:noProof/>
        </w:rPr>
        <w:fldChar w:fldCharType="end"/>
      </w:r>
    </w:p>
    <w:p w14:paraId="10B056E5" w14:textId="77777777" w:rsidR="0045774F" w:rsidRDefault="0045774F">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_Toc455576762 \h </w:instrText>
      </w:r>
      <w:r>
        <w:rPr>
          <w:noProof/>
        </w:rPr>
      </w:r>
      <w:r>
        <w:rPr>
          <w:noProof/>
        </w:rPr>
        <w:fldChar w:fldCharType="separate"/>
      </w:r>
      <w:r>
        <w:rPr>
          <w:noProof/>
        </w:rPr>
        <w:t>11</w:t>
      </w:r>
      <w:r>
        <w:rPr>
          <w:noProof/>
        </w:rPr>
        <w:fldChar w:fldCharType="end"/>
      </w:r>
    </w:p>
    <w:p w14:paraId="580247FC" w14:textId="77777777" w:rsidR="0045774F" w:rsidRDefault="0045774F">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_Toc455576763 \h </w:instrText>
      </w:r>
      <w:r>
        <w:rPr>
          <w:noProof/>
        </w:rPr>
      </w:r>
      <w:r>
        <w:rPr>
          <w:noProof/>
        </w:rPr>
        <w:fldChar w:fldCharType="separate"/>
      </w:r>
      <w:r>
        <w:rPr>
          <w:noProof/>
        </w:rPr>
        <w:t>15</w:t>
      </w:r>
      <w:r>
        <w:rPr>
          <w:noProof/>
        </w:rPr>
        <w:fldChar w:fldCharType="end"/>
      </w:r>
    </w:p>
    <w:p w14:paraId="6A90829C" w14:textId="77777777" w:rsidR="0045774F" w:rsidRDefault="0045774F">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_Toc455576764 \h </w:instrText>
      </w:r>
      <w:r>
        <w:rPr>
          <w:noProof/>
        </w:rPr>
      </w:r>
      <w:r>
        <w:rPr>
          <w:noProof/>
        </w:rPr>
        <w:fldChar w:fldCharType="separate"/>
      </w:r>
      <w:r>
        <w:rPr>
          <w:noProof/>
        </w:rPr>
        <w:t>33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5589754"/>
      <w:r w:rsidRPr="00753DE5">
        <w:lastRenderedPageBreak/>
        <w:t>Tabellenverzeichnis</w:t>
      </w:r>
      <w:bookmarkEnd w:id="11"/>
    </w:p>
    <w:p w14:paraId="7E242E2D" w14:textId="77777777" w:rsidR="002C090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C090B">
        <w:rPr>
          <w:noProof/>
        </w:rPr>
        <w:t>Tabelle 2.1: Zuordnung der verschiedenen Produktlebenszyklusphasen</w:t>
      </w:r>
      <w:r w:rsidR="002C090B">
        <w:rPr>
          <w:noProof/>
        </w:rPr>
        <w:tab/>
      </w:r>
      <w:r w:rsidR="002C090B">
        <w:rPr>
          <w:noProof/>
        </w:rPr>
        <w:fldChar w:fldCharType="begin"/>
      </w:r>
      <w:r w:rsidR="002C090B">
        <w:rPr>
          <w:noProof/>
        </w:rPr>
        <w:instrText xml:space="preserve"> PAGEREF _Toc455661558 \h </w:instrText>
      </w:r>
      <w:r w:rsidR="002C090B">
        <w:rPr>
          <w:noProof/>
        </w:rPr>
      </w:r>
      <w:r w:rsidR="002C090B">
        <w:rPr>
          <w:noProof/>
        </w:rPr>
        <w:fldChar w:fldCharType="separate"/>
      </w:r>
      <w:r w:rsidR="002C090B">
        <w:rPr>
          <w:noProof/>
        </w:rPr>
        <w:t>10</w:t>
      </w:r>
      <w:r w:rsidR="002C090B">
        <w:rPr>
          <w:noProof/>
        </w:rPr>
        <w:fldChar w:fldCharType="end"/>
      </w:r>
    </w:p>
    <w:p w14:paraId="4D0C6770" w14:textId="77777777" w:rsidR="002C090B" w:rsidRDefault="002C090B">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_Toc455661559 \h </w:instrText>
      </w:r>
      <w:r>
        <w:rPr>
          <w:noProof/>
        </w:rPr>
      </w:r>
      <w:r>
        <w:rPr>
          <w:noProof/>
        </w:rPr>
        <w:fldChar w:fldCharType="separate"/>
      </w:r>
      <w:r>
        <w:rPr>
          <w:noProof/>
        </w:rPr>
        <w:t>21</w:t>
      </w:r>
      <w:r>
        <w:rPr>
          <w:noProof/>
        </w:rPr>
        <w:fldChar w:fldCharType="end"/>
      </w:r>
    </w:p>
    <w:p w14:paraId="6FE90D86" w14:textId="77777777" w:rsidR="002C090B" w:rsidRDefault="002C090B">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_Toc455661560 \h </w:instrText>
      </w:r>
      <w:r>
        <w:rPr>
          <w:noProof/>
        </w:rPr>
      </w:r>
      <w:r>
        <w:rPr>
          <w:noProof/>
        </w:rPr>
        <w:fldChar w:fldCharType="separate"/>
      </w:r>
      <w:r>
        <w:rPr>
          <w:noProof/>
        </w:rPr>
        <w:t>21</w:t>
      </w:r>
      <w:r>
        <w:rPr>
          <w:noProof/>
        </w:rPr>
        <w:fldChar w:fldCharType="end"/>
      </w:r>
    </w:p>
    <w:p w14:paraId="5AB8C5B7" w14:textId="77777777" w:rsidR="002C090B" w:rsidRDefault="002C090B">
      <w:pPr>
        <w:pStyle w:val="Abbildungsverzeichnis"/>
        <w:rPr>
          <w:rFonts w:asciiTheme="minorHAnsi" w:eastAsiaTheme="minorEastAsia" w:hAnsiTheme="minorHAnsi" w:cstheme="minorBidi"/>
          <w:noProof/>
          <w:sz w:val="24"/>
          <w:szCs w:val="24"/>
        </w:rPr>
      </w:pPr>
      <w:r>
        <w:rPr>
          <w:noProof/>
        </w:rPr>
        <w:t>Tabelle 4.1: Zuordnung der Prozessfaktoren zu den Risikotypen</w:t>
      </w:r>
      <w:r>
        <w:rPr>
          <w:noProof/>
        </w:rPr>
        <w:tab/>
      </w:r>
      <w:r>
        <w:rPr>
          <w:noProof/>
        </w:rPr>
        <w:fldChar w:fldCharType="begin"/>
      </w:r>
      <w:r>
        <w:rPr>
          <w:noProof/>
        </w:rPr>
        <w:instrText xml:space="preserve"> PAGEREF _Toc455661561 \h </w:instrText>
      </w:r>
      <w:r>
        <w:rPr>
          <w:noProof/>
        </w:rPr>
      </w:r>
      <w:r>
        <w:rPr>
          <w:noProof/>
        </w:rPr>
        <w:fldChar w:fldCharType="separate"/>
      </w:r>
      <w:r>
        <w:rPr>
          <w:noProof/>
        </w:rPr>
        <w:t>37</w:t>
      </w:r>
      <w:r>
        <w:rPr>
          <w:noProof/>
        </w:rPr>
        <w:fldChar w:fldCharType="end"/>
      </w:r>
    </w:p>
    <w:p w14:paraId="7D85D704" w14:textId="77777777" w:rsidR="002C090B" w:rsidRDefault="002C090B">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_Toc455661562 \h </w:instrText>
      </w:r>
      <w:r>
        <w:rPr>
          <w:noProof/>
        </w:rPr>
      </w:r>
      <w:r>
        <w:rPr>
          <w:noProof/>
        </w:rPr>
        <w:fldChar w:fldCharType="separate"/>
      </w:r>
      <w:r>
        <w:rPr>
          <w:noProof/>
        </w:rPr>
        <w:t>39</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5589755"/>
      <w:proofErr w:type="spellStart"/>
      <w:r w:rsidRPr="009B052B">
        <w:rPr>
          <w:lang w:val="en-US"/>
        </w:rPr>
        <w:lastRenderedPageBreak/>
        <w:t>Abkürzungsverzeichnis</w:t>
      </w:r>
      <w:bookmarkEnd w:id="13"/>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4" w:name="_Ref445636100"/>
      <w:bookmarkStart w:id="15" w:name="_Toc455589756"/>
      <w:r>
        <w:lastRenderedPageBreak/>
        <w:t>Einleitung</w:t>
      </w:r>
      <w:bookmarkEnd w:id="14"/>
      <w:bookmarkEnd w:id="15"/>
    </w:p>
    <w:p w14:paraId="2B1932EB" w14:textId="066997F2"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 xml:space="preserve">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16"/>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16"/>
      <w:r w:rsidR="00803CAA">
        <w:rPr>
          <w:rStyle w:val="Kommentarzeichen"/>
        </w:rPr>
        <w:commentReference w:id="16"/>
      </w:r>
      <w:r w:rsidR="001F123D">
        <w:t xml:space="preserve">. </w:t>
      </w:r>
      <w:commentRangeStart w:id="17"/>
      <w:r w:rsidR="001F123D">
        <w:t>Neben einer tieferen Zusammenarbeit in einem Team, stehen Standardisierung und Automatisierung sowie der Abbau von Bürokratie im Fokus dieses Ansatzes.</w:t>
      </w:r>
      <w:r w:rsidR="00E8229F">
        <w:t xml:space="preserve"> </w:t>
      </w:r>
      <w:commentRangeEnd w:id="17"/>
      <w:r w:rsidR="00803CAA">
        <w:rPr>
          <w:rStyle w:val="Kommentarzeichen"/>
        </w:rPr>
        <w:commentReference w:id="17"/>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nun jedes Produkt gemäß dem </w:t>
      </w:r>
      <w:proofErr w:type="spellStart"/>
      <w:r w:rsidR="009C600B">
        <w:t>DevOps</w:t>
      </w:r>
      <w:proofErr w:type="spellEnd"/>
      <w:r w:rsidR="009C600B">
        <w:t xml:space="preserve">-Ansatz behandelt werden, oder werden unterschiedliche Verfahrensweisen benötigt?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w:t>
      </w:r>
      <w:r w:rsidR="009D2F47">
        <w:lastRenderedPageBreak/>
        <w:t xml:space="preserve">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8" w:name="_Ref442963595"/>
      <w:bookmarkStart w:id="19" w:name="_Toc455589757"/>
      <w:r>
        <w:lastRenderedPageBreak/>
        <w:t>Grundlagen</w:t>
      </w:r>
      <w:bookmarkEnd w:id="18"/>
      <w:bookmarkEnd w:id="1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0" w:name="_Ref445029358"/>
      <w:bookmarkStart w:id="21" w:name="_Toc455589758"/>
      <w:r>
        <w:t>Innovation</w:t>
      </w:r>
      <w:r w:rsidR="00461FAA">
        <w:t xml:space="preserve"> </w:t>
      </w:r>
      <w:r w:rsidR="00DB13B7">
        <w:t>zur</w:t>
      </w:r>
      <w:r>
        <w:t xml:space="preserve"> Existenz</w:t>
      </w:r>
      <w:r w:rsidR="00DB13B7">
        <w:t>sicherung</w:t>
      </w:r>
      <w:bookmarkEnd w:id="20"/>
      <w:bookmarkEnd w:id="2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5679A9E9"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 xml:space="preserve">Klassische Mittel zur Erfolgssicherung, wie Prozessbeschleunigung, </w:t>
      </w:r>
      <w:r w:rsidR="004A2561">
        <w:lastRenderedPageBreak/>
        <w:t>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xml:space="preserve">. Das bedeutet der </w:t>
      </w:r>
      <w:r w:rsidR="00F65B61">
        <w:lastRenderedPageBreak/>
        <w:t>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2" w:name="_Ref445566438"/>
      <w:bookmarkStart w:id="23" w:name="_Ref444943110"/>
      <w:bookmarkStart w:id="24" w:name="_Toc455576760"/>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2"/>
      <w:r w:rsidRPr="00CD6296">
        <w:t xml:space="preserve">: Zusammenhang Time </w:t>
      </w:r>
      <w:proofErr w:type="spellStart"/>
      <w:r w:rsidRPr="00CD6296">
        <w:t>to</w:t>
      </w:r>
      <w:proofErr w:type="spellEnd"/>
      <w:r w:rsidRPr="00CD6296">
        <w:t xml:space="preserve"> Market</w:t>
      </w:r>
      <w:bookmarkEnd w:id="23"/>
      <w:bookmarkEnd w:id="2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5" w:name="_Ref445650448"/>
      <w:bookmarkStart w:id="26" w:name="_Ref445650466"/>
      <w:bookmarkStart w:id="27" w:name="_Ref445650514"/>
      <w:bookmarkStart w:id="28" w:name="_Ref445650529"/>
      <w:bookmarkStart w:id="29" w:name="_Toc455589759"/>
      <w:r>
        <w:t>Innovationssteuerung</w:t>
      </w:r>
      <w:r w:rsidR="00180BBA">
        <w:t xml:space="preserve"> durch Produkt-</w:t>
      </w:r>
      <w:r w:rsidR="00DB13B7">
        <w:t>Management</w:t>
      </w:r>
      <w:bookmarkEnd w:id="25"/>
      <w:bookmarkEnd w:id="26"/>
      <w:bookmarkEnd w:id="27"/>
      <w:bookmarkEnd w:id="28"/>
      <w:bookmarkEnd w:id="2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0" w:name="_Ref445276009"/>
      <w:bookmarkStart w:id="31" w:name="_Toc455589760"/>
      <w:r>
        <w:t>Der Produktlebenszyklus</w:t>
      </w:r>
      <w:bookmarkEnd w:id="30"/>
      <w:bookmarkEnd w:id="31"/>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2" w:name="_Ref446672107"/>
      <w:bookmarkStart w:id="33" w:name="_Toc455576761"/>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2"/>
      <w:r w:rsidRPr="00CD6296">
        <w:t>: Charakteristische Produktlebenszyklen</w:t>
      </w:r>
      <w:bookmarkEnd w:id="3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4" w:name="_Ref445303931"/>
      <w:bookmarkStart w:id="35" w:name="_Toc455661558"/>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4"/>
      <w:r w:rsidRPr="00CD6296">
        <w:t xml:space="preserve">: Zuordnung der </w:t>
      </w:r>
      <w:r w:rsidR="0042751A">
        <w:t xml:space="preserve">verschiedenen </w:t>
      </w:r>
      <w:r w:rsidRPr="00CD6296">
        <w:t>Produktlebenszyklusphasen</w:t>
      </w:r>
      <w:bookmarkEnd w:id="35"/>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6" w:name="_Ref446517190"/>
      <w:bookmarkStart w:id="37" w:name="_Toc455589761"/>
      <w:r>
        <w:lastRenderedPageBreak/>
        <w:t xml:space="preserve">Produktveröffentlichung durch Standards im </w:t>
      </w:r>
      <w:r w:rsidR="00803CAA">
        <w:t>Release-Management</w:t>
      </w:r>
      <w:bookmarkEnd w:id="36"/>
      <w:bookmarkEnd w:id="37"/>
    </w:p>
    <w:p w14:paraId="5219C75E" w14:textId="4515A56E"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A301DD">
            <w:instrText xml:space="preserve">CITATION AXE11 \p "S. 63" \l 1031 </w:instrText>
          </w:r>
          <w:r w:rsidR="00A301DD">
            <w:fldChar w:fldCharType="separate"/>
          </w:r>
          <w:r w:rsidR="00A301DD">
            <w:rPr>
              <w:noProof/>
            </w:rPr>
            <w:t>(AXELOS 2011, S. 63)</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8" w:name="_Ref445901269"/>
      <w:bookmarkStart w:id="39" w:name="_Ref445031218"/>
      <w:bookmarkStart w:id="40" w:name="_Toc455576762"/>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8"/>
      <w:r w:rsidRPr="00CD6296">
        <w:t>: Zusammenhang Produkt zu Release</w:t>
      </w:r>
      <w:bookmarkEnd w:id="39"/>
      <w:bookmarkEnd w:id="4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5577736B"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lastRenderedPageBreak/>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xml:space="preserve">. Während Produkt-Management und Entwicklung demnach Veränderungen benötigen, strebt der Betrieb nach wenig Veränderung.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w:t>
          </w:r>
          <w:r w:rsidR="00E668F2">
            <w:rPr>
              <w:noProof/>
            </w:rPr>
            <w:lastRenderedPageBreak/>
            <w:t>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lastRenderedPageBreak/>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1" w:name="_Ref445907730"/>
      <w:bookmarkStart w:id="42" w:name="_Toc455576763"/>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1"/>
      <w:r w:rsidRPr="00CD6296">
        <w:t>: Überblick ITIL</w:t>
      </w:r>
      <w:bookmarkEnd w:id="42"/>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3" w:name="_Ref450729038"/>
      <w:bookmarkStart w:id="44" w:name="_Toc455589762"/>
      <w:r>
        <w:lastRenderedPageBreak/>
        <w:t>Risiken im</w:t>
      </w:r>
      <w:r w:rsidR="00E67FF7">
        <w:t xml:space="preserve"> Produktlebenszyklus</w:t>
      </w:r>
      <w:bookmarkEnd w:id="43"/>
      <w:r w:rsidR="00F5007E">
        <w:t xml:space="preserve"> als Basis</w:t>
      </w:r>
      <w:r>
        <w:t xml:space="preserve"> der Standardtypen</w:t>
      </w:r>
      <w:bookmarkEnd w:id="44"/>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5" w:name="_Toc455589763"/>
      <w:r>
        <w:t>Entwicklung</w:t>
      </w:r>
      <w:bookmarkEnd w:id="45"/>
    </w:p>
    <w:p w14:paraId="225FDF34" w14:textId="72771E35"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6" w:name="_Toc455589764"/>
      <w:r>
        <w:t>Einführung</w:t>
      </w:r>
      <w:bookmarkEnd w:id="46"/>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47" w:name="_Toc455589765"/>
      <w:r>
        <w:t>Wachstum</w:t>
      </w:r>
      <w:bookmarkEnd w:id="47"/>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48" w:name="_Toc455589766"/>
      <w:r>
        <w:t>Reife</w:t>
      </w:r>
      <w:bookmarkEnd w:id="48"/>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49" w:name="_Toc455589767"/>
      <w:r>
        <w:t>Entsorgung</w:t>
      </w:r>
      <w:bookmarkEnd w:id="49"/>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0" w:name="_Ref451345102"/>
      <w:bookmarkStart w:id="51" w:name="_Toc455589768"/>
      <w:r>
        <w:t>Zusammenf</w:t>
      </w:r>
      <w:r w:rsidR="0007273A">
        <w:t xml:space="preserve">assung der Risiken </w:t>
      </w:r>
      <w:r w:rsidR="0074599A">
        <w:t>in den</w:t>
      </w:r>
      <w:r>
        <w:t xml:space="preserve"> Phasen</w:t>
      </w:r>
      <w:bookmarkEnd w:id="50"/>
      <w:bookmarkEnd w:id="51"/>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52" w:name="_Ref450759520"/>
      <w:bookmarkStart w:id="53" w:name="_Toc455661559"/>
      <w:r>
        <w:t xml:space="preserve">Tabelle </w:t>
      </w:r>
      <w:fldSimple w:instr=" STYLEREF 1 \s ">
        <w:r w:rsidR="00EA4433">
          <w:rPr>
            <w:noProof/>
          </w:rPr>
          <w:t>3</w:t>
        </w:r>
      </w:fldSimple>
      <w:r w:rsidR="00EA4433">
        <w:t>.</w:t>
      </w:r>
      <w:fldSimple w:instr=" SEQ Tabelle \* ARABIC \s 1 ">
        <w:r w:rsidR="00EA4433">
          <w:rPr>
            <w:noProof/>
          </w:rPr>
          <w:t>1</w:t>
        </w:r>
      </w:fldSimple>
      <w:bookmarkEnd w:id="52"/>
      <w:r>
        <w:t>: Zuordnung Risikotypen zu Produktlebenszyklusphasen</w:t>
      </w:r>
      <w:bookmarkEnd w:id="53"/>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commentRangeStart w:id="54"/>
            <w:r>
              <w:rPr>
                <w:color w:val="FFFFFF" w:themeColor="background1"/>
              </w:rPr>
              <w:t>Risikotyp</w:t>
            </w:r>
            <w:commentRangeEnd w:id="54"/>
            <w:r w:rsidR="00906349">
              <w:rPr>
                <w:rStyle w:val="Kommentarzeichen"/>
              </w:rPr>
              <w:commentReference w:id="54"/>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55" w:name="_Ref450760245"/>
      <w:bookmarkStart w:id="56" w:name="_Toc455661560"/>
      <w:bookmarkStart w:id="57" w:name="_Ref455661998"/>
      <w:r>
        <w:t xml:space="preserve">Tabelle </w:t>
      </w:r>
      <w:fldSimple w:instr=" STYLEREF 1 \s ">
        <w:r w:rsidR="00EA4433">
          <w:rPr>
            <w:noProof/>
          </w:rPr>
          <w:t>3</w:t>
        </w:r>
      </w:fldSimple>
      <w:r w:rsidR="00EA4433">
        <w:t>.</w:t>
      </w:r>
      <w:fldSimple w:instr=" SEQ Tabelle \* ARABIC \s 1 ">
        <w:r w:rsidR="00EA4433">
          <w:rPr>
            <w:noProof/>
          </w:rPr>
          <w:t>2</w:t>
        </w:r>
      </w:fldSimple>
      <w:bookmarkEnd w:id="55"/>
      <w:r>
        <w:t xml:space="preserve">: </w:t>
      </w:r>
      <w:r w:rsidR="002C090B">
        <w:t xml:space="preserve">Reduzierte </w:t>
      </w:r>
      <w:r>
        <w:t xml:space="preserve">Zuordnung </w:t>
      </w:r>
      <w:r w:rsidR="002C090B">
        <w:t xml:space="preserve">Risikotypen zu </w:t>
      </w:r>
      <w:r>
        <w:t>Produktlebenszyklusphasen</w:t>
      </w:r>
      <w:bookmarkEnd w:id="56"/>
      <w:bookmarkEnd w:id="57"/>
    </w:p>
    <w:p w14:paraId="2C9D845E" w14:textId="31EBD920" w:rsidR="00A5132D" w:rsidRPr="00A5132D" w:rsidRDefault="00A5132D" w:rsidP="00A5132D">
      <w:pPr>
        <w:jc w:val="center"/>
      </w:pPr>
      <w:r>
        <w:t>Quelle: eigene Tabelle</w:t>
      </w:r>
    </w:p>
    <w:p w14:paraId="1EFF39B5" w14:textId="4C5ABE77" w:rsidR="00461FAA" w:rsidRDefault="0042751A" w:rsidP="00E67FF7">
      <w:pPr>
        <w:pStyle w:val="berschrift1"/>
      </w:pPr>
      <w:bookmarkStart w:id="58" w:name="_Toc455589769"/>
      <w:r>
        <w:lastRenderedPageBreak/>
        <w:t>Faktoren</w:t>
      </w:r>
      <w:r w:rsidR="00461FAA">
        <w:t xml:space="preserve"> des </w:t>
      </w:r>
      <w:r w:rsidR="00803CAA">
        <w:t>Release-Management</w:t>
      </w:r>
      <w:r w:rsidR="00461FAA">
        <w:t>s zum Umgang mit Risiken</w:t>
      </w:r>
      <w:bookmarkEnd w:id="58"/>
    </w:p>
    <w:p w14:paraId="67B3684E" w14:textId="4BA96B5A"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xml:space="preserve">, da es als de-facto Standard gilt (vgl.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59"/>
      <w:r w:rsidR="00425DD7">
        <w:t>ISO/IEC 20000 Norm sowie aus dem IT-Referenzmodell COBIT ergänzt</w:t>
      </w:r>
      <w:commentRangeEnd w:id="59"/>
      <w:r w:rsidR="00FB6DF4">
        <w:rPr>
          <w:rStyle w:val="Kommentarzeichen"/>
        </w:rPr>
        <w:commentReference w:id="59"/>
      </w:r>
      <w:r w:rsidR="00425DD7">
        <w:t xml:space="preserve">. </w:t>
      </w:r>
      <w:bookmarkStart w:id="60"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1" w:name="_Ref446517322"/>
      <w:bookmarkStart w:id="62" w:name="_Toc455589770"/>
      <w:bookmarkEnd w:id="60"/>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1"/>
      <w:bookmarkEnd w:id="62"/>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6577052C"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63"/>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w:t>
      </w:r>
      <w:r w:rsidR="00AD3CB4">
        <w:t>rvices betreuen muss, da sie</w:t>
      </w:r>
      <w:r w:rsidR="006A6B63">
        <w:t xml:space="preserve"> für einen kleineren Verantwortungsbereich</w:t>
      </w:r>
      <w:r w:rsidR="00EA2F6B">
        <w:t xml:space="preserve"> pro Service</w:t>
      </w:r>
      <w:r w:rsidR="006A6B63">
        <w:t xml:space="preserve"> zuständig ist.</w:t>
      </w:r>
      <w:r w:rsidR="008D3E9B">
        <w:t xml:space="preserve"> </w:t>
      </w:r>
      <w:r w:rsidR="00AD3CB4">
        <w:t>Die dadurch häufiger notwendigen</w:t>
      </w:r>
      <w:r w:rsidR="006A6B63">
        <w:t xml:space="preserve"> Aufgabenwechsel </w:t>
      </w:r>
      <w:r w:rsidR="00AD3CB4">
        <w:t>führen zu längeren Bearbeitungszeiten, da jeweils eine gewisse Einarbeitungszeit benötigt wird</w:t>
      </w:r>
      <w:r w:rsidR="008D3E9B">
        <w:t>.</w:t>
      </w:r>
      <w:r w:rsidR="00645DA8">
        <w:t xml:space="preserve"> Verstärkt wird dieser Effekt durch Verständnisprobleme</w:t>
      </w:r>
      <w:r w:rsidR="00EA2F6B">
        <w:t xml:space="preserve"> und eine geringe</w:t>
      </w:r>
      <w:r w:rsidR="00AD3CB4">
        <w:t>re</w:t>
      </w:r>
      <w:r w:rsidR="00EA2F6B">
        <w:t xml:space="preserve"> Bindung zum Produkt</w:t>
      </w:r>
      <w:r w:rsidR="00441A31">
        <w:t xml:space="preserve">, welche zu </w:t>
      </w:r>
      <w:r w:rsidR="00AD3CB4">
        <w:t>weite</w:t>
      </w:r>
      <w:r w:rsidR="00AD3CB4">
        <w:lastRenderedPageBreak/>
        <w:t xml:space="preserve">ren Verzögerungen durch unnötige </w:t>
      </w:r>
      <w:r w:rsidR="00645DA8">
        <w:t>Ablehnung</w:t>
      </w:r>
      <w:r w:rsidR="00AD3CB4">
        <w:t>en</w:t>
      </w:r>
      <w:r w:rsidR="00645DA8">
        <w:t xml:space="preserve"> </w:t>
      </w:r>
      <w:r w:rsidR="00EA2F6B">
        <w:t>und zu geringer Motivation führen</w:t>
      </w:r>
      <w:r w:rsidR="00645DA8">
        <w:t xml:space="preserve"> können</w:t>
      </w:r>
      <w:r w:rsidR="00EA2F6B">
        <w:t>.</w:t>
      </w:r>
      <w:r w:rsidR="00645DA8">
        <w:t xml:space="preserve"> </w:t>
      </w:r>
      <w:commentRangeEnd w:id="63"/>
      <w:r w:rsidR="00EA2F6B">
        <w:rPr>
          <w:rStyle w:val="Kommentarzeichen"/>
        </w:rPr>
        <w:commentReference w:id="63"/>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64" w:name="_Ref450406185"/>
      <w:bookmarkStart w:id="65" w:name="_Ref450406361"/>
      <w:bookmarkStart w:id="66" w:name="_Ref450406746"/>
      <w:bookmarkStart w:id="67" w:name="_Ref450484385"/>
      <w:bookmarkStart w:id="68" w:name="_Ref450484394"/>
      <w:bookmarkStart w:id="69" w:name="_Toc455589771"/>
      <w:r w:rsidRPr="005E2E45">
        <w:t>Change Management</w:t>
      </w:r>
      <w:bookmarkEnd w:id="64"/>
      <w:bookmarkEnd w:id="65"/>
      <w:bookmarkEnd w:id="66"/>
      <w:bookmarkEnd w:id="67"/>
      <w:bookmarkEnd w:id="68"/>
      <w:bookmarkEnd w:id="69"/>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w:t>
      </w:r>
      <w:r w:rsidR="008608B3">
        <w:lastRenderedPageBreak/>
        <w:t>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8D5C270"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 xml:space="preserve">Sehr </w:t>
      </w:r>
      <w:r w:rsidR="00FC0D49">
        <w:lastRenderedPageBreak/>
        <w:t>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w:t>
      </w:r>
      <w:r w:rsidR="00EF3AB7">
        <w:lastRenderedPageBreak/>
        <w:t>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0" w:name="_Toc45558977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0"/>
    </w:p>
    <w:p w14:paraId="5650935D" w14:textId="3AB9C59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lastRenderedPageBreak/>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1" w:name="_Ref449366923"/>
      <w:bookmarkStart w:id="72" w:name="_Toc455589773"/>
      <w:r>
        <w:t xml:space="preserve">Release </w:t>
      </w:r>
      <w:proofErr w:type="spellStart"/>
      <w:r>
        <w:t>And</w:t>
      </w:r>
      <w:proofErr w:type="spellEnd"/>
      <w:r>
        <w:t xml:space="preserve"> </w:t>
      </w:r>
      <w:proofErr w:type="spellStart"/>
      <w:r>
        <w:t>Deployment</w:t>
      </w:r>
      <w:proofErr w:type="spellEnd"/>
      <w:r>
        <w:t xml:space="preserve"> Management</w:t>
      </w:r>
      <w:bookmarkEnd w:id="71"/>
      <w:bookmarkEnd w:id="72"/>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lastRenderedPageBreak/>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7DB86A5A"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 xml:space="preserve">Stufe im </w:t>
      </w:r>
      <w:proofErr w:type="spellStart"/>
      <w:r w:rsidR="00845B0C">
        <w:t>phase</w:t>
      </w:r>
      <w:r w:rsidR="003362A0">
        <w:t>weisen</w:t>
      </w:r>
      <w:proofErr w:type="spellEnd"/>
      <w:r w:rsidR="003362A0">
        <w:t xml:space="preserve">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w:t>
      </w:r>
      <w:r w:rsidR="003362A0">
        <w:lastRenderedPageBreak/>
        <w:t xml:space="preserve">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3D71D894"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w:t>
      </w:r>
      <w:r>
        <w:lastRenderedPageBreak/>
        <w:t>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73" w:name="_Toc455589774"/>
      <w:r>
        <w:t xml:space="preserve">Service Validation </w:t>
      </w:r>
      <w:proofErr w:type="spellStart"/>
      <w:r>
        <w:t>And</w:t>
      </w:r>
      <w:proofErr w:type="spellEnd"/>
      <w:r>
        <w:t xml:space="preserve"> </w:t>
      </w:r>
      <w:proofErr w:type="spellStart"/>
      <w:r>
        <w:t>Testing</w:t>
      </w:r>
      <w:bookmarkEnd w:id="73"/>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lastRenderedPageBreak/>
        <w:t>Automatisierung der notwendigen Tätigkeiten bei komplexen und kritischen Systemen sowie bei tendenziell zeitkritischen Releases.</w:t>
      </w:r>
    </w:p>
    <w:p w14:paraId="1901305C" w14:textId="5B729DF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 xml:space="preserve">ktivitäten, </w:t>
      </w:r>
      <w:r w:rsidR="00F772C2">
        <w:lastRenderedPageBreak/>
        <w:t>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74" w:name="_Ref450314400"/>
      <w:bookmarkStart w:id="75" w:name="_Toc455576764"/>
      <w:r>
        <w:t xml:space="preserve">Abbildung </w:t>
      </w:r>
      <w:fldSimple w:instr=" STYLEREF 1 \s ">
        <w:r>
          <w:rPr>
            <w:noProof/>
          </w:rPr>
          <w:t>4</w:t>
        </w:r>
      </w:fldSimple>
      <w:r>
        <w:t>.</w:t>
      </w:r>
      <w:fldSimple w:instr=" SEQ Abbildung \* ARABIC \s 1 ">
        <w:r>
          <w:rPr>
            <w:noProof/>
          </w:rPr>
          <w:t>1</w:t>
        </w:r>
      </w:fldSimple>
      <w:bookmarkEnd w:id="74"/>
      <w:r>
        <w:t>: Fehlerbehebungskosten</w:t>
      </w:r>
      <w:bookmarkEnd w:id="75"/>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0DB1E0D4"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w:t>
      </w:r>
      <w:r w:rsidR="001B2E93">
        <w:lastRenderedPageBreak/>
        <w:t>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76" w:name="_Toc455589775"/>
      <w:r>
        <w:t>Change Eva</w:t>
      </w:r>
      <w:r w:rsidR="00BE5B1B">
        <w:t>lu</w:t>
      </w:r>
      <w:r>
        <w:t>a</w:t>
      </w:r>
      <w:r w:rsidR="00BE5B1B">
        <w:t>tion</w:t>
      </w:r>
      <w:bookmarkEnd w:id="76"/>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w:t>
      </w:r>
      <w:r w:rsidR="00192BB8">
        <w:lastRenderedPageBreak/>
        <w:t>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AF8AB4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w:t>
      </w:r>
      <w:r w:rsidR="004B6D29">
        <w:lastRenderedPageBreak/>
        <w:t>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77" w:name="_Ref453164897"/>
      <w:bookmarkStart w:id="78" w:name="_Toc455589776"/>
      <w:r>
        <w:t>Knowledge Management</w:t>
      </w:r>
      <w:bookmarkEnd w:id="77"/>
      <w:bookmarkEnd w:id="78"/>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79" w:name="_Toc455589777"/>
      <w:r>
        <w:t xml:space="preserve">Zusammenfassung der </w:t>
      </w:r>
      <w:r w:rsidR="0042751A">
        <w:t xml:space="preserve">Faktoren des </w:t>
      </w:r>
      <w:r>
        <w:t>Release-Management</w:t>
      </w:r>
      <w:r w:rsidR="0042751A">
        <w:t>s</w:t>
      </w:r>
      <w:bookmarkEnd w:id="79"/>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0D48A8" w:rsidRDefault="00845B0C" w:rsidP="00EE189C">
            <w:r>
              <w:t>„back out“ oder „</w:t>
            </w:r>
            <w:proofErr w:type="spellStart"/>
            <w:r>
              <w:t>go</w:t>
            </w:r>
            <w:proofErr w:type="spellEnd"/>
            <w:r>
              <w:t xml:space="preserve"> </w:t>
            </w:r>
            <w:proofErr w:type="spellStart"/>
            <w:r>
              <w:t>forward</w:t>
            </w:r>
            <w:proofErr w:type="spellEnd"/>
            <w:r>
              <w:t>“</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80" w:name="_Ref451345409"/>
      <w:bookmarkStart w:id="81" w:name="_Toc455661561"/>
      <w:r>
        <w:t xml:space="preserve">Tabelle </w:t>
      </w:r>
      <w:fldSimple w:instr=" STYLEREF 1 \s ">
        <w:r w:rsidR="00EA4433">
          <w:rPr>
            <w:noProof/>
          </w:rPr>
          <w:t>4</w:t>
        </w:r>
      </w:fldSimple>
      <w:r w:rsidR="00EA4433">
        <w:t>.</w:t>
      </w:r>
      <w:fldSimple w:instr=" SEQ Tabelle \* ARABIC \s 1 ">
        <w:r w:rsidR="00EA4433">
          <w:rPr>
            <w:noProof/>
          </w:rPr>
          <w:t>1</w:t>
        </w:r>
      </w:fldSimple>
      <w:bookmarkEnd w:id="80"/>
      <w:r>
        <w:t xml:space="preserve">: </w:t>
      </w:r>
      <w:r w:rsidR="00C12B92">
        <w:t xml:space="preserve">Übersicht </w:t>
      </w:r>
      <w:r>
        <w:t xml:space="preserve">Prozessfaktoren </w:t>
      </w:r>
      <w:r w:rsidR="00C12B92">
        <w:t>und Ausprägungen</w:t>
      </w:r>
      <w:bookmarkEnd w:id="81"/>
    </w:p>
    <w:p w14:paraId="4ECBA5F9" w14:textId="41907548" w:rsidR="00F55C2B" w:rsidRDefault="00F55C2B" w:rsidP="00F55C2B">
      <w:pPr>
        <w:jc w:val="center"/>
      </w:pPr>
      <w:r>
        <w:t>Quelle: eigene Tabelle</w:t>
      </w:r>
    </w:p>
    <w:p w14:paraId="75AB23FC" w14:textId="77777777" w:rsidR="00F55C2B" w:rsidRPr="00F55C2B" w:rsidRDefault="00F55C2B" w:rsidP="00F55C2B">
      <w:pPr>
        <w:jc w:val="left"/>
      </w:pPr>
    </w:p>
    <w:p w14:paraId="69529776" w14:textId="10970FA1" w:rsidR="00461FAA" w:rsidRDefault="004412B1" w:rsidP="00461FAA">
      <w:pPr>
        <w:pStyle w:val="berschrift1"/>
      </w:pPr>
      <w:bookmarkStart w:id="82" w:name="_Ref442963953"/>
      <w:bookmarkStart w:id="83" w:name="_Toc455589778"/>
      <w:r>
        <w:lastRenderedPageBreak/>
        <w:t>Ableitung</w:t>
      </w:r>
      <w:r w:rsidR="00BC71A2">
        <w:t xml:space="preserve"> der Standardtypen </w:t>
      </w:r>
      <w:r w:rsidR="008A5B48">
        <w:t>aus den Faktoren</w:t>
      </w:r>
      <w:bookmarkEnd w:id="82"/>
      <w:r w:rsidR="008A5B48">
        <w:t xml:space="preserve"> und Risiken</w:t>
      </w:r>
      <w:bookmarkEnd w:id="83"/>
    </w:p>
    <w:p w14:paraId="48C18A00" w14:textId="4A3F477E" w:rsidR="00386B1B" w:rsidRDefault="00F3225E" w:rsidP="00386B1B">
      <w:r>
        <w:t>In Kapitel 3</w:t>
      </w:r>
      <w:r w:rsidR="00386B1B">
        <w:t xml:space="preserve"> erfolgte die Vorstellung der Risiken </w:t>
      </w:r>
      <w:r w:rsidR="008A5B48">
        <w:t>in den</w:t>
      </w:r>
      <w:r w:rsidR="00386B1B">
        <w:t xml:space="preserve"> einzelnen Produktlebenszyklusphasen und die Zusammenfassung zu unterschiedlichen </w:t>
      </w:r>
      <w:r w:rsidR="001B2E93">
        <w:t>Risikotypen</w:t>
      </w:r>
      <w:r w:rsidR="00386B1B">
        <w:t>. Mögliche Risikobehandlungsmaßnahmen des Release-M</w:t>
      </w:r>
      <w:r>
        <w:t>anagements wurden in Kapitel 4</w:t>
      </w:r>
      <w:r w:rsidR="00386B1B">
        <w:t xml:space="preserve"> vorgestellt. Dieses Kapitel beschäftigt sich mit der Zuordnung der </w:t>
      </w:r>
      <w:r w:rsidR="0096561C">
        <w:t xml:space="preserve">relevanten Faktoren der </w:t>
      </w:r>
      <w:r w:rsidR="00386B1B">
        <w:t>Release-Management-Prozesse zu den Produktlebenszyklusgruppen a</w:t>
      </w:r>
      <w:r w:rsidR="000D48A8">
        <w:t xml:space="preserve">nhand der vorliegenden </w:t>
      </w:r>
      <w:r w:rsidR="001B2E93">
        <w:t>Risikotypen</w:t>
      </w:r>
      <w:r w:rsidR="00386B1B">
        <w:t xml:space="preserve">. Dazu werden die </w:t>
      </w:r>
      <w:r>
        <w:t>herausgearbeitet</w:t>
      </w:r>
      <w:r w:rsidR="003362A0">
        <w:t>en</w:t>
      </w:r>
      <w:r>
        <w:t xml:space="preserve"> </w:t>
      </w:r>
      <w:r w:rsidR="0096561C">
        <w:t>Faktoren</w:t>
      </w:r>
      <w:r w:rsidR="00386B1B">
        <w:t xml:space="preserve"> der Release-Management-Prozesse je nach Bedingung </w:t>
      </w:r>
      <w:r>
        <w:t>konkretisiert und</w:t>
      </w:r>
      <w:r w:rsidR="00386B1B">
        <w:t xml:space="preserve"> beschrieben.</w:t>
      </w:r>
    </w:p>
    <w:p w14:paraId="49B7CD28" w14:textId="7360F296" w:rsidR="00F55C2B" w:rsidRPr="00EA4433" w:rsidRDefault="00F55C2B" w:rsidP="00386B1B">
      <w:pPr>
        <w:rPr>
          <w:highlight w:val="yellow"/>
        </w:rPr>
      </w:pPr>
      <w:r w:rsidRPr="00EA4433">
        <w:rPr>
          <w:highlight w:val="yellow"/>
        </w:rPr>
        <w:t>Innerhalb von ITIL werden für die große Anzahl von Faktoren keine weiteren Detaillierungen vorgeschlagen, so dass bei jeder Etablierung dieser Prozesse ggf. für jeden einzelnen Service eine umfangreiche Analyse notwendig ist. Mittels Standardtypen werden...</w:t>
      </w:r>
    </w:p>
    <w:p w14:paraId="599BCAE3" w14:textId="283EFE6F" w:rsidR="00EA4433" w:rsidRPr="00386B1B" w:rsidRDefault="00EA4433" w:rsidP="00386B1B">
      <w:r w:rsidRPr="00EA4433">
        <w:rPr>
          <w:highlight w:val="yellow"/>
        </w:rPr>
        <w:t xml:space="preserve">Standardtypen </w:t>
      </w:r>
      <w:proofErr w:type="spellStart"/>
      <w:r w:rsidRPr="00EA4433">
        <w:rPr>
          <w:highlight w:val="yellow"/>
        </w:rPr>
        <w:t>bezeic</w:t>
      </w:r>
      <w:r w:rsidR="001B2E93">
        <w:rPr>
          <w:highlight w:val="yellow"/>
        </w:rPr>
        <w:t>hnung</w:t>
      </w:r>
      <w:proofErr w:type="spellEnd"/>
      <w:r w:rsidR="001B2E93">
        <w:rPr>
          <w:highlight w:val="yellow"/>
        </w:rPr>
        <w:t xml:space="preserve"> erfolgt gemäß Risikotyp</w:t>
      </w:r>
      <w:r w:rsidRPr="00EA4433">
        <w:rPr>
          <w:highlight w:val="yellow"/>
        </w:rPr>
        <w:t>bezeichnung</w:t>
      </w:r>
    </w:p>
    <w:p w14:paraId="07414298" w14:textId="70566637" w:rsidR="00386B1B" w:rsidRDefault="003B6916" w:rsidP="00461FAA">
      <w:pPr>
        <w:pStyle w:val="berschrift2"/>
      </w:pPr>
      <w:bookmarkStart w:id="84" w:name="_Toc455589779"/>
      <w:r>
        <w:t>Zeit</w:t>
      </w:r>
      <w:bookmarkEnd w:id="84"/>
    </w:p>
    <w:p w14:paraId="78804359" w14:textId="30BA3C90" w:rsidR="003B6916" w:rsidRDefault="003B6916" w:rsidP="001B2E93">
      <w:pPr>
        <w:rPr>
          <w:highlight w:val="yellow"/>
        </w:rPr>
      </w:pPr>
      <w:r w:rsidRPr="001660B4">
        <w:rPr>
          <w:b/>
          <w:highlight w:val="yellow"/>
        </w:rPr>
        <w:t>Release-Zyklus</w:t>
      </w:r>
      <w:r>
        <w:rPr>
          <w:highlight w:val="yellow"/>
        </w:rPr>
        <w:t xml:space="preserve"> kurz, weil </w:t>
      </w:r>
      <w:proofErr w:type="spellStart"/>
      <w:r>
        <w:rPr>
          <w:highlight w:val="yellow"/>
        </w:rPr>
        <w:t>bla</w:t>
      </w:r>
      <w:proofErr w:type="spellEnd"/>
      <w:r>
        <w:rPr>
          <w:highlight w:val="yellow"/>
        </w:rPr>
        <w:t xml:space="preserve">, typisch </w:t>
      </w:r>
      <w:proofErr w:type="spellStart"/>
      <w:r>
        <w:rPr>
          <w:highlight w:val="yellow"/>
        </w:rPr>
        <w:t>Scrum</w:t>
      </w:r>
      <w:proofErr w:type="spellEnd"/>
      <w:r>
        <w:rPr>
          <w:highlight w:val="yellow"/>
        </w:rPr>
        <w:t xml:space="preserve"> 2 Wochen, aber auch ad-hoc möglich...</w:t>
      </w:r>
    </w:p>
    <w:p w14:paraId="24379C8C" w14:textId="77777777" w:rsidR="001660B4" w:rsidRDefault="001660B4" w:rsidP="001660B4">
      <w:r>
        <w:t>Freigaberollen</w:t>
      </w:r>
    </w:p>
    <w:p w14:paraId="047D5E63" w14:textId="77777777" w:rsidR="001660B4" w:rsidRDefault="001660B4" w:rsidP="001660B4">
      <w:r>
        <w:t>Change-Typ</w:t>
      </w:r>
    </w:p>
    <w:p w14:paraId="589A9FEE" w14:textId="77777777" w:rsidR="001660B4" w:rsidRDefault="001660B4" w:rsidP="001660B4">
      <w:r>
        <w:t>Wartungsfenster</w:t>
      </w:r>
    </w:p>
    <w:p w14:paraId="3EF64E7E" w14:textId="77777777" w:rsidR="001660B4" w:rsidRDefault="001660B4" w:rsidP="001660B4">
      <w:r>
        <w:t>Release-Einheit</w:t>
      </w:r>
    </w:p>
    <w:p w14:paraId="0A2E1A3C" w14:textId="77777777" w:rsidR="001660B4" w:rsidRDefault="001660B4" w:rsidP="001660B4">
      <w:r>
        <w:t>Release-Methode</w:t>
      </w:r>
    </w:p>
    <w:p w14:paraId="25B116D6" w14:textId="77777777" w:rsidR="001660B4" w:rsidRDefault="001660B4" w:rsidP="001660B4">
      <w:r>
        <w:t>Automatisierungsgrad</w:t>
      </w:r>
    </w:p>
    <w:p w14:paraId="15C5DB93" w14:textId="77777777" w:rsidR="001660B4" w:rsidRDefault="001660B4" w:rsidP="001660B4">
      <w:proofErr w:type="spellStart"/>
      <w:r>
        <w:t>Remediation</w:t>
      </w:r>
      <w:proofErr w:type="spellEnd"/>
    </w:p>
    <w:p w14:paraId="628542FC" w14:textId="77777777" w:rsidR="001660B4" w:rsidRDefault="001660B4" w:rsidP="001660B4">
      <w:r>
        <w:t>Early Life Support</w:t>
      </w:r>
    </w:p>
    <w:p w14:paraId="2D679A4F" w14:textId="77777777" w:rsidR="001660B4" w:rsidRDefault="001660B4" w:rsidP="001660B4">
      <w:r>
        <w:t>Trennung Test/Entwicklung</w:t>
      </w:r>
    </w:p>
    <w:p w14:paraId="7A979D97" w14:textId="77777777" w:rsidR="001660B4" w:rsidRDefault="001660B4" w:rsidP="001660B4">
      <w:r>
        <w:t>Frühzeitige Tests</w:t>
      </w:r>
    </w:p>
    <w:p w14:paraId="2585A258" w14:textId="77777777" w:rsidR="001660B4" w:rsidRDefault="001660B4" w:rsidP="001660B4">
      <w:r>
        <w:t>Endnutzertest</w:t>
      </w:r>
    </w:p>
    <w:p w14:paraId="3573A2D9" w14:textId="48308AEA" w:rsidR="001660B4" w:rsidRPr="001660B4" w:rsidRDefault="001660B4" w:rsidP="001B2E93">
      <w:r>
        <w:t>Testautomatisierung</w:t>
      </w:r>
    </w:p>
    <w:p w14:paraId="52848B21" w14:textId="70E2FEED" w:rsidR="00C67860" w:rsidRDefault="003B6916" w:rsidP="00C67860">
      <w:pPr>
        <w:pStyle w:val="berschrift2"/>
      </w:pPr>
      <w:bookmarkStart w:id="85" w:name="_Toc455589781"/>
      <w:r>
        <w:t>Kosten</w:t>
      </w:r>
      <w:bookmarkEnd w:id="85"/>
    </w:p>
    <w:p w14:paraId="1F67837B" w14:textId="108986F1" w:rsidR="00612429" w:rsidRDefault="001660B4" w:rsidP="00612429">
      <w:pPr>
        <w:rPr>
          <w:highlight w:val="yellow"/>
        </w:rPr>
      </w:pPr>
      <w:r>
        <w:rPr>
          <w:highlight w:val="yellow"/>
        </w:rPr>
        <w:t>Release-Zyklus</w:t>
      </w:r>
    </w:p>
    <w:p w14:paraId="137A1BDF" w14:textId="77777777" w:rsidR="001660B4" w:rsidRDefault="001660B4" w:rsidP="001660B4">
      <w:r>
        <w:lastRenderedPageBreak/>
        <w:t>Freigaberollen</w:t>
      </w:r>
    </w:p>
    <w:p w14:paraId="4E8C05B0" w14:textId="77777777" w:rsidR="001660B4" w:rsidRDefault="001660B4" w:rsidP="001660B4">
      <w:r>
        <w:t>Change-Typ</w:t>
      </w:r>
    </w:p>
    <w:p w14:paraId="6CC31C4F" w14:textId="77777777" w:rsidR="001660B4" w:rsidRDefault="001660B4" w:rsidP="001660B4">
      <w:r>
        <w:t>Wartungsfenster</w:t>
      </w:r>
    </w:p>
    <w:p w14:paraId="1421E7B5" w14:textId="77777777" w:rsidR="001660B4" w:rsidRDefault="001660B4" w:rsidP="001660B4">
      <w:r>
        <w:t>Release-Einheit</w:t>
      </w:r>
    </w:p>
    <w:p w14:paraId="73C2B888" w14:textId="77777777" w:rsidR="001660B4" w:rsidRDefault="001660B4" w:rsidP="001660B4">
      <w:r>
        <w:t>Release-Methode</w:t>
      </w:r>
    </w:p>
    <w:p w14:paraId="102E38F0" w14:textId="77777777" w:rsidR="001660B4" w:rsidRDefault="001660B4" w:rsidP="001660B4">
      <w:r>
        <w:t>Automatisierungsgrad</w:t>
      </w:r>
    </w:p>
    <w:p w14:paraId="584B08A8" w14:textId="77777777" w:rsidR="001660B4" w:rsidRDefault="001660B4" w:rsidP="001660B4">
      <w:proofErr w:type="spellStart"/>
      <w:r>
        <w:t>Remediation</w:t>
      </w:r>
      <w:proofErr w:type="spellEnd"/>
    </w:p>
    <w:p w14:paraId="5197FB15" w14:textId="77777777" w:rsidR="001660B4" w:rsidRDefault="001660B4" w:rsidP="001660B4">
      <w:r>
        <w:t>Early Life Support</w:t>
      </w:r>
    </w:p>
    <w:p w14:paraId="4E883D9A" w14:textId="77777777" w:rsidR="001660B4" w:rsidRDefault="001660B4" w:rsidP="001660B4">
      <w:r>
        <w:t>Trennung Test/Entwicklung</w:t>
      </w:r>
    </w:p>
    <w:p w14:paraId="5BB02924" w14:textId="77777777" w:rsidR="001660B4" w:rsidRDefault="001660B4" w:rsidP="001660B4">
      <w:r>
        <w:t>Frühzeitige Tests</w:t>
      </w:r>
    </w:p>
    <w:p w14:paraId="10272F03" w14:textId="77777777" w:rsidR="001660B4" w:rsidRDefault="001660B4" w:rsidP="001660B4">
      <w:r>
        <w:t>Endnutzertest</w:t>
      </w:r>
    </w:p>
    <w:p w14:paraId="094E0103" w14:textId="0E1E7735" w:rsidR="001660B4" w:rsidRPr="001660B4" w:rsidRDefault="001660B4" w:rsidP="00612429">
      <w:r>
        <w:t>Testautomatisierung</w:t>
      </w:r>
    </w:p>
    <w:p w14:paraId="0F308B21" w14:textId="6E978AA3" w:rsidR="00386B1B" w:rsidRDefault="00386B1B" w:rsidP="00386B1B">
      <w:pPr>
        <w:pStyle w:val="berschrift2"/>
      </w:pPr>
      <w:bookmarkStart w:id="86" w:name="_Toc455589782"/>
      <w:r>
        <w:t>Zusammenfassung der Standardtypen</w:t>
      </w:r>
      <w:bookmarkEnd w:id="86"/>
    </w:p>
    <w:p w14:paraId="21EA910E" w14:textId="41256AD1" w:rsidR="001660B4" w:rsidRPr="001660B4" w:rsidRDefault="001660B4" w:rsidP="001660B4">
      <w:r>
        <w:t xml:space="preserve">Die Ausführungen zu den Standardtypen und den Ausprägungen der Prozessfaktoren werden abschließend als Zusammenfassung in </w:t>
      </w:r>
      <w:r>
        <w:fldChar w:fldCharType="begin"/>
      </w:r>
      <w:r>
        <w:instrText xml:space="preserve"> REF _Ref455666335 \h </w:instrText>
      </w:r>
      <w:r>
        <w:fldChar w:fldCharType="separate"/>
      </w:r>
      <w:r>
        <w:t xml:space="preserve">Tabelle </w:t>
      </w:r>
      <w:r>
        <w:rPr>
          <w:noProof/>
        </w:rPr>
        <w:t>5</w:t>
      </w:r>
      <w:r>
        <w:t>.</w:t>
      </w:r>
      <w:r>
        <w:rPr>
          <w:noProof/>
        </w:rPr>
        <w:t>1</w:t>
      </w:r>
      <w:r>
        <w:fldChar w:fldCharType="end"/>
      </w:r>
      <w:bookmarkStart w:id="87" w:name="_GoBack"/>
      <w:bookmarkEnd w:id="87"/>
      <w:r>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937FCD">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4ADE62B3" w:rsidR="001B2E93" w:rsidRPr="0007273A" w:rsidRDefault="001B2E93" w:rsidP="00EA4433">
            <w:r>
              <w:t>Ad-hoc</w:t>
            </w:r>
          </w:p>
        </w:tc>
        <w:tc>
          <w:tcPr>
            <w:tcW w:w="2313" w:type="dxa"/>
            <w:shd w:val="clear" w:color="auto" w:fill="auto"/>
          </w:tcPr>
          <w:p w14:paraId="2AED2845" w14:textId="2A7D4004" w:rsidR="001B2E93" w:rsidRPr="0007273A" w:rsidRDefault="001660B4" w:rsidP="00EA4433">
            <w:r>
              <w:t>selten</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7920846B" w:rsidR="001B2E93" w:rsidRDefault="001B2E93" w:rsidP="00EA4433">
            <w:r>
              <w:t>PM</w:t>
            </w:r>
          </w:p>
        </w:tc>
        <w:tc>
          <w:tcPr>
            <w:tcW w:w="2313" w:type="dxa"/>
            <w:shd w:val="clear" w:color="auto" w:fill="auto"/>
          </w:tcPr>
          <w:p w14:paraId="7DEBE89C" w14:textId="28C41EFE" w:rsidR="001B2E93" w:rsidRDefault="001B2E93" w:rsidP="00EA4433">
            <w:r>
              <w:t>IT</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07273A" w:rsidRDefault="001B2E93" w:rsidP="00EA4433">
            <w:r>
              <w:t>Standard</w:t>
            </w:r>
          </w:p>
        </w:tc>
        <w:tc>
          <w:tcPr>
            <w:tcW w:w="2313" w:type="dxa"/>
            <w:shd w:val="clear" w:color="auto" w:fill="auto"/>
          </w:tcPr>
          <w:p w14:paraId="56C504B7" w14:textId="131B353F" w:rsidR="001B2E93" w:rsidRPr="0007273A" w:rsidRDefault="001B2E93" w:rsidP="00EA4433">
            <w:r>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77777777" w:rsidR="001B2E93" w:rsidRDefault="001B2E93" w:rsidP="00EA4433">
            <w:r>
              <w:t>nein</w:t>
            </w:r>
          </w:p>
        </w:tc>
        <w:tc>
          <w:tcPr>
            <w:tcW w:w="2313" w:type="dxa"/>
            <w:shd w:val="clear" w:color="auto" w:fill="auto"/>
          </w:tcPr>
          <w:p w14:paraId="6BE36215" w14:textId="77777777" w:rsidR="001B2E93" w:rsidRDefault="001B2E93" w:rsidP="00EA4433">
            <w:r>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0D48A8" w:rsidRDefault="001B2E93" w:rsidP="00EA4433">
            <w:r>
              <w:t>klein</w:t>
            </w:r>
          </w:p>
        </w:tc>
        <w:tc>
          <w:tcPr>
            <w:tcW w:w="2313" w:type="dxa"/>
            <w:shd w:val="clear" w:color="auto" w:fill="auto"/>
          </w:tcPr>
          <w:p w14:paraId="01D817B6" w14:textId="5C522DF8" w:rsidR="001B2E93" w:rsidRPr="000D48A8" w:rsidRDefault="001B2E93" w:rsidP="00EA4433">
            <w:r>
              <w:t>groß</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307B9F53" w:rsidR="001B2E93" w:rsidRPr="000D48A8" w:rsidRDefault="001660B4" w:rsidP="00EA4433">
            <w:r>
              <w:t>phasenweise</w:t>
            </w:r>
            <w:r w:rsidR="001B2E93">
              <w:t xml:space="preserve"> A/B</w:t>
            </w:r>
          </w:p>
        </w:tc>
        <w:tc>
          <w:tcPr>
            <w:tcW w:w="2313" w:type="dxa"/>
            <w:shd w:val="clear" w:color="auto" w:fill="auto"/>
          </w:tcPr>
          <w:p w14:paraId="6D1F33CD" w14:textId="1BFF4069" w:rsidR="001B2E93" w:rsidRPr="000D48A8" w:rsidRDefault="001B2E93" w:rsidP="00EA4433">
            <w:r>
              <w:t>Big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0D48A8" w:rsidRDefault="001B2E93" w:rsidP="00EA4433">
            <w:r>
              <w:t>hoch</w:t>
            </w:r>
          </w:p>
        </w:tc>
        <w:tc>
          <w:tcPr>
            <w:tcW w:w="2313" w:type="dxa"/>
            <w:shd w:val="clear" w:color="auto" w:fill="auto"/>
          </w:tcPr>
          <w:p w14:paraId="41958104" w14:textId="264655D1" w:rsidR="001B2E93" w:rsidRPr="000D48A8" w:rsidRDefault="001B2E93" w:rsidP="00EA4433">
            <w:r>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819DE05" w:rsidR="001B2E93" w:rsidRPr="000D48A8" w:rsidRDefault="001B2E93" w:rsidP="00EA4433">
            <w:r>
              <w:t xml:space="preserve">Go </w:t>
            </w:r>
            <w:proofErr w:type="spellStart"/>
            <w:r>
              <w:t>forward</w:t>
            </w:r>
            <w:proofErr w:type="spellEnd"/>
          </w:p>
        </w:tc>
        <w:tc>
          <w:tcPr>
            <w:tcW w:w="2313" w:type="dxa"/>
            <w:shd w:val="clear" w:color="auto" w:fill="auto"/>
          </w:tcPr>
          <w:p w14:paraId="0744BB59" w14:textId="651B3301" w:rsidR="001B2E93" w:rsidRPr="000D48A8" w:rsidRDefault="001B2E93" w:rsidP="00EA4433">
            <w:r>
              <w:t>Back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77777777" w:rsidR="001B2E93" w:rsidRPr="000D48A8" w:rsidRDefault="001B2E93" w:rsidP="00EA4433">
            <w:r>
              <w:t>ja</w:t>
            </w:r>
          </w:p>
        </w:tc>
        <w:tc>
          <w:tcPr>
            <w:tcW w:w="2313" w:type="dxa"/>
            <w:shd w:val="clear" w:color="auto" w:fill="auto"/>
          </w:tcPr>
          <w:p w14:paraId="444D275E" w14:textId="77777777" w:rsidR="001B2E93" w:rsidRPr="000D48A8" w:rsidRDefault="001B2E93" w:rsidP="00EA4433">
            <w:r>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lastRenderedPageBreak/>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0D48A8" w:rsidRDefault="001B2E93" w:rsidP="00EA4433">
            <w:r>
              <w:t>nein</w:t>
            </w:r>
          </w:p>
        </w:tc>
        <w:tc>
          <w:tcPr>
            <w:tcW w:w="2313" w:type="dxa"/>
            <w:shd w:val="clear" w:color="auto" w:fill="auto"/>
          </w:tcPr>
          <w:p w14:paraId="484125A0" w14:textId="77777777" w:rsidR="001B2E93" w:rsidRPr="000D48A8" w:rsidRDefault="001B2E93" w:rsidP="00EA4433">
            <w:r>
              <w:t>ja</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0D48A8" w:rsidRDefault="001B2E93" w:rsidP="00EA4433">
            <w:r>
              <w:t>ja</w:t>
            </w:r>
          </w:p>
        </w:tc>
        <w:tc>
          <w:tcPr>
            <w:tcW w:w="2313" w:type="dxa"/>
            <w:shd w:val="clear" w:color="auto" w:fill="auto"/>
          </w:tcPr>
          <w:p w14:paraId="09281443" w14:textId="261594D2" w:rsidR="001B2E93" w:rsidRPr="000D48A8" w:rsidRDefault="001B2E93" w:rsidP="00EA4433">
            <w:r>
              <w:t>nein</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0D48A8" w:rsidRDefault="001B2E93" w:rsidP="00EA4433">
            <w:r>
              <w:t>ja</w:t>
            </w:r>
          </w:p>
        </w:tc>
        <w:tc>
          <w:tcPr>
            <w:tcW w:w="2313" w:type="dxa"/>
            <w:shd w:val="clear" w:color="auto" w:fill="auto"/>
          </w:tcPr>
          <w:p w14:paraId="6FC9F0C1" w14:textId="7025A71F" w:rsidR="001B2E93" w:rsidRPr="000D48A8" w:rsidRDefault="001B2E93" w:rsidP="00EA4433">
            <w:r>
              <w:t>nein</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4D55F209" w:rsidR="001B2E93" w:rsidRPr="000D48A8" w:rsidRDefault="001B2E93" w:rsidP="00EA4433">
            <w:r>
              <w:t>ja</w:t>
            </w:r>
          </w:p>
        </w:tc>
        <w:tc>
          <w:tcPr>
            <w:tcW w:w="2313" w:type="dxa"/>
            <w:shd w:val="clear" w:color="auto" w:fill="auto"/>
          </w:tcPr>
          <w:p w14:paraId="3466C595" w14:textId="1B28ABBD" w:rsidR="001B2E93" w:rsidRPr="000D48A8" w:rsidRDefault="001B2E93" w:rsidP="00EA4433">
            <w:r>
              <w:t>nein</w:t>
            </w:r>
          </w:p>
        </w:tc>
      </w:tr>
    </w:tbl>
    <w:p w14:paraId="280AB9CC" w14:textId="5BCFAD8B" w:rsidR="00386B1B" w:rsidRDefault="00EA4433" w:rsidP="00EA4433">
      <w:pPr>
        <w:pStyle w:val="Beschriftung"/>
      </w:pPr>
      <w:bookmarkStart w:id="88" w:name="_Toc455661562"/>
      <w:bookmarkStart w:id="89" w:name="_Ref455666335"/>
      <w:r>
        <w:t xml:space="preserve">Tabelle </w:t>
      </w:r>
      <w:fldSimple w:instr=" STYLEREF 1 \s ">
        <w:r>
          <w:rPr>
            <w:noProof/>
          </w:rPr>
          <w:t>5</w:t>
        </w:r>
      </w:fldSimple>
      <w:r>
        <w:t>.</w:t>
      </w:r>
      <w:fldSimple w:instr=" SEQ Tabelle \* ARABIC \s 1 ">
        <w:r>
          <w:rPr>
            <w:noProof/>
          </w:rPr>
          <w:t>1</w:t>
        </w:r>
      </w:fldSimple>
      <w:bookmarkEnd w:id="89"/>
      <w:r>
        <w:t>: Zusammenfassung der Ausprägungen der Standardtypen</w:t>
      </w:r>
      <w:bookmarkEnd w:id="88"/>
    </w:p>
    <w:p w14:paraId="5EAD92CD" w14:textId="43E5A3F4" w:rsidR="00EA4433" w:rsidRPr="00EA4433" w:rsidRDefault="00EA4433" w:rsidP="00EA4433">
      <w:pPr>
        <w:jc w:val="center"/>
      </w:pPr>
      <w:r>
        <w:t>Quelle: eigene Tabelle</w:t>
      </w:r>
    </w:p>
    <w:p w14:paraId="6583C079" w14:textId="77777777" w:rsidR="00461FAA" w:rsidRDefault="00461FAA" w:rsidP="00461FAA">
      <w:pPr>
        <w:pStyle w:val="berschrift1"/>
      </w:pPr>
      <w:bookmarkStart w:id="90" w:name="_Ref442964028"/>
      <w:bookmarkStart w:id="91" w:name="_Toc455589783"/>
      <w:r>
        <w:lastRenderedPageBreak/>
        <w:t>Kritische Würdigung der Standardtypen</w:t>
      </w:r>
      <w:bookmarkEnd w:id="90"/>
      <w:bookmarkEnd w:id="91"/>
    </w:p>
    <w:p w14:paraId="56B83E54" w14:textId="220DA80E" w:rsidR="00853517" w:rsidRPr="00853517" w:rsidRDefault="00853517" w:rsidP="00803CAA">
      <w:pPr>
        <w:rPr>
          <w:highlight w:val="yellow"/>
        </w:rPr>
      </w:pPr>
      <w:r w:rsidRPr="00853517">
        <w:rPr>
          <w:highlight w:val="yellow"/>
        </w:rPr>
        <w:t>Konkrete</w:t>
      </w:r>
      <w:r w:rsidR="001660B4">
        <w:rPr>
          <w:highlight w:val="yellow"/>
        </w:rPr>
        <w:t>re</w:t>
      </w:r>
      <w:r w:rsidRPr="00853517">
        <w:rPr>
          <w:highlight w:val="yellow"/>
        </w:rPr>
        <w:t xml:space="preserve"> Vorgaben anstatt generisch wie ITIL</w:t>
      </w:r>
      <w:r w:rsidR="00EA4433">
        <w:rPr>
          <w:highlight w:val="yellow"/>
        </w:rPr>
        <w:t xml:space="preserve">, jedoch Vorgaben nur Vorschlag und konkret zu untersuchen </w:t>
      </w:r>
      <w:proofErr w:type="spellStart"/>
      <w:r w:rsidR="00EA4433">
        <w:rPr>
          <w:highlight w:val="yellow"/>
        </w:rPr>
        <w:t>bzlg</w:t>
      </w:r>
      <w:proofErr w:type="spellEnd"/>
      <w:r w:rsidR="00EA4433">
        <w:rPr>
          <w:highlight w:val="yellow"/>
        </w:rPr>
        <w:t xml:space="preserve">. </w:t>
      </w:r>
      <w:proofErr w:type="spellStart"/>
      <w:r w:rsidR="00EA4433">
        <w:rPr>
          <w:highlight w:val="yellow"/>
        </w:rPr>
        <w:t>ausgestaltung</w:t>
      </w:r>
      <w:proofErr w:type="spellEnd"/>
    </w:p>
    <w:p w14:paraId="05551E8C" w14:textId="2548B60B" w:rsidR="00803CAA" w:rsidRDefault="001660B4" w:rsidP="00803CAA">
      <w:pPr>
        <w:rPr>
          <w:highlight w:val="yellow"/>
        </w:rPr>
      </w:pPr>
      <w:r>
        <w:rPr>
          <w:highlight w:val="yellow"/>
        </w:rPr>
        <w:t xml:space="preserve">Neben Lebenszyklus </w:t>
      </w:r>
      <w:r w:rsidR="00BC71A2"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w:t>
      </w:r>
      <w:r w:rsidR="00EA4433">
        <w:rPr>
          <w:highlight w:val="yellow"/>
        </w:rPr>
        <w:t xml:space="preserve"> </w:t>
      </w:r>
      <w:proofErr w:type="spellStart"/>
      <w:r w:rsidR="00EA4433">
        <w:rPr>
          <w:highlight w:val="yellow"/>
        </w:rPr>
        <w:t>marktstellung</w:t>
      </w:r>
      <w:proofErr w:type="spellEnd"/>
      <w:r w:rsidR="00EA4433">
        <w:rPr>
          <w:highlight w:val="yellow"/>
        </w:rPr>
        <w:t xml:space="preserve"> (</w:t>
      </w:r>
      <w:proofErr w:type="spellStart"/>
      <w:r w:rsidR="00EA4433">
        <w:rPr>
          <w:highlight w:val="yellow"/>
        </w:rPr>
        <w:t>monopol</w:t>
      </w:r>
      <w:proofErr w:type="spellEnd"/>
      <w:r w:rsidR="00EA4433">
        <w:rPr>
          <w:highlight w:val="yellow"/>
        </w:rPr>
        <w:t xml:space="preserve"> -&gt; jederzeit </w:t>
      </w:r>
      <w:proofErr w:type="spellStart"/>
      <w:r w:rsidR="00EA4433">
        <w:rPr>
          <w:highlight w:val="yellow"/>
        </w:rPr>
        <w:t>gefahr</w:t>
      </w:r>
      <w:proofErr w:type="spellEnd"/>
      <w:r w:rsidR="00EA4433">
        <w:rPr>
          <w:highlight w:val="yellow"/>
        </w:rPr>
        <w:t xml:space="preserve"> </w:t>
      </w:r>
      <w:proofErr w:type="spellStart"/>
      <w:r w:rsidR="00EA4433">
        <w:rPr>
          <w:highlight w:val="yellow"/>
        </w:rPr>
        <w:t>verlust</w:t>
      </w:r>
      <w:proofErr w:type="spellEnd"/>
      <w:r w:rsidR="00EA4433">
        <w:rPr>
          <w:highlight w:val="yellow"/>
        </w:rPr>
        <w:t xml:space="preserve"> </w:t>
      </w:r>
      <w:proofErr w:type="spellStart"/>
      <w:r w:rsidR="00EA4433">
        <w:rPr>
          <w:highlight w:val="yellow"/>
        </w:rPr>
        <w:t>monopol</w:t>
      </w:r>
      <w:proofErr w:type="spellEnd"/>
      <w:r w:rsidR="00EA4433">
        <w:rPr>
          <w:highlight w:val="yellow"/>
        </w:rPr>
        <w:t>),</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w:t>
      </w:r>
      <w:r w:rsidR="00EA4433">
        <w:rPr>
          <w:highlight w:val="yellow"/>
        </w:rPr>
        <w:t xml:space="preserve">Nutzer (jung / alt), </w:t>
      </w:r>
      <w:r w:rsidR="00F3225E">
        <w:rPr>
          <w:highlight w:val="yellow"/>
        </w:rPr>
        <w:t xml:space="preserve">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717C9DAF" w:rsidR="003362A0" w:rsidRPr="0045774F" w:rsidRDefault="003362A0" w:rsidP="00803CAA">
      <w:pPr>
        <w:rPr>
          <w:highlight w:val="yellow"/>
        </w:rPr>
      </w:pPr>
      <w:r w:rsidRPr="0045774F">
        <w:rPr>
          <w:highlight w:val="yellow"/>
        </w:rPr>
        <w:t xml:space="preserve">Schneller Zyklus nicht </w:t>
      </w:r>
      <w:r w:rsidR="001660B4">
        <w:rPr>
          <w:highlight w:val="yellow"/>
        </w:rPr>
        <w:t xml:space="preserve">immer </w:t>
      </w:r>
      <w:r w:rsidRPr="0045774F">
        <w:rPr>
          <w:highlight w:val="yellow"/>
        </w:rPr>
        <w:t xml:space="preserve">möglich bei Schnittstellen, externen </w:t>
      </w:r>
      <w:proofErr w:type="spellStart"/>
      <w:r w:rsidRPr="0045774F">
        <w:rPr>
          <w:highlight w:val="yellow"/>
        </w:rPr>
        <w:t>zertifikaten</w:t>
      </w:r>
      <w:proofErr w:type="spellEnd"/>
    </w:p>
    <w:p w14:paraId="6633E019" w14:textId="131095AD" w:rsidR="0074599A" w:rsidRPr="0045774F" w:rsidRDefault="0074599A" w:rsidP="00803CAA">
      <w:pPr>
        <w:rPr>
          <w:highlight w:val="yellow"/>
        </w:rPr>
      </w:pPr>
      <w:r w:rsidRPr="0045774F">
        <w:rPr>
          <w:highlight w:val="yellow"/>
        </w:rPr>
        <w:t xml:space="preserve">Risiko ja/nein bei Produkten und Prozessfaktoren </w:t>
      </w:r>
      <w:r w:rsidR="001660B4">
        <w:rPr>
          <w:highlight w:val="yellow"/>
        </w:rPr>
        <w:t xml:space="preserve">zu abstrakt, besser </w:t>
      </w:r>
      <w:proofErr w:type="spellStart"/>
      <w:r w:rsidR="001660B4">
        <w:rPr>
          <w:highlight w:val="yellow"/>
        </w:rPr>
        <w:t>einstufung</w:t>
      </w:r>
      <w:proofErr w:type="spellEnd"/>
      <w:r w:rsidR="001660B4">
        <w:rPr>
          <w:highlight w:val="yellow"/>
        </w:rPr>
        <w:t xml:space="preserve"> </w:t>
      </w:r>
      <w:r w:rsidR="00EA4433" w:rsidRPr="0045774F">
        <w:rPr>
          <w:highlight w:val="yellow"/>
        </w:rPr>
        <w:t xml:space="preserve">mit granularer </w:t>
      </w:r>
      <w:proofErr w:type="spellStart"/>
      <w:r w:rsidR="00EA4433" w:rsidRPr="0045774F">
        <w:rPr>
          <w:highlight w:val="yellow"/>
        </w:rPr>
        <w:t>ausprägung</w:t>
      </w:r>
      <w:proofErr w:type="spellEnd"/>
    </w:p>
    <w:p w14:paraId="432FA6C6" w14:textId="64533109"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92" w:name="_Ref442964164"/>
      <w:bookmarkStart w:id="93" w:name="_Toc455589784"/>
      <w:r>
        <w:lastRenderedPageBreak/>
        <w:t>Evaluation der Zielerreichung und Ausblick</w:t>
      </w:r>
      <w:bookmarkEnd w:id="92"/>
      <w:bookmarkEnd w:id="93"/>
    </w:p>
    <w:p w14:paraId="55AA4836" w14:textId="6C4D10B6" w:rsidR="00803CAA" w:rsidRDefault="00BD63D2" w:rsidP="00803CAA">
      <w:r>
        <w:t>Hypothese bestätigt?</w:t>
      </w:r>
    </w:p>
    <w:p w14:paraId="4FF395F8" w14:textId="79131157" w:rsidR="00803CAA" w:rsidRDefault="00BD63D2" w:rsidP="00803CAA">
      <w:r>
        <w:t xml:space="preserve">Ausblick: </w:t>
      </w:r>
      <w:r w:rsidR="00803CAA">
        <w:t>Andere Faktoren untersuchen wie z. B. Branche, Daten etc.</w:t>
      </w:r>
      <w:bookmarkStart w:id="94" w:name="_Toc410799361"/>
      <w:bookmarkStart w:id="95" w:name="_Toc410799446"/>
      <w:bookmarkStart w:id="96" w:name="_Toc410799366"/>
      <w:bookmarkStart w:id="97" w:name="_Toc410799451"/>
      <w:bookmarkStart w:id="98" w:name="_Toc415465661"/>
      <w:bookmarkStart w:id="99" w:name="_Ref418325438"/>
      <w:bookmarkStart w:id="100" w:name="_Ref414785387"/>
      <w:bookmarkStart w:id="101" w:name="_Toc415465643"/>
    </w:p>
    <w:p w14:paraId="786742BF" w14:textId="5AC5BD9D"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r>
        <w:t>Konkretisierung der Werte bzw. empirischer Nachweise der konkreten</w:t>
      </w:r>
    </w:p>
    <w:bookmarkEnd w:id="101" w:displacedByCustomXml="next"/>
    <w:bookmarkEnd w:id="100" w:displacedByCustomXml="next"/>
    <w:bookmarkEnd w:id="99" w:displacedByCustomXml="next"/>
    <w:bookmarkEnd w:id="98" w:displacedByCustomXml="next"/>
    <w:bookmarkEnd w:id="97" w:displacedByCustomXml="next"/>
    <w:bookmarkEnd w:id="96" w:displacedByCustomXml="next"/>
    <w:bookmarkEnd w:id="95" w:displacedByCustomXml="next"/>
    <w:bookmarkEnd w:id="94" w:displacedByCustomXml="next"/>
    <w:bookmarkStart w:id="102" w:name="_Toc45558978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2"/>
        </w:p>
        <w:sdt>
          <w:sdtPr>
            <w:id w:val="111145805"/>
            <w:bibliography/>
          </w:sdtPr>
          <w:sdtContent>
            <w:p w14:paraId="021DDF73" w14:textId="77777777" w:rsidR="0045774F" w:rsidRDefault="00461FAA" w:rsidP="0045774F">
              <w:pPr>
                <w:pStyle w:val="Literaturverzeichnis"/>
                <w:rPr>
                  <w:noProof/>
                  <w:sz w:val="24"/>
                  <w:szCs w:val="24"/>
                </w:rPr>
              </w:pPr>
              <w:r>
                <w:fldChar w:fldCharType="begin"/>
              </w:r>
              <w:r>
                <w:instrText>BIBLIOGRAPHY</w:instrText>
              </w:r>
              <w:r>
                <w:fldChar w:fldCharType="separate"/>
              </w:r>
              <w:r w:rsidR="0045774F">
                <w:rPr>
                  <w:noProof/>
                </w:rPr>
                <w:t xml:space="preserve">Aumayr, K. J. </w:t>
              </w:r>
              <w:r w:rsidR="0045774F">
                <w:rPr>
                  <w:i/>
                  <w:iCs/>
                  <w:noProof/>
                </w:rPr>
                <w:t>Erfolgreiches Produktmanagement. Tool-Box für das professionelle Produktmanagement und Produktmartketing.</w:t>
              </w:r>
              <w:r w:rsidR="0045774F">
                <w:rPr>
                  <w:noProof/>
                </w:rPr>
                <w:t xml:space="preserve"> 2. Auflage. Wiesbaden: Gabler, 2009.</w:t>
              </w:r>
            </w:p>
            <w:p w14:paraId="4F11E6DD" w14:textId="77777777" w:rsidR="0045774F" w:rsidRDefault="0045774F" w:rsidP="0045774F">
              <w:pPr>
                <w:pStyle w:val="Literaturverzeichnis"/>
                <w:rPr>
                  <w:noProof/>
                </w:rPr>
              </w:pPr>
              <w:r>
                <w:rPr>
                  <w:noProof/>
                </w:rPr>
                <w:t xml:space="preserve">AXELOS. </w:t>
              </w:r>
              <w:r>
                <w:rPr>
                  <w:i/>
                  <w:iCs/>
                  <w:noProof/>
                </w:rPr>
                <w:t>ITIL Service Transition.</w:t>
              </w:r>
              <w:r>
                <w:rPr>
                  <w:noProof/>
                </w:rPr>
                <w:t xml:space="preserve"> o. O.: TSO, 2011.</w:t>
              </w:r>
            </w:p>
            <w:p w14:paraId="7CD28CF1" w14:textId="77777777" w:rsidR="0045774F" w:rsidRDefault="0045774F" w:rsidP="0045774F">
              <w:pPr>
                <w:pStyle w:val="Literaturverzeichnis"/>
                <w:rPr>
                  <w:noProof/>
                </w:rPr>
              </w:pPr>
              <w:r>
                <w:rPr>
                  <w:noProof/>
                </w:rPr>
                <w:t xml:space="preserve">Bahke, T. </w:t>
              </w:r>
              <w:r>
                <w:rPr>
                  <w:i/>
                  <w:iCs/>
                  <w:noProof/>
                </w:rPr>
                <w:t>Normen und Wettberwerb.</w:t>
              </w:r>
              <w:r>
                <w:rPr>
                  <w:noProof/>
                </w:rPr>
                <w:t xml:space="preserve"> Berlin: Beuth, 2002.</w:t>
              </w:r>
            </w:p>
            <w:p w14:paraId="3475F688" w14:textId="77777777" w:rsidR="0045774F" w:rsidRDefault="0045774F" w:rsidP="0045774F">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C7F9859" w14:textId="77777777" w:rsidR="0045774F" w:rsidRDefault="0045774F" w:rsidP="0045774F">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3604591D" w14:textId="77777777" w:rsidR="0045774F" w:rsidRDefault="0045774F" w:rsidP="0045774F">
              <w:pPr>
                <w:pStyle w:val="Literaturverzeichnis"/>
                <w:rPr>
                  <w:noProof/>
                </w:rPr>
              </w:pPr>
              <w:r>
                <w:rPr>
                  <w:noProof/>
                </w:rPr>
                <w:t xml:space="preserve">Baumann, J. </w:t>
              </w:r>
              <w:r>
                <w:rPr>
                  <w:i/>
                  <w:iCs/>
                  <w:noProof/>
                </w:rPr>
                <w:t>Continuous Delivery.</w:t>
              </w:r>
              <w:r>
                <w:rPr>
                  <w:noProof/>
                </w:rPr>
                <w:t xml:space="preserve"> 1. Heidelberg: dpunkt.Verlag, 2014.</w:t>
              </w:r>
            </w:p>
            <w:p w14:paraId="5FDB6BA6" w14:textId="77777777" w:rsidR="0045774F" w:rsidRDefault="0045774F" w:rsidP="0045774F">
              <w:pPr>
                <w:pStyle w:val="Literaturverzeichnis"/>
                <w:rPr>
                  <w:noProof/>
                </w:rPr>
              </w:pPr>
              <w:r>
                <w:rPr>
                  <w:noProof/>
                </w:rPr>
                <w:t xml:space="preserve">—. „DevOps light.“ </w:t>
              </w:r>
              <w:r>
                <w:rPr>
                  <w:i/>
                  <w:iCs/>
                  <w:noProof/>
                </w:rPr>
                <w:t>OBJEKTspektrum</w:t>
              </w:r>
              <w:r>
                <w:rPr>
                  <w:noProof/>
                </w:rPr>
                <w:t>, 27. 02 2015: 42-45.</w:t>
              </w:r>
            </w:p>
            <w:p w14:paraId="7FBDAF65" w14:textId="77777777" w:rsidR="0045774F" w:rsidRDefault="0045774F" w:rsidP="0045774F">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2AFEABB5" w14:textId="77777777" w:rsidR="0045774F" w:rsidRDefault="0045774F" w:rsidP="0045774F">
              <w:pPr>
                <w:pStyle w:val="Literaturverzeichnis"/>
                <w:rPr>
                  <w:noProof/>
                </w:rPr>
              </w:pPr>
              <w:r>
                <w:rPr>
                  <w:noProof/>
                </w:rPr>
                <w:t xml:space="preserve">Boehm, B. W. „Software Engineering.“ </w:t>
              </w:r>
              <w:r>
                <w:rPr>
                  <w:i/>
                  <w:iCs/>
                  <w:noProof/>
                </w:rPr>
                <w:t>IEEE Transactions On Computers</w:t>
              </w:r>
              <w:r>
                <w:rPr>
                  <w:noProof/>
                </w:rPr>
                <w:t>, Nr. 12 (1976): 1226-1241.</w:t>
              </w:r>
            </w:p>
            <w:p w14:paraId="070DF588" w14:textId="77777777" w:rsidR="0045774F" w:rsidRDefault="0045774F" w:rsidP="0045774F">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3D910D6A" w14:textId="77777777" w:rsidR="0045774F" w:rsidRDefault="0045774F" w:rsidP="0045774F">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00BC7F64" w14:textId="77777777" w:rsidR="0045774F" w:rsidRDefault="0045774F" w:rsidP="0045774F">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5A6FD7AC" w14:textId="77777777" w:rsidR="0045774F" w:rsidRDefault="0045774F" w:rsidP="0045774F">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FB1D21B" w14:textId="77777777" w:rsidR="0045774F" w:rsidRDefault="0045774F" w:rsidP="0045774F">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3D614F9" w14:textId="77777777" w:rsidR="0045774F" w:rsidRDefault="0045774F" w:rsidP="0045774F">
              <w:pPr>
                <w:pStyle w:val="Literaturverzeichnis"/>
                <w:rPr>
                  <w:noProof/>
                </w:rPr>
              </w:pPr>
              <w:r>
                <w:rPr>
                  <w:noProof/>
                </w:rPr>
                <w:t>Ephesos, Heraklit von.</w:t>
              </w:r>
            </w:p>
            <w:p w14:paraId="36EF7304" w14:textId="77777777" w:rsidR="0045774F" w:rsidRDefault="0045774F" w:rsidP="0045774F">
              <w:pPr>
                <w:pStyle w:val="Literaturverzeichnis"/>
                <w:rPr>
                  <w:noProof/>
                </w:rPr>
              </w:pPr>
              <w:r>
                <w:rPr>
                  <w:noProof/>
                </w:rPr>
                <w:t xml:space="preserve">Festtag, S. </w:t>
              </w:r>
              <w:r>
                <w:rPr>
                  <w:i/>
                  <w:iCs/>
                  <w:noProof/>
                </w:rPr>
                <w:t>Umgang mit Risiken.</w:t>
              </w:r>
              <w:r>
                <w:rPr>
                  <w:noProof/>
                </w:rPr>
                <w:t xml:space="preserve"> 1. Berlin: Beuth Verlag GmbH, 2014.</w:t>
              </w:r>
            </w:p>
            <w:p w14:paraId="1B1C4323" w14:textId="77777777" w:rsidR="0045774F" w:rsidRDefault="0045774F" w:rsidP="0045774F">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264851A9" w14:textId="77777777" w:rsidR="0045774F" w:rsidRDefault="0045774F" w:rsidP="0045774F">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3F717FDC" w14:textId="77777777" w:rsidR="0045774F" w:rsidRDefault="0045774F" w:rsidP="0045774F">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0042EEFF" w14:textId="77777777" w:rsidR="0045774F" w:rsidRDefault="0045774F" w:rsidP="0045774F">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22D75879" w14:textId="77777777" w:rsidR="0045774F" w:rsidRDefault="0045774F" w:rsidP="0045774F">
              <w:pPr>
                <w:pStyle w:val="Literaturverzeichnis"/>
                <w:rPr>
                  <w:noProof/>
                </w:rPr>
              </w:pPr>
              <w:r>
                <w:rPr>
                  <w:noProof/>
                </w:rPr>
                <w:t xml:space="preserve">Hauschildt, J., und S. Salomo. </w:t>
              </w:r>
              <w:r>
                <w:rPr>
                  <w:i/>
                  <w:iCs/>
                  <w:noProof/>
                </w:rPr>
                <w:t>Innovationsmanagement.</w:t>
              </w:r>
              <w:r>
                <w:rPr>
                  <w:noProof/>
                </w:rPr>
                <w:t xml:space="preserve"> o. O.: Vahlen, 2007.</w:t>
              </w:r>
            </w:p>
            <w:p w14:paraId="3A69D766" w14:textId="77777777" w:rsidR="0045774F" w:rsidRDefault="0045774F" w:rsidP="0045774F">
              <w:pPr>
                <w:pStyle w:val="Literaturverzeichnis"/>
                <w:rPr>
                  <w:noProof/>
                </w:rPr>
              </w:pPr>
              <w:r>
                <w:rPr>
                  <w:noProof/>
                </w:rPr>
                <w:t>Horton, G. http://www.zephram.de/blog/innovationsstrategie/wettbewerbsvorteile-durch-innovation/ (Zugriff am 24. 10 2015).</w:t>
              </w:r>
            </w:p>
            <w:p w14:paraId="09794A30" w14:textId="77777777" w:rsidR="0045774F" w:rsidRDefault="0045774F" w:rsidP="0045774F">
              <w:pPr>
                <w:pStyle w:val="Literaturverzeichnis"/>
                <w:rPr>
                  <w:noProof/>
                </w:rPr>
              </w:pPr>
              <w:r>
                <w:rPr>
                  <w:noProof/>
                </w:rPr>
                <w:lastRenderedPageBreak/>
                <w:t xml:space="preserve">Humble, J., und D. Farley. </w:t>
              </w:r>
              <w:r>
                <w:rPr>
                  <w:i/>
                  <w:iCs/>
                  <w:noProof/>
                </w:rPr>
                <w:t>Continuous Delivery: Reliable Software Releases Through Build, Test, and Deployment Automation.</w:t>
              </w:r>
              <w:r>
                <w:rPr>
                  <w:noProof/>
                </w:rPr>
                <w:t xml:space="preserve"> Upper Saddle River: Addison Wesley, 2010.</w:t>
              </w:r>
            </w:p>
            <w:p w14:paraId="0D1FB6A8" w14:textId="77777777" w:rsidR="0045774F" w:rsidRDefault="0045774F" w:rsidP="0045774F">
              <w:pPr>
                <w:pStyle w:val="Literaturverzeichnis"/>
                <w:rPr>
                  <w:noProof/>
                </w:rPr>
              </w:pPr>
              <w:r>
                <w:rPr>
                  <w:noProof/>
                </w:rPr>
                <w:t xml:space="preserve">ISO/IEC. </w:t>
              </w:r>
              <w:r>
                <w:rPr>
                  <w:i/>
                  <w:iCs/>
                  <w:noProof/>
                </w:rPr>
                <w:t>ISO/IEC 20000-1.</w:t>
              </w:r>
              <w:r>
                <w:rPr>
                  <w:noProof/>
                </w:rPr>
                <w:t xml:space="preserve"> o. O., 15. 04 2011.</w:t>
              </w:r>
            </w:p>
            <w:p w14:paraId="14AF0CBF" w14:textId="77777777" w:rsidR="0045774F" w:rsidRDefault="0045774F" w:rsidP="0045774F">
              <w:pPr>
                <w:pStyle w:val="Literaturverzeichnis"/>
                <w:rPr>
                  <w:noProof/>
                </w:rPr>
              </w:pPr>
              <w:r>
                <w:rPr>
                  <w:noProof/>
                </w:rPr>
                <w:t xml:space="preserve">ISO/IEC. </w:t>
              </w:r>
              <w:r>
                <w:rPr>
                  <w:i/>
                  <w:iCs/>
                  <w:noProof/>
                </w:rPr>
                <w:t>ISO/IEC 20000-2.</w:t>
              </w:r>
              <w:r>
                <w:rPr>
                  <w:noProof/>
                </w:rPr>
                <w:t xml:space="preserve"> o. O., 15. 02 2012.</w:t>
              </w:r>
            </w:p>
            <w:p w14:paraId="1A88BA54" w14:textId="77777777" w:rsidR="0045774F" w:rsidRDefault="0045774F" w:rsidP="0045774F">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A60F22C" w14:textId="77777777" w:rsidR="0045774F" w:rsidRDefault="0045774F" w:rsidP="0045774F">
              <w:pPr>
                <w:pStyle w:val="Literaturverzeichnis"/>
                <w:rPr>
                  <w:noProof/>
                </w:rPr>
              </w:pPr>
              <w:r>
                <w:rPr>
                  <w:noProof/>
                </w:rPr>
                <w:t xml:space="preserve">Kim, D. </w:t>
              </w:r>
              <w:r>
                <w:rPr>
                  <w:i/>
                  <w:iCs/>
                  <w:noProof/>
                </w:rPr>
                <w:t>The State of Scrum.</w:t>
              </w:r>
              <w:r>
                <w:rPr>
                  <w:noProof/>
                </w:rPr>
                <w:t xml:space="preserve"> State of Scrum, Scrumalliance, 2013.</w:t>
              </w:r>
            </w:p>
            <w:p w14:paraId="44374AAA" w14:textId="77777777" w:rsidR="0045774F" w:rsidRDefault="0045774F" w:rsidP="0045774F">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8383CF1" w14:textId="77777777" w:rsidR="0045774F" w:rsidRDefault="0045774F" w:rsidP="0045774F">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4086B395" w14:textId="77777777" w:rsidR="0045774F" w:rsidRDefault="0045774F" w:rsidP="0045774F">
              <w:pPr>
                <w:pStyle w:val="Literaturverzeichnis"/>
                <w:rPr>
                  <w:noProof/>
                </w:rPr>
              </w:pPr>
              <w:r>
                <w:rPr>
                  <w:noProof/>
                </w:rPr>
                <w:t>Kohavi, R., und R. Longbotham. „Cross entries for A/B Tests, Split Tests, and Randomized Experiments.“ 25. April 2015. http://bit.ly/onlineControlledExperiments (Zugriff am 1. Mai 2016).</w:t>
              </w:r>
            </w:p>
            <w:p w14:paraId="0AA4204B" w14:textId="77777777" w:rsidR="0045774F" w:rsidRDefault="0045774F" w:rsidP="0045774F">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55778375" w14:textId="77777777" w:rsidR="0045774F" w:rsidRDefault="0045774F" w:rsidP="0045774F">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64FB11C5" w14:textId="77777777" w:rsidR="0045774F" w:rsidRDefault="0045774F" w:rsidP="0045774F">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0EE58C7C" w14:textId="77777777" w:rsidR="0045774F" w:rsidRDefault="0045774F" w:rsidP="0045774F">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174B2354" w14:textId="77777777" w:rsidR="0045774F" w:rsidRDefault="0045774F" w:rsidP="0045774F">
              <w:pPr>
                <w:pStyle w:val="Literaturverzeichnis"/>
                <w:rPr>
                  <w:noProof/>
                </w:rPr>
              </w:pPr>
              <w:r>
                <w:rPr>
                  <w:noProof/>
                </w:rPr>
                <w:t>O'Reilly, Tim. „What is Web 2.0? - Design Patters and Business Models for the Next Generation of Software.“ 2005. http://www.oreilly.de/artikel/web20.html (Zugriff am 22. April 2009).</w:t>
              </w:r>
            </w:p>
            <w:p w14:paraId="3896FC6C" w14:textId="77777777" w:rsidR="0045774F" w:rsidRDefault="0045774F" w:rsidP="0045774F">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35E89D6" w14:textId="77777777" w:rsidR="0045774F" w:rsidRDefault="0045774F" w:rsidP="0045774F">
              <w:pPr>
                <w:pStyle w:val="Literaturverzeichnis"/>
                <w:rPr>
                  <w:noProof/>
                </w:rPr>
              </w:pPr>
              <w:r>
                <w:rPr>
                  <w:noProof/>
                </w:rPr>
                <w:t xml:space="preserve">Pichler, R. </w:t>
              </w:r>
              <w:r>
                <w:rPr>
                  <w:i/>
                  <w:iCs/>
                  <w:noProof/>
                </w:rPr>
                <w:t>Agiles Produktmanagement mit Scrum.</w:t>
              </w:r>
              <w:r>
                <w:rPr>
                  <w:noProof/>
                </w:rPr>
                <w:t xml:space="preserve"> Heidelberg: dpunkt, 2014.</w:t>
              </w:r>
            </w:p>
            <w:p w14:paraId="2CDA9EF9" w14:textId="77777777" w:rsidR="0045774F" w:rsidRDefault="0045774F" w:rsidP="0045774F">
              <w:pPr>
                <w:pStyle w:val="Literaturverzeichnis"/>
                <w:rPr>
                  <w:noProof/>
                </w:rPr>
              </w:pPr>
              <w:r>
                <w:rPr>
                  <w:noProof/>
                </w:rPr>
                <w:t xml:space="preserve">Proske, D. </w:t>
              </w:r>
              <w:r>
                <w:rPr>
                  <w:i/>
                  <w:iCs/>
                  <w:noProof/>
                </w:rPr>
                <w:t>Katalog der Risiken.</w:t>
              </w:r>
              <w:r>
                <w:rPr>
                  <w:noProof/>
                </w:rPr>
                <w:t xml:space="preserve"> Dresden: Eigenverlag Dirk Proske, 2004.</w:t>
              </w:r>
            </w:p>
            <w:p w14:paraId="5A119431" w14:textId="77777777" w:rsidR="0045774F" w:rsidRDefault="0045774F" w:rsidP="0045774F">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6F6EFE8E" w14:textId="77777777" w:rsidR="0045774F" w:rsidRDefault="0045774F" w:rsidP="0045774F">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02876DD" w14:textId="77777777" w:rsidR="0045774F" w:rsidRDefault="0045774F" w:rsidP="0045774F">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7B64B7B3" w14:textId="77777777" w:rsidR="0045774F" w:rsidRDefault="0045774F" w:rsidP="0045774F">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61E84FCD" w14:textId="77777777" w:rsidR="0045774F" w:rsidRDefault="0045774F" w:rsidP="0045774F">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284A5C64" w14:textId="77777777" w:rsidR="0045774F" w:rsidRDefault="0045774F" w:rsidP="0045774F">
              <w:pPr>
                <w:pStyle w:val="Literaturverzeichnis"/>
                <w:rPr>
                  <w:noProof/>
                </w:rPr>
              </w:pPr>
              <w:r>
                <w:rPr>
                  <w:noProof/>
                </w:rPr>
                <w:lastRenderedPageBreak/>
                <w:t xml:space="preserve">Simon, F. </w:t>
              </w:r>
              <w:r>
                <w:rPr>
                  <w:i/>
                  <w:iCs/>
                  <w:noProof/>
                </w:rPr>
                <w:t>Qualitäts-Risiko-Management.</w:t>
              </w:r>
              <w:r>
                <w:rPr>
                  <w:noProof/>
                </w:rPr>
                <w:t xml:space="preserve"> Berlin: Logos Verlag Berlin GmbH, 2010.</w:t>
              </w:r>
            </w:p>
            <w:p w14:paraId="47C737E7" w14:textId="77777777" w:rsidR="0045774F" w:rsidRDefault="0045774F" w:rsidP="0045774F">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45774F">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3" w:name="_Toc455589786"/>
      <w:r>
        <w:lastRenderedPageBreak/>
        <w:t>Erklärung</w:t>
      </w:r>
      <w:bookmarkEnd w:id="103"/>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4" w:name="Text15"/>
      <w:r w:rsidR="00783160">
        <w:instrText xml:space="preserve"> FORMTEXT </w:instrText>
      </w:r>
      <w:r w:rsidR="00783160">
        <w:fldChar w:fldCharType="separate"/>
      </w:r>
      <w:r w:rsidR="00783160">
        <w:rPr>
          <w:noProof/>
        </w:rPr>
        <w:t>Lohr, Steve</w:t>
      </w:r>
      <w:r w:rsidR="00783160">
        <w:fldChar w:fldCharType="end"/>
      </w:r>
      <w:bookmarkEnd w:id="104"/>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5" w:name="Text16"/>
      <w:r w:rsidR="00783160">
        <w:instrText xml:space="preserve"> FORMTEXT </w:instrText>
      </w:r>
      <w:r w:rsidR="00783160">
        <w:fldChar w:fldCharType="separate"/>
      </w:r>
      <w:r w:rsidR="00783160">
        <w:rPr>
          <w:noProof/>
        </w:rPr>
        <w:t>9066454</w:t>
      </w:r>
      <w:r w:rsidR="00783160">
        <w:fldChar w:fldCharType="end"/>
      </w:r>
      <w:bookmarkEnd w:id="105"/>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6" w:name="Text17"/>
      <w:r w:rsidR="00783160">
        <w:instrText xml:space="preserve"> FORMTEXT </w:instrText>
      </w:r>
      <w:r w:rsidR="00783160">
        <w:fldChar w:fldCharType="separate"/>
      </w:r>
      <w:r w:rsidR="00783160">
        <w:rPr>
          <w:noProof/>
        </w:rPr>
        <w:t>Wirtschaftsinformatik</w:t>
      </w:r>
      <w:r w:rsidR="00783160">
        <w:fldChar w:fldCharType="end"/>
      </w:r>
      <w:bookmarkEnd w:id="106"/>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steve.lohr@gmx.de" w:date="2016-02-11T14:38:00Z" w:initials="s">
    <w:p w14:paraId="72E4F7F6" w14:textId="68D93145" w:rsidR="00BE775C" w:rsidRDefault="00BE775C">
      <w:pPr>
        <w:pStyle w:val="Kommentartext"/>
      </w:pPr>
      <w:r>
        <w:rPr>
          <w:rStyle w:val="Kommentarzeichen"/>
        </w:rPr>
        <w:annotationRef/>
      </w:r>
      <w:r>
        <w:t>Quellen?</w:t>
      </w:r>
    </w:p>
  </w:comment>
  <w:comment w:id="17" w:author="steve.lohr@gmx.de" w:date="2016-02-11T14:38:00Z" w:initials="s">
    <w:p w14:paraId="6F4407B8" w14:textId="4ACB5FC8" w:rsidR="00BE775C" w:rsidRDefault="00BE775C">
      <w:pPr>
        <w:pStyle w:val="Kommentartext"/>
      </w:pPr>
      <w:r>
        <w:rPr>
          <w:rStyle w:val="Kommentarzeichen"/>
        </w:rPr>
        <w:annotationRef/>
      </w:r>
      <w:r>
        <w:t>Quelle?</w:t>
      </w:r>
    </w:p>
  </w:comment>
  <w:comment w:id="54" w:author="Steve Lohr" w:date="2016-07-07T13:41:00Z" w:initials="s">
    <w:p w14:paraId="479DEDA1" w14:textId="0AD39157" w:rsidR="00906349" w:rsidRDefault="00906349">
      <w:pPr>
        <w:pStyle w:val="Kommentartext"/>
      </w:pPr>
      <w:r>
        <w:rPr>
          <w:rStyle w:val="Kommentarzeichen"/>
        </w:rPr>
        <w:annotationRef/>
      </w:r>
      <w:r>
        <w:t>Optional: abschließend noch eine Definition der beiden Typen als Zusammenfassung aus den vorhergehenden Phasen als Basis für 5?</w:t>
      </w:r>
    </w:p>
  </w:comment>
  <w:comment w:id="59" w:author="Steve Lohr" w:date="2016-05-07T17:17:00Z" w:initials="s">
    <w:p w14:paraId="3C2A9433" w14:textId="13C50F67" w:rsidR="00BE775C" w:rsidRDefault="00BE775C">
      <w:pPr>
        <w:pStyle w:val="Kommentartext"/>
      </w:pPr>
      <w:r>
        <w:rPr>
          <w:rStyle w:val="Kommentarzeichen"/>
        </w:rPr>
        <w:annotationRef/>
      </w:r>
      <w:r>
        <w:t>TODO</w:t>
      </w:r>
    </w:p>
  </w:comment>
  <w:comment w:id="63" w:author="Steve Lohr" w:date="2016-04-18T17:33:00Z" w:initials="s">
    <w:p w14:paraId="75E3BCA3" w14:textId="672A67D2" w:rsidR="00BE775C" w:rsidRDefault="00BE775C">
      <w:pPr>
        <w:pStyle w:val="Kommentartext"/>
      </w:pPr>
      <w:r>
        <w:rPr>
          <w:rStyle w:val="Kommentarzeichen"/>
        </w:rPr>
        <w:annotationRef/>
      </w:r>
      <w:r>
        <w:t>Quelle Taylorismus „</w:t>
      </w:r>
      <w:r>
        <w:rPr>
          <w:rFonts w:ascii="Helvetica" w:eastAsia="Times New Roman" w:hAnsi="Helvetica" w:cs="Helvetica"/>
          <w:b/>
          <w:bCs/>
          <w:color w:val="1C1C1C"/>
          <w:sz w:val="34"/>
          <w:szCs w:val="34"/>
        </w:rPr>
        <w:t>Zerlegung der Arbeit in kürzeste und monoton-repetitive Ablaufabschnitte</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4F7F6" w15:done="0"/>
  <w15:commentEx w15:paraId="6F4407B8" w15:done="0"/>
  <w15:commentEx w15:paraId="479DEDA1" w15:done="0"/>
  <w15:commentEx w15:paraId="3C2A9433" w15:done="0"/>
  <w15:commentEx w15:paraId="75E3BC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F9B8C" w14:textId="77777777" w:rsidR="00AE5483" w:rsidRDefault="00AE5483">
      <w:r>
        <w:separator/>
      </w:r>
    </w:p>
    <w:p w14:paraId="642F2C2A" w14:textId="77777777" w:rsidR="00AE5483" w:rsidRDefault="00AE5483"/>
    <w:p w14:paraId="00BE2D17" w14:textId="77777777" w:rsidR="00AE5483" w:rsidRDefault="00AE5483"/>
  </w:endnote>
  <w:endnote w:type="continuationSeparator" w:id="0">
    <w:p w14:paraId="64352D02" w14:textId="77777777" w:rsidR="00AE5483" w:rsidRDefault="00AE5483">
      <w:r>
        <w:continuationSeparator/>
      </w:r>
    </w:p>
    <w:p w14:paraId="670C9508" w14:textId="77777777" w:rsidR="00AE5483" w:rsidRDefault="00AE5483"/>
    <w:p w14:paraId="68BE3A42" w14:textId="77777777" w:rsidR="00AE5483" w:rsidRDefault="00AE5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BE775C" w:rsidRDefault="00BE775C">
    <w:pPr>
      <w:pStyle w:val="Fuzeile"/>
      <w:framePr w:wrap="around" w:vAnchor="text" w:hAnchor="margin" w:xAlign="right" w:y="1"/>
    </w:pPr>
    <w:r>
      <w:fldChar w:fldCharType="begin"/>
    </w:r>
    <w:r>
      <w:instrText xml:space="preserve">PAGE  </w:instrText>
    </w:r>
    <w:r>
      <w:fldChar w:fldCharType="end"/>
    </w:r>
  </w:p>
  <w:p w14:paraId="7140BEF8" w14:textId="77777777" w:rsidR="00BE775C" w:rsidRDefault="00BE775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BE775C" w:rsidRDefault="00BE775C">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BE775C" w:rsidRDefault="00BE775C">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DD5B3" w14:textId="77777777" w:rsidR="00AE5483" w:rsidRDefault="00AE5483" w:rsidP="00106448">
      <w:pPr>
        <w:spacing w:before="60" w:after="60" w:line="240" w:lineRule="auto"/>
      </w:pPr>
      <w:r>
        <w:separator/>
      </w:r>
    </w:p>
  </w:footnote>
  <w:footnote w:type="continuationSeparator" w:id="0">
    <w:p w14:paraId="732C4CCA" w14:textId="77777777" w:rsidR="00AE5483" w:rsidRDefault="00AE5483">
      <w:r>
        <w:continuationSeparator/>
      </w:r>
    </w:p>
  </w:footnote>
  <w:footnote w:type="continuationNotice" w:id="1">
    <w:p w14:paraId="38009713" w14:textId="77777777" w:rsidR="00AE5483" w:rsidRDefault="00AE548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BE775C" w:rsidRDefault="00BE775C">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BE775C" w:rsidRDefault="00BE775C"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660B4">
      <w:rPr>
        <w:noProof/>
      </w:rPr>
      <w:t>I</w:t>
    </w:r>
    <w:r>
      <w:fldChar w:fldCharType="end"/>
    </w:r>
  </w:p>
  <w:p w14:paraId="547EF2D1" w14:textId="77777777" w:rsidR="00BE775C" w:rsidRDefault="00BE775C">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BE775C" w:rsidRDefault="00BE775C"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660B4">
      <w:rPr>
        <w:noProof/>
      </w:rPr>
      <w:t>II</w:t>
    </w:r>
    <w:r>
      <w:fldChar w:fldCharType="end"/>
    </w:r>
  </w:p>
  <w:p w14:paraId="4B67AB85" w14:textId="77777777" w:rsidR="00BE775C" w:rsidRDefault="00BE775C">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BE775C" w:rsidRDefault="00BE775C">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660B4">
      <w:rPr>
        <w:noProof/>
      </w:rPr>
      <w:t>III</w:t>
    </w:r>
    <w:r>
      <w:fldChar w:fldCharType="end"/>
    </w:r>
  </w:p>
  <w:p w14:paraId="445F50FB" w14:textId="77777777" w:rsidR="00BE775C" w:rsidRDefault="00BE775C">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BE775C" w:rsidRDefault="00BE775C">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660B4">
      <w:rPr>
        <w:noProof/>
      </w:rPr>
      <w:t>IV</w:t>
    </w:r>
    <w:r>
      <w:fldChar w:fldCharType="end"/>
    </w:r>
  </w:p>
  <w:p w14:paraId="6D345E0B" w14:textId="77777777" w:rsidR="00BE775C" w:rsidRDefault="00BE775C">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BE775C" w:rsidRDefault="00BE775C">
    <w:pPr>
      <w:pStyle w:val="Kopfzeile"/>
      <w:pBdr>
        <w:bottom w:val="single" w:sz="6" w:space="1" w:color="auto"/>
      </w:pBdr>
      <w:tabs>
        <w:tab w:val="clear" w:pos="9072"/>
        <w:tab w:val="left" w:pos="6720"/>
        <w:tab w:val="right" w:pos="8222"/>
      </w:tabs>
    </w:pPr>
    <w:fldSimple w:instr=" STYLEREF  &quot;Überschrift 1&quot; ">
      <w:r w:rsidR="001660B4">
        <w:rPr>
          <w:noProof/>
        </w:rPr>
        <w:t>Faktoren des Release-Managements zum Umgang mit Risiken</w:t>
      </w:r>
    </w:fldSimple>
    <w:r>
      <w:tab/>
    </w:r>
    <w:r>
      <w:tab/>
    </w:r>
    <w:r>
      <w:fldChar w:fldCharType="begin"/>
    </w:r>
    <w:r>
      <w:instrText xml:space="preserve"> PAGE </w:instrText>
    </w:r>
    <w:r>
      <w:fldChar w:fldCharType="separate"/>
    </w:r>
    <w:r w:rsidR="001660B4">
      <w:rPr>
        <w:noProof/>
      </w:rPr>
      <w:t>33</w:t>
    </w:r>
    <w:r>
      <w:fldChar w:fldCharType="end"/>
    </w:r>
  </w:p>
  <w:p w14:paraId="5DCA97F4" w14:textId="77777777" w:rsidR="00BE775C" w:rsidRDefault="00BE775C">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BE775C" w:rsidRDefault="00BE775C"/>
  <w:p w14:paraId="3EFEA5EC" w14:textId="77777777" w:rsidR="00BE775C" w:rsidRDefault="00BE775C"/>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BE775C" w:rsidRDefault="00BE775C">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1660B4">
      <w:rPr>
        <w:noProof/>
      </w:rPr>
      <w:t>43</w:t>
    </w:r>
    <w:r>
      <w:fldChar w:fldCharType="end"/>
    </w:r>
  </w:p>
  <w:p w14:paraId="4E19B897" w14:textId="77777777" w:rsidR="00BE775C" w:rsidRDefault="00BE775C"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BE775C" w:rsidRDefault="00BE775C">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1660B4">
      <w:rPr>
        <w:noProof/>
      </w:rPr>
      <w:t>46</w:t>
    </w:r>
    <w:r>
      <w:fldChar w:fldCharType="end"/>
    </w:r>
  </w:p>
  <w:p w14:paraId="79D4B611" w14:textId="77777777" w:rsidR="00BE775C" w:rsidRDefault="00BE775C"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48A8"/>
    <w:rsid w:val="000D7231"/>
    <w:rsid w:val="000D7402"/>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E93"/>
    <w:rsid w:val="001B2FD1"/>
    <w:rsid w:val="001C444D"/>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90B"/>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5D8D"/>
    <w:rsid w:val="00326537"/>
    <w:rsid w:val="00326EF4"/>
    <w:rsid w:val="00327186"/>
    <w:rsid w:val="00334CDC"/>
    <w:rsid w:val="003362A0"/>
    <w:rsid w:val="00344397"/>
    <w:rsid w:val="00344C13"/>
    <w:rsid w:val="003524CC"/>
    <w:rsid w:val="0035383F"/>
    <w:rsid w:val="003570F7"/>
    <w:rsid w:val="00360605"/>
    <w:rsid w:val="00365891"/>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32FE"/>
    <w:rsid w:val="003C71BF"/>
    <w:rsid w:val="003C772E"/>
    <w:rsid w:val="003D0516"/>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600560"/>
    <w:rsid w:val="0060057E"/>
    <w:rsid w:val="00601C6A"/>
    <w:rsid w:val="00602E95"/>
    <w:rsid w:val="00611592"/>
    <w:rsid w:val="006117FA"/>
    <w:rsid w:val="00612429"/>
    <w:rsid w:val="00615F76"/>
    <w:rsid w:val="00616200"/>
    <w:rsid w:val="006200EB"/>
    <w:rsid w:val="00622C9C"/>
    <w:rsid w:val="00623CCD"/>
    <w:rsid w:val="00631752"/>
    <w:rsid w:val="00633F50"/>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35F61"/>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57E"/>
    <w:rsid w:val="0089294F"/>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06349"/>
    <w:rsid w:val="00912007"/>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E5483"/>
    <w:rsid w:val="00AF1721"/>
    <w:rsid w:val="00AF1897"/>
    <w:rsid w:val="00AF3E28"/>
    <w:rsid w:val="00AF566E"/>
    <w:rsid w:val="00B038D1"/>
    <w:rsid w:val="00B04FFC"/>
    <w:rsid w:val="00B13BFE"/>
    <w:rsid w:val="00B151F8"/>
    <w:rsid w:val="00B15476"/>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437B"/>
    <w:rsid w:val="00C569D9"/>
    <w:rsid w:val="00C56BC2"/>
    <w:rsid w:val="00C609FC"/>
    <w:rsid w:val="00C61B91"/>
    <w:rsid w:val="00C67860"/>
    <w:rsid w:val="00C703A8"/>
    <w:rsid w:val="00C77A1A"/>
    <w:rsid w:val="00C81C18"/>
    <w:rsid w:val="00C81CBC"/>
    <w:rsid w:val="00C8485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C1B"/>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AEF"/>
    <w:rsid w:val="00FB6DF4"/>
    <w:rsid w:val="00FC0D49"/>
    <w:rsid w:val="00FC5438"/>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35</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36</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37</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38</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39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41</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43</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44</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45</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46</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47</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48</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29</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30</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26</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49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51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14</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18</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25</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16</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15</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17</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19</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28</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31</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32</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33</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34</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27</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21</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22</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23</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20</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24</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5</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6</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9</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7</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8</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10</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11</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12</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13</b:RefOrder>
  </b:Source>
</b:Sources>
</file>

<file path=customXml/itemProps1.xml><?xml version="1.0" encoding="utf-8"?>
<ds:datastoreItem xmlns:ds="http://schemas.openxmlformats.org/officeDocument/2006/customXml" ds:itemID="{1AB25854-E29D-1A47-8C8A-170BD4B4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51</Pages>
  <Words>15699</Words>
  <Characters>98906</Characters>
  <Application>Microsoft Macintosh Word</Application>
  <DocSecurity>0</DocSecurity>
  <Lines>824</Lines>
  <Paragraphs>228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114377</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144</cp:revision>
  <cp:lastPrinted>2005-07-19T18:06:00Z</cp:lastPrinted>
  <dcterms:created xsi:type="dcterms:W3CDTF">2016-01-27T20:00:00Z</dcterms:created>
  <dcterms:modified xsi:type="dcterms:W3CDTF">2016-07-07T12:51:00Z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