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A81AF6" w:rsidRPr="00914102" w:rsidRDefault="00A81AF6" w:rsidP="00A65D39">
                            <w:pPr>
                              <w:pStyle w:val="Vorgelegt"/>
                            </w:pPr>
                            <w:r>
                              <w:t>Vorgelegt der Fakultät für Wirtschaftswissenschaft</w:t>
                            </w:r>
                          </w:p>
                          <w:p w14:paraId="2DA42285" w14:textId="77777777" w:rsidR="00A81AF6" w:rsidRDefault="00A81AF6"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A81AF6" w:rsidRDefault="00A81AF6" w:rsidP="00A65D39">
                            <w:pPr>
                              <w:pStyle w:val="Vorgelegt"/>
                            </w:pPr>
                            <w:r>
                              <w:t>Lehrstuhl für Betriebswirtschaftslehre,</w:t>
                            </w:r>
                          </w:p>
                          <w:p w14:paraId="30ECB503" w14:textId="77777777" w:rsidR="00A81AF6" w:rsidRPr="00D2428A" w:rsidRDefault="00A81AF6"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A81AF6" w:rsidRPr="00914102" w:rsidRDefault="00A81AF6" w:rsidP="00A65D39">
                      <w:pPr>
                        <w:pStyle w:val="Vorgelegt"/>
                      </w:pPr>
                      <w:r>
                        <w:t>Vorgelegt der Fakultät für Wirtschaftswissenschaft</w:t>
                      </w:r>
                    </w:p>
                    <w:p w14:paraId="2DA42285" w14:textId="77777777" w:rsidR="00A81AF6" w:rsidRDefault="00A81AF6"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A81AF6" w:rsidRDefault="00A81AF6" w:rsidP="00A65D39">
                      <w:pPr>
                        <w:pStyle w:val="Vorgelegt"/>
                      </w:pPr>
                      <w:r>
                        <w:t>Lehrstuhl für Betriebswirtschaftslehre,</w:t>
                      </w:r>
                    </w:p>
                    <w:p w14:paraId="30ECB503" w14:textId="77777777" w:rsidR="00A81AF6" w:rsidRPr="00D2428A" w:rsidRDefault="00A81AF6"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3C81F379" w14:textId="77777777" w:rsidR="00CD6296"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50314454" w:history="1">
        <w:r w:rsidR="00CD6296" w:rsidRPr="006350B8">
          <w:rPr>
            <w:rStyle w:val="Link"/>
          </w:rPr>
          <w:t>Abbildungsverzeichnis</w:t>
        </w:r>
        <w:r w:rsidR="00CD6296">
          <w:rPr>
            <w:webHidden/>
          </w:rPr>
          <w:tab/>
        </w:r>
        <w:r w:rsidR="00CD6296">
          <w:rPr>
            <w:webHidden/>
          </w:rPr>
          <w:fldChar w:fldCharType="begin"/>
        </w:r>
        <w:r w:rsidR="00CD6296">
          <w:rPr>
            <w:webHidden/>
          </w:rPr>
          <w:instrText xml:space="preserve"> PAGEREF _Toc450314454 \h </w:instrText>
        </w:r>
        <w:r w:rsidR="00CD6296">
          <w:rPr>
            <w:webHidden/>
          </w:rPr>
        </w:r>
        <w:r w:rsidR="00CD6296">
          <w:rPr>
            <w:webHidden/>
          </w:rPr>
          <w:fldChar w:fldCharType="separate"/>
        </w:r>
        <w:r w:rsidR="00CD6296">
          <w:rPr>
            <w:webHidden/>
          </w:rPr>
          <w:t>III</w:t>
        </w:r>
        <w:r w:rsidR="00CD6296">
          <w:rPr>
            <w:webHidden/>
          </w:rPr>
          <w:fldChar w:fldCharType="end"/>
        </w:r>
      </w:hyperlink>
    </w:p>
    <w:p w14:paraId="60663981" w14:textId="77777777" w:rsidR="00CD6296" w:rsidRDefault="00A81AF6">
      <w:pPr>
        <w:pStyle w:val="Verzeichnis1"/>
        <w:rPr>
          <w:rFonts w:asciiTheme="minorHAnsi" w:eastAsiaTheme="minorEastAsia" w:hAnsiTheme="minorHAnsi" w:cstheme="minorBidi"/>
          <w:b w:val="0"/>
          <w:sz w:val="24"/>
          <w:szCs w:val="24"/>
        </w:rPr>
      </w:pPr>
      <w:hyperlink w:anchor="_Toc450314455" w:history="1">
        <w:r w:rsidR="00CD6296" w:rsidRPr="006350B8">
          <w:rPr>
            <w:rStyle w:val="Link"/>
          </w:rPr>
          <w:t>Tabellenverzeichnis</w:t>
        </w:r>
        <w:r w:rsidR="00CD6296">
          <w:rPr>
            <w:webHidden/>
          </w:rPr>
          <w:tab/>
        </w:r>
        <w:r w:rsidR="00CD6296">
          <w:rPr>
            <w:webHidden/>
          </w:rPr>
          <w:fldChar w:fldCharType="begin"/>
        </w:r>
        <w:r w:rsidR="00CD6296">
          <w:rPr>
            <w:webHidden/>
          </w:rPr>
          <w:instrText xml:space="preserve"> PAGEREF _Toc450314455 \h </w:instrText>
        </w:r>
        <w:r w:rsidR="00CD6296">
          <w:rPr>
            <w:webHidden/>
          </w:rPr>
        </w:r>
        <w:r w:rsidR="00CD6296">
          <w:rPr>
            <w:webHidden/>
          </w:rPr>
          <w:fldChar w:fldCharType="separate"/>
        </w:r>
        <w:r w:rsidR="00CD6296">
          <w:rPr>
            <w:webHidden/>
          </w:rPr>
          <w:t>IV</w:t>
        </w:r>
        <w:r w:rsidR="00CD6296">
          <w:rPr>
            <w:webHidden/>
          </w:rPr>
          <w:fldChar w:fldCharType="end"/>
        </w:r>
      </w:hyperlink>
    </w:p>
    <w:p w14:paraId="4CB8EDD1" w14:textId="77777777" w:rsidR="00CD6296" w:rsidRDefault="00A81AF6">
      <w:pPr>
        <w:pStyle w:val="Verzeichnis1"/>
        <w:rPr>
          <w:rFonts w:asciiTheme="minorHAnsi" w:eastAsiaTheme="minorEastAsia" w:hAnsiTheme="minorHAnsi" w:cstheme="minorBidi"/>
          <w:b w:val="0"/>
          <w:sz w:val="24"/>
          <w:szCs w:val="24"/>
        </w:rPr>
      </w:pPr>
      <w:hyperlink w:anchor="_Toc450314456" w:history="1">
        <w:r w:rsidR="00CD6296" w:rsidRPr="006350B8">
          <w:rPr>
            <w:rStyle w:val="Link"/>
            <w:lang w:val="en-US"/>
          </w:rPr>
          <w:t>Abkürzungsverzeichnis</w:t>
        </w:r>
        <w:r w:rsidR="00CD6296">
          <w:rPr>
            <w:webHidden/>
          </w:rPr>
          <w:tab/>
        </w:r>
        <w:r w:rsidR="00CD6296">
          <w:rPr>
            <w:webHidden/>
          </w:rPr>
          <w:fldChar w:fldCharType="begin"/>
        </w:r>
        <w:r w:rsidR="00CD6296">
          <w:rPr>
            <w:webHidden/>
          </w:rPr>
          <w:instrText xml:space="preserve"> PAGEREF _Toc450314456 \h </w:instrText>
        </w:r>
        <w:r w:rsidR="00CD6296">
          <w:rPr>
            <w:webHidden/>
          </w:rPr>
        </w:r>
        <w:r w:rsidR="00CD6296">
          <w:rPr>
            <w:webHidden/>
          </w:rPr>
          <w:fldChar w:fldCharType="separate"/>
        </w:r>
        <w:r w:rsidR="00CD6296">
          <w:rPr>
            <w:webHidden/>
          </w:rPr>
          <w:t>V</w:t>
        </w:r>
        <w:r w:rsidR="00CD6296">
          <w:rPr>
            <w:webHidden/>
          </w:rPr>
          <w:fldChar w:fldCharType="end"/>
        </w:r>
      </w:hyperlink>
    </w:p>
    <w:p w14:paraId="6D88509A" w14:textId="77777777" w:rsidR="00CD6296" w:rsidRDefault="00A81AF6">
      <w:pPr>
        <w:pStyle w:val="Verzeichnis1"/>
        <w:rPr>
          <w:rFonts w:asciiTheme="minorHAnsi" w:eastAsiaTheme="minorEastAsia" w:hAnsiTheme="minorHAnsi" w:cstheme="minorBidi"/>
          <w:b w:val="0"/>
          <w:sz w:val="24"/>
          <w:szCs w:val="24"/>
        </w:rPr>
      </w:pPr>
      <w:hyperlink w:anchor="_Toc450314457" w:history="1">
        <w:r w:rsidR="00CD6296" w:rsidRPr="006350B8">
          <w:rPr>
            <w:rStyle w:val="Link"/>
          </w:rPr>
          <w:t>1</w:t>
        </w:r>
        <w:r w:rsidR="00CD6296">
          <w:rPr>
            <w:rFonts w:asciiTheme="minorHAnsi" w:eastAsiaTheme="minorEastAsia" w:hAnsiTheme="minorHAnsi" w:cstheme="minorBidi"/>
            <w:b w:val="0"/>
            <w:sz w:val="24"/>
            <w:szCs w:val="24"/>
          </w:rPr>
          <w:tab/>
        </w:r>
        <w:r w:rsidR="00CD6296" w:rsidRPr="006350B8">
          <w:rPr>
            <w:rStyle w:val="Link"/>
          </w:rPr>
          <w:t>Einleitung</w:t>
        </w:r>
        <w:r w:rsidR="00CD6296">
          <w:rPr>
            <w:webHidden/>
          </w:rPr>
          <w:tab/>
        </w:r>
        <w:r w:rsidR="00CD6296">
          <w:rPr>
            <w:webHidden/>
          </w:rPr>
          <w:fldChar w:fldCharType="begin"/>
        </w:r>
        <w:r w:rsidR="00CD6296">
          <w:rPr>
            <w:webHidden/>
          </w:rPr>
          <w:instrText xml:space="preserve"> PAGEREF _Toc450314457 \h </w:instrText>
        </w:r>
        <w:r w:rsidR="00CD6296">
          <w:rPr>
            <w:webHidden/>
          </w:rPr>
        </w:r>
        <w:r w:rsidR="00CD6296">
          <w:rPr>
            <w:webHidden/>
          </w:rPr>
          <w:fldChar w:fldCharType="separate"/>
        </w:r>
        <w:r w:rsidR="00CD6296">
          <w:rPr>
            <w:webHidden/>
          </w:rPr>
          <w:t>1</w:t>
        </w:r>
        <w:r w:rsidR="00CD6296">
          <w:rPr>
            <w:webHidden/>
          </w:rPr>
          <w:fldChar w:fldCharType="end"/>
        </w:r>
      </w:hyperlink>
    </w:p>
    <w:p w14:paraId="21891072" w14:textId="77777777" w:rsidR="00CD6296" w:rsidRDefault="00A81AF6">
      <w:pPr>
        <w:pStyle w:val="Verzeichnis1"/>
        <w:rPr>
          <w:rFonts w:asciiTheme="minorHAnsi" w:eastAsiaTheme="minorEastAsia" w:hAnsiTheme="minorHAnsi" w:cstheme="minorBidi"/>
          <w:b w:val="0"/>
          <w:sz w:val="24"/>
          <w:szCs w:val="24"/>
        </w:rPr>
      </w:pPr>
      <w:hyperlink w:anchor="_Toc450314458" w:history="1">
        <w:r w:rsidR="00CD6296" w:rsidRPr="006350B8">
          <w:rPr>
            <w:rStyle w:val="Link"/>
          </w:rPr>
          <w:t>2</w:t>
        </w:r>
        <w:r w:rsidR="00CD6296">
          <w:rPr>
            <w:rFonts w:asciiTheme="minorHAnsi" w:eastAsiaTheme="minorEastAsia" w:hAnsiTheme="minorHAnsi" w:cstheme="minorBidi"/>
            <w:b w:val="0"/>
            <w:sz w:val="24"/>
            <w:szCs w:val="24"/>
          </w:rPr>
          <w:tab/>
        </w:r>
        <w:r w:rsidR="00CD6296" w:rsidRPr="006350B8">
          <w:rPr>
            <w:rStyle w:val="Link"/>
          </w:rPr>
          <w:t>Grundlagen</w:t>
        </w:r>
        <w:r w:rsidR="00CD6296">
          <w:rPr>
            <w:webHidden/>
          </w:rPr>
          <w:tab/>
        </w:r>
        <w:r w:rsidR="00CD6296">
          <w:rPr>
            <w:webHidden/>
          </w:rPr>
          <w:fldChar w:fldCharType="begin"/>
        </w:r>
        <w:r w:rsidR="00CD6296">
          <w:rPr>
            <w:webHidden/>
          </w:rPr>
          <w:instrText xml:space="preserve"> PAGEREF _Toc450314458 \h </w:instrText>
        </w:r>
        <w:r w:rsidR="00CD6296">
          <w:rPr>
            <w:webHidden/>
          </w:rPr>
        </w:r>
        <w:r w:rsidR="00CD6296">
          <w:rPr>
            <w:webHidden/>
          </w:rPr>
          <w:fldChar w:fldCharType="separate"/>
        </w:r>
        <w:r w:rsidR="00CD6296">
          <w:rPr>
            <w:webHidden/>
          </w:rPr>
          <w:t>3</w:t>
        </w:r>
        <w:r w:rsidR="00CD6296">
          <w:rPr>
            <w:webHidden/>
          </w:rPr>
          <w:fldChar w:fldCharType="end"/>
        </w:r>
      </w:hyperlink>
    </w:p>
    <w:p w14:paraId="2248997E" w14:textId="77777777" w:rsidR="00CD6296" w:rsidRDefault="00A81AF6">
      <w:pPr>
        <w:pStyle w:val="Verzeichnis2"/>
        <w:rPr>
          <w:rFonts w:asciiTheme="minorHAnsi" w:eastAsiaTheme="minorEastAsia" w:hAnsiTheme="minorHAnsi" w:cstheme="minorBidi"/>
          <w:sz w:val="24"/>
          <w:szCs w:val="24"/>
        </w:rPr>
      </w:pPr>
      <w:hyperlink w:anchor="_Toc450314459" w:history="1">
        <w:r w:rsidR="00CD6296" w:rsidRPr="006350B8">
          <w:rPr>
            <w:rStyle w:val="Link"/>
          </w:rPr>
          <w:t>2.1</w:t>
        </w:r>
        <w:r w:rsidR="00CD6296">
          <w:rPr>
            <w:rFonts w:asciiTheme="minorHAnsi" w:eastAsiaTheme="minorEastAsia" w:hAnsiTheme="minorHAnsi" w:cstheme="minorBidi"/>
            <w:sz w:val="24"/>
            <w:szCs w:val="24"/>
          </w:rPr>
          <w:tab/>
        </w:r>
        <w:r w:rsidR="00CD6296" w:rsidRPr="006350B8">
          <w:rPr>
            <w:rStyle w:val="Link"/>
          </w:rPr>
          <w:t>Innovation zur Existenzsicherung</w:t>
        </w:r>
        <w:r w:rsidR="00CD6296">
          <w:rPr>
            <w:webHidden/>
          </w:rPr>
          <w:tab/>
        </w:r>
        <w:r w:rsidR="00CD6296">
          <w:rPr>
            <w:webHidden/>
          </w:rPr>
          <w:fldChar w:fldCharType="begin"/>
        </w:r>
        <w:r w:rsidR="00CD6296">
          <w:rPr>
            <w:webHidden/>
          </w:rPr>
          <w:instrText xml:space="preserve"> PAGEREF _Toc450314459 \h </w:instrText>
        </w:r>
        <w:r w:rsidR="00CD6296">
          <w:rPr>
            <w:webHidden/>
          </w:rPr>
        </w:r>
        <w:r w:rsidR="00CD6296">
          <w:rPr>
            <w:webHidden/>
          </w:rPr>
          <w:fldChar w:fldCharType="separate"/>
        </w:r>
        <w:r w:rsidR="00CD6296">
          <w:rPr>
            <w:webHidden/>
          </w:rPr>
          <w:t>3</w:t>
        </w:r>
        <w:r w:rsidR="00CD6296">
          <w:rPr>
            <w:webHidden/>
          </w:rPr>
          <w:fldChar w:fldCharType="end"/>
        </w:r>
      </w:hyperlink>
    </w:p>
    <w:p w14:paraId="56353377" w14:textId="77777777" w:rsidR="00CD6296" w:rsidRDefault="00A81AF6">
      <w:pPr>
        <w:pStyle w:val="Verzeichnis2"/>
        <w:rPr>
          <w:rFonts w:asciiTheme="minorHAnsi" w:eastAsiaTheme="minorEastAsia" w:hAnsiTheme="minorHAnsi" w:cstheme="minorBidi"/>
          <w:sz w:val="24"/>
          <w:szCs w:val="24"/>
        </w:rPr>
      </w:pPr>
      <w:hyperlink w:anchor="_Toc450314460" w:history="1">
        <w:r w:rsidR="00CD6296" w:rsidRPr="006350B8">
          <w:rPr>
            <w:rStyle w:val="Link"/>
          </w:rPr>
          <w:t>2.2</w:t>
        </w:r>
        <w:r w:rsidR="00CD6296">
          <w:rPr>
            <w:rFonts w:asciiTheme="minorHAnsi" w:eastAsiaTheme="minorEastAsia" w:hAnsiTheme="minorHAnsi" w:cstheme="minorBidi"/>
            <w:sz w:val="24"/>
            <w:szCs w:val="24"/>
          </w:rPr>
          <w:tab/>
        </w:r>
        <w:r w:rsidR="00CD6296" w:rsidRPr="006350B8">
          <w:rPr>
            <w:rStyle w:val="Link"/>
          </w:rPr>
          <w:t>Innovationssteuerung durch Produkt-Management</w:t>
        </w:r>
        <w:r w:rsidR="00CD6296">
          <w:rPr>
            <w:webHidden/>
          </w:rPr>
          <w:tab/>
        </w:r>
        <w:r w:rsidR="00CD6296">
          <w:rPr>
            <w:webHidden/>
          </w:rPr>
          <w:fldChar w:fldCharType="begin"/>
        </w:r>
        <w:r w:rsidR="00CD6296">
          <w:rPr>
            <w:webHidden/>
          </w:rPr>
          <w:instrText xml:space="preserve"> PAGEREF _Toc450314460 \h </w:instrText>
        </w:r>
        <w:r w:rsidR="00CD6296">
          <w:rPr>
            <w:webHidden/>
          </w:rPr>
        </w:r>
        <w:r w:rsidR="00CD6296">
          <w:rPr>
            <w:webHidden/>
          </w:rPr>
          <w:fldChar w:fldCharType="separate"/>
        </w:r>
        <w:r w:rsidR="00CD6296">
          <w:rPr>
            <w:webHidden/>
          </w:rPr>
          <w:t>6</w:t>
        </w:r>
        <w:r w:rsidR="00CD6296">
          <w:rPr>
            <w:webHidden/>
          </w:rPr>
          <w:fldChar w:fldCharType="end"/>
        </w:r>
      </w:hyperlink>
    </w:p>
    <w:p w14:paraId="52043B04" w14:textId="77777777" w:rsidR="00CD6296" w:rsidRDefault="00A81AF6">
      <w:pPr>
        <w:pStyle w:val="Verzeichnis2"/>
        <w:rPr>
          <w:rFonts w:asciiTheme="minorHAnsi" w:eastAsiaTheme="minorEastAsia" w:hAnsiTheme="minorHAnsi" w:cstheme="minorBidi"/>
          <w:sz w:val="24"/>
          <w:szCs w:val="24"/>
        </w:rPr>
      </w:pPr>
      <w:hyperlink w:anchor="_Toc450314461" w:history="1">
        <w:r w:rsidR="00CD6296" w:rsidRPr="006350B8">
          <w:rPr>
            <w:rStyle w:val="Link"/>
          </w:rPr>
          <w:t>2.3</w:t>
        </w:r>
        <w:r w:rsidR="00CD6296">
          <w:rPr>
            <w:rFonts w:asciiTheme="minorHAnsi" w:eastAsiaTheme="minorEastAsia" w:hAnsiTheme="minorHAnsi" w:cstheme="minorBidi"/>
            <w:sz w:val="24"/>
            <w:szCs w:val="24"/>
          </w:rPr>
          <w:tab/>
        </w:r>
        <w:r w:rsidR="00CD6296" w:rsidRPr="006350B8">
          <w:rPr>
            <w:rStyle w:val="Link"/>
          </w:rPr>
          <w:t>Der Produktlebenszyklus</w:t>
        </w:r>
        <w:r w:rsidR="00CD6296">
          <w:rPr>
            <w:webHidden/>
          </w:rPr>
          <w:tab/>
        </w:r>
        <w:r w:rsidR="00CD6296">
          <w:rPr>
            <w:webHidden/>
          </w:rPr>
          <w:fldChar w:fldCharType="begin"/>
        </w:r>
        <w:r w:rsidR="00CD6296">
          <w:rPr>
            <w:webHidden/>
          </w:rPr>
          <w:instrText xml:space="preserve"> PAGEREF _Toc450314461 \h </w:instrText>
        </w:r>
        <w:r w:rsidR="00CD6296">
          <w:rPr>
            <w:webHidden/>
          </w:rPr>
        </w:r>
        <w:r w:rsidR="00CD6296">
          <w:rPr>
            <w:webHidden/>
          </w:rPr>
          <w:fldChar w:fldCharType="separate"/>
        </w:r>
        <w:r w:rsidR="00CD6296">
          <w:rPr>
            <w:webHidden/>
          </w:rPr>
          <w:t>7</w:t>
        </w:r>
        <w:r w:rsidR="00CD6296">
          <w:rPr>
            <w:webHidden/>
          </w:rPr>
          <w:fldChar w:fldCharType="end"/>
        </w:r>
      </w:hyperlink>
    </w:p>
    <w:p w14:paraId="0758D9AE" w14:textId="77777777" w:rsidR="00CD6296" w:rsidRDefault="00A81AF6">
      <w:pPr>
        <w:pStyle w:val="Verzeichnis2"/>
        <w:rPr>
          <w:rFonts w:asciiTheme="minorHAnsi" w:eastAsiaTheme="minorEastAsia" w:hAnsiTheme="minorHAnsi" w:cstheme="minorBidi"/>
          <w:sz w:val="24"/>
          <w:szCs w:val="24"/>
        </w:rPr>
      </w:pPr>
      <w:hyperlink w:anchor="_Toc450314462" w:history="1">
        <w:r w:rsidR="00CD6296" w:rsidRPr="006350B8">
          <w:rPr>
            <w:rStyle w:val="Link"/>
          </w:rPr>
          <w:t>2.4</w:t>
        </w:r>
        <w:r w:rsidR="00CD6296">
          <w:rPr>
            <w:rFonts w:asciiTheme="minorHAnsi" w:eastAsiaTheme="minorEastAsia" w:hAnsiTheme="minorHAnsi" w:cstheme="minorBidi"/>
            <w:sz w:val="24"/>
            <w:szCs w:val="24"/>
          </w:rPr>
          <w:tab/>
        </w:r>
        <w:r w:rsidR="00CD6296" w:rsidRPr="006350B8">
          <w:rPr>
            <w:rStyle w:val="Link"/>
          </w:rPr>
          <w:t>Produktveröffentlichung durch Standards im Release-Management</w:t>
        </w:r>
        <w:r w:rsidR="00CD6296">
          <w:rPr>
            <w:webHidden/>
          </w:rPr>
          <w:tab/>
        </w:r>
        <w:r w:rsidR="00CD6296">
          <w:rPr>
            <w:webHidden/>
          </w:rPr>
          <w:fldChar w:fldCharType="begin"/>
        </w:r>
        <w:r w:rsidR="00CD6296">
          <w:rPr>
            <w:webHidden/>
          </w:rPr>
          <w:instrText xml:space="preserve"> PAGEREF _Toc450314462 \h </w:instrText>
        </w:r>
        <w:r w:rsidR="00CD6296">
          <w:rPr>
            <w:webHidden/>
          </w:rPr>
        </w:r>
        <w:r w:rsidR="00CD6296">
          <w:rPr>
            <w:webHidden/>
          </w:rPr>
          <w:fldChar w:fldCharType="separate"/>
        </w:r>
        <w:r w:rsidR="00CD6296">
          <w:rPr>
            <w:webHidden/>
          </w:rPr>
          <w:t>10</w:t>
        </w:r>
        <w:r w:rsidR="00CD6296">
          <w:rPr>
            <w:webHidden/>
          </w:rPr>
          <w:fldChar w:fldCharType="end"/>
        </w:r>
      </w:hyperlink>
    </w:p>
    <w:p w14:paraId="76A397CA" w14:textId="77777777" w:rsidR="00CD6296" w:rsidRDefault="00A81AF6">
      <w:pPr>
        <w:pStyle w:val="Verzeichnis1"/>
        <w:rPr>
          <w:rFonts w:asciiTheme="minorHAnsi" w:eastAsiaTheme="minorEastAsia" w:hAnsiTheme="minorHAnsi" w:cstheme="minorBidi"/>
          <w:b w:val="0"/>
          <w:sz w:val="24"/>
          <w:szCs w:val="24"/>
        </w:rPr>
      </w:pPr>
      <w:hyperlink w:anchor="_Toc450314463" w:history="1">
        <w:r w:rsidR="00CD6296" w:rsidRPr="006350B8">
          <w:rPr>
            <w:rStyle w:val="Link"/>
          </w:rPr>
          <w:t>3</w:t>
        </w:r>
        <w:r w:rsidR="00CD6296">
          <w:rPr>
            <w:rFonts w:asciiTheme="minorHAnsi" w:eastAsiaTheme="minorEastAsia" w:hAnsiTheme="minorHAnsi" w:cstheme="minorBidi"/>
            <w:b w:val="0"/>
            <w:sz w:val="24"/>
            <w:szCs w:val="24"/>
          </w:rPr>
          <w:tab/>
        </w:r>
        <w:r w:rsidR="00CD6296" w:rsidRPr="006350B8">
          <w:rPr>
            <w:rStyle w:val="Link"/>
          </w:rPr>
          <w:t>Risikotypen des Produktlebenszyklus</w:t>
        </w:r>
        <w:r w:rsidR="00CD6296">
          <w:rPr>
            <w:webHidden/>
          </w:rPr>
          <w:tab/>
        </w:r>
        <w:r w:rsidR="00CD6296">
          <w:rPr>
            <w:webHidden/>
          </w:rPr>
          <w:fldChar w:fldCharType="begin"/>
        </w:r>
        <w:r w:rsidR="00CD6296">
          <w:rPr>
            <w:webHidden/>
          </w:rPr>
          <w:instrText xml:space="preserve"> PAGEREF _Toc450314463 \h </w:instrText>
        </w:r>
        <w:r w:rsidR="00CD6296">
          <w:rPr>
            <w:webHidden/>
          </w:rPr>
        </w:r>
        <w:r w:rsidR="00CD6296">
          <w:rPr>
            <w:webHidden/>
          </w:rPr>
          <w:fldChar w:fldCharType="separate"/>
        </w:r>
        <w:r w:rsidR="00CD6296">
          <w:rPr>
            <w:webHidden/>
          </w:rPr>
          <w:t>16</w:t>
        </w:r>
        <w:r w:rsidR="00CD6296">
          <w:rPr>
            <w:webHidden/>
          </w:rPr>
          <w:fldChar w:fldCharType="end"/>
        </w:r>
      </w:hyperlink>
    </w:p>
    <w:p w14:paraId="7D030755" w14:textId="77777777" w:rsidR="00CD6296" w:rsidRDefault="00A81AF6">
      <w:pPr>
        <w:pStyle w:val="Verzeichnis2"/>
        <w:rPr>
          <w:rFonts w:asciiTheme="minorHAnsi" w:eastAsiaTheme="minorEastAsia" w:hAnsiTheme="minorHAnsi" w:cstheme="minorBidi"/>
          <w:sz w:val="24"/>
          <w:szCs w:val="24"/>
        </w:rPr>
      </w:pPr>
      <w:hyperlink w:anchor="_Toc450314464" w:history="1">
        <w:r w:rsidR="00CD6296" w:rsidRPr="006350B8">
          <w:rPr>
            <w:rStyle w:val="Link"/>
          </w:rPr>
          <w:t>3.1</w:t>
        </w:r>
        <w:r w:rsidR="00CD6296">
          <w:rPr>
            <w:rFonts w:asciiTheme="minorHAnsi" w:eastAsiaTheme="minorEastAsia" w:hAnsiTheme="minorHAnsi" w:cstheme="minorBidi"/>
            <w:sz w:val="24"/>
            <w:szCs w:val="24"/>
          </w:rPr>
          <w:tab/>
        </w:r>
        <w:r w:rsidR="00CD6296" w:rsidRPr="006350B8">
          <w:rPr>
            <w:rStyle w:val="Link"/>
          </w:rPr>
          <w:t>Entwicklung</w:t>
        </w:r>
        <w:r w:rsidR="00CD6296">
          <w:rPr>
            <w:webHidden/>
          </w:rPr>
          <w:tab/>
        </w:r>
        <w:r w:rsidR="00CD6296">
          <w:rPr>
            <w:webHidden/>
          </w:rPr>
          <w:fldChar w:fldCharType="begin"/>
        </w:r>
        <w:r w:rsidR="00CD6296">
          <w:rPr>
            <w:webHidden/>
          </w:rPr>
          <w:instrText xml:space="preserve"> PAGEREF _Toc450314464 \h </w:instrText>
        </w:r>
        <w:r w:rsidR="00CD6296">
          <w:rPr>
            <w:webHidden/>
          </w:rPr>
        </w:r>
        <w:r w:rsidR="00CD6296">
          <w:rPr>
            <w:webHidden/>
          </w:rPr>
          <w:fldChar w:fldCharType="separate"/>
        </w:r>
        <w:r w:rsidR="00CD6296">
          <w:rPr>
            <w:webHidden/>
          </w:rPr>
          <w:t>16</w:t>
        </w:r>
        <w:r w:rsidR="00CD6296">
          <w:rPr>
            <w:webHidden/>
          </w:rPr>
          <w:fldChar w:fldCharType="end"/>
        </w:r>
      </w:hyperlink>
    </w:p>
    <w:p w14:paraId="783D37E5" w14:textId="77777777" w:rsidR="00CD6296" w:rsidRDefault="00A81AF6">
      <w:pPr>
        <w:pStyle w:val="Verzeichnis2"/>
        <w:rPr>
          <w:rFonts w:asciiTheme="minorHAnsi" w:eastAsiaTheme="minorEastAsia" w:hAnsiTheme="minorHAnsi" w:cstheme="minorBidi"/>
          <w:sz w:val="24"/>
          <w:szCs w:val="24"/>
        </w:rPr>
      </w:pPr>
      <w:hyperlink w:anchor="_Toc450314465" w:history="1">
        <w:r w:rsidR="00CD6296" w:rsidRPr="006350B8">
          <w:rPr>
            <w:rStyle w:val="Link"/>
          </w:rPr>
          <w:t>3.2</w:t>
        </w:r>
        <w:r w:rsidR="00CD6296">
          <w:rPr>
            <w:rFonts w:asciiTheme="minorHAnsi" w:eastAsiaTheme="minorEastAsia" w:hAnsiTheme="minorHAnsi" w:cstheme="minorBidi"/>
            <w:sz w:val="24"/>
            <w:szCs w:val="24"/>
          </w:rPr>
          <w:tab/>
        </w:r>
        <w:r w:rsidR="00CD6296" w:rsidRPr="006350B8">
          <w:rPr>
            <w:rStyle w:val="Link"/>
          </w:rPr>
          <w:t>Einführung</w:t>
        </w:r>
        <w:r w:rsidR="00CD6296">
          <w:rPr>
            <w:webHidden/>
          </w:rPr>
          <w:tab/>
        </w:r>
        <w:r w:rsidR="00CD6296">
          <w:rPr>
            <w:webHidden/>
          </w:rPr>
          <w:fldChar w:fldCharType="begin"/>
        </w:r>
        <w:r w:rsidR="00CD6296">
          <w:rPr>
            <w:webHidden/>
          </w:rPr>
          <w:instrText xml:space="preserve"> PAGEREF _Toc450314465 \h </w:instrText>
        </w:r>
        <w:r w:rsidR="00CD6296">
          <w:rPr>
            <w:webHidden/>
          </w:rPr>
        </w:r>
        <w:r w:rsidR="00CD6296">
          <w:rPr>
            <w:webHidden/>
          </w:rPr>
          <w:fldChar w:fldCharType="separate"/>
        </w:r>
        <w:r w:rsidR="00CD6296">
          <w:rPr>
            <w:webHidden/>
          </w:rPr>
          <w:t>17</w:t>
        </w:r>
        <w:r w:rsidR="00CD6296">
          <w:rPr>
            <w:webHidden/>
          </w:rPr>
          <w:fldChar w:fldCharType="end"/>
        </w:r>
      </w:hyperlink>
    </w:p>
    <w:p w14:paraId="5F963B4F" w14:textId="77777777" w:rsidR="00CD6296" w:rsidRDefault="00A81AF6">
      <w:pPr>
        <w:pStyle w:val="Verzeichnis2"/>
        <w:rPr>
          <w:rFonts w:asciiTheme="minorHAnsi" w:eastAsiaTheme="minorEastAsia" w:hAnsiTheme="minorHAnsi" w:cstheme="minorBidi"/>
          <w:sz w:val="24"/>
          <w:szCs w:val="24"/>
        </w:rPr>
      </w:pPr>
      <w:hyperlink w:anchor="_Toc450314466" w:history="1">
        <w:r w:rsidR="00CD6296" w:rsidRPr="006350B8">
          <w:rPr>
            <w:rStyle w:val="Link"/>
          </w:rPr>
          <w:t>3.3</w:t>
        </w:r>
        <w:r w:rsidR="00CD6296">
          <w:rPr>
            <w:rFonts w:asciiTheme="minorHAnsi" w:eastAsiaTheme="minorEastAsia" w:hAnsiTheme="minorHAnsi" w:cstheme="minorBidi"/>
            <w:sz w:val="24"/>
            <w:szCs w:val="24"/>
          </w:rPr>
          <w:tab/>
        </w:r>
        <w:r w:rsidR="00CD6296" w:rsidRPr="006350B8">
          <w:rPr>
            <w:rStyle w:val="Link"/>
          </w:rPr>
          <w:t>Wachstum</w:t>
        </w:r>
        <w:r w:rsidR="00CD6296">
          <w:rPr>
            <w:webHidden/>
          </w:rPr>
          <w:tab/>
        </w:r>
        <w:r w:rsidR="00CD6296">
          <w:rPr>
            <w:webHidden/>
          </w:rPr>
          <w:fldChar w:fldCharType="begin"/>
        </w:r>
        <w:r w:rsidR="00CD6296">
          <w:rPr>
            <w:webHidden/>
          </w:rPr>
          <w:instrText xml:space="preserve"> PAGEREF _Toc450314466 \h </w:instrText>
        </w:r>
        <w:r w:rsidR="00CD6296">
          <w:rPr>
            <w:webHidden/>
          </w:rPr>
        </w:r>
        <w:r w:rsidR="00CD6296">
          <w:rPr>
            <w:webHidden/>
          </w:rPr>
          <w:fldChar w:fldCharType="separate"/>
        </w:r>
        <w:r w:rsidR="00CD6296">
          <w:rPr>
            <w:webHidden/>
          </w:rPr>
          <w:t>18</w:t>
        </w:r>
        <w:r w:rsidR="00CD6296">
          <w:rPr>
            <w:webHidden/>
          </w:rPr>
          <w:fldChar w:fldCharType="end"/>
        </w:r>
      </w:hyperlink>
    </w:p>
    <w:p w14:paraId="216E2DED" w14:textId="77777777" w:rsidR="00CD6296" w:rsidRDefault="00A81AF6">
      <w:pPr>
        <w:pStyle w:val="Verzeichnis2"/>
        <w:rPr>
          <w:rFonts w:asciiTheme="minorHAnsi" w:eastAsiaTheme="minorEastAsia" w:hAnsiTheme="minorHAnsi" w:cstheme="minorBidi"/>
          <w:sz w:val="24"/>
          <w:szCs w:val="24"/>
        </w:rPr>
      </w:pPr>
      <w:hyperlink w:anchor="_Toc450314467" w:history="1">
        <w:r w:rsidR="00CD6296" w:rsidRPr="006350B8">
          <w:rPr>
            <w:rStyle w:val="Link"/>
          </w:rPr>
          <w:t>3.4</w:t>
        </w:r>
        <w:r w:rsidR="00CD6296">
          <w:rPr>
            <w:rFonts w:asciiTheme="minorHAnsi" w:eastAsiaTheme="minorEastAsia" w:hAnsiTheme="minorHAnsi" w:cstheme="minorBidi"/>
            <w:sz w:val="24"/>
            <w:szCs w:val="24"/>
          </w:rPr>
          <w:tab/>
        </w:r>
        <w:r w:rsidR="00CD6296" w:rsidRPr="006350B8">
          <w:rPr>
            <w:rStyle w:val="Link"/>
          </w:rPr>
          <w:t>Reife</w:t>
        </w:r>
        <w:r w:rsidR="00CD6296">
          <w:rPr>
            <w:webHidden/>
          </w:rPr>
          <w:tab/>
        </w:r>
        <w:r w:rsidR="00CD6296">
          <w:rPr>
            <w:webHidden/>
          </w:rPr>
          <w:fldChar w:fldCharType="begin"/>
        </w:r>
        <w:r w:rsidR="00CD6296">
          <w:rPr>
            <w:webHidden/>
          </w:rPr>
          <w:instrText xml:space="preserve"> PAGEREF _Toc450314467 \h </w:instrText>
        </w:r>
        <w:r w:rsidR="00CD6296">
          <w:rPr>
            <w:webHidden/>
          </w:rPr>
        </w:r>
        <w:r w:rsidR="00CD6296">
          <w:rPr>
            <w:webHidden/>
          </w:rPr>
          <w:fldChar w:fldCharType="separate"/>
        </w:r>
        <w:r w:rsidR="00CD6296">
          <w:rPr>
            <w:webHidden/>
          </w:rPr>
          <w:t>19</w:t>
        </w:r>
        <w:r w:rsidR="00CD6296">
          <w:rPr>
            <w:webHidden/>
          </w:rPr>
          <w:fldChar w:fldCharType="end"/>
        </w:r>
      </w:hyperlink>
    </w:p>
    <w:p w14:paraId="1AE4A9FA" w14:textId="77777777" w:rsidR="00CD6296" w:rsidRDefault="00A81AF6">
      <w:pPr>
        <w:pStyle w:val="Verzeichnis2"/>
        <w:rPr>
          <w:rFonts w:asciiTheme="minorHAnsi" w:eastAsiaTheme="minorEastAsia" w:hAnsiTheme="minorHAnsi" w:cstheme="minorBidi"/>
          <w:sz w:val="24"/>
          <w:szCs w:val="24"/>
        </w:rPr>
      </w:pPr>
      <w:hyperlink w:anchor="_Toc450314468" w:history="1">
        <w:r w:rsidR="00CD6296" w:rsidRPr="006350B8">
          <w:rPr>
            <w:rStyle w:val="Link"/>
          </w:rPr>
          <w:t>3.5</w:t>
        </w:r>
        <w:r w:rsidR="00CD6296">
          <w:rPr>
            <w:rFonts w:asciiTheme="minorHAnsi" w:eastAsiaTheme="minorEastAsia" w:hAnsiTheme="minorHAnsi" w:cstheme="minorBidi"/>
            <w:sz w:val="24"/>
            <w:szCs w:val="24"/>
          </w:rPr>
          <w:tab/>
        </w:r>
        <w:r w:rsidR="00CD6296" w:rsidRPr="006350B8">
          <w:rPr>
            <w:rStyle w:val="Link"/>
          </w:rPr>
          <w:t>Entsorgung</w:t>
        </w:r>
        <w:r w:rsidR="00CD6296">
          <w:rPr>
            <w:webHidden/>
          </w:rPr>
          <w:tab/>
        </w:r>
        <w:r w:rsidR="00CD6296">
          <w:rPr>
            <w:webHidden/>
          </w:rPr>
          <w:fldChar w:fldCharType="begin"/>
        </w:r>
        <w:r w:rsidR="00CD6296">
          <w:rPr>
            <w:webHidden/>
          </w:rPr>
          <w:instrText xml:space="preserve"> PAGEREF _Toc450314468 \h </w:instrText>
        </w:r>
        <w:r w:rsidR="00CD6296">
          <w:rPr>
            <w:webHidden/>
          </w:rPr>
        </w:r>
        <w:r w:rsidR="00CD6296">
          <w:rPr>
            <w:webHidden/>
          </w:rPr>
          <w:fldChar w:fldCharType="separate"/>
        </w:r>
        <w:r w:rsidR="00CD6296">
          <w:rPr>
            <w:webHidden/>
          </w:rPr>
          <w:t>19</w:t>
        </w:r>
        <w:r w:rsidR="00CD6296">
          <w:rPr>
            <w:webHidden/>
          </w:rPr>
          <w:fldChar w:fldCharType="end"/>
        </w:r>
      </w:hyperlink>
    </w:p>
    <w:p w14:paraId="51599D3B" w14:textId="77777777" w:rsidR="00CD6296" w:rsidRDefault="00A81AF6">
      <w:pPr>
        <w:pStyle w:val="Verzeichnis2"/>
        <w:rPr>
          <w:rFonts w:asciiTheme="minorHAnsi" w:eastAsiaTheme="minorEastAsia" w:hAnsiTheme="minorHAnsi" w:cstheme="minorBidi"/>
          <w:sz w:val="24"/>
          <w:szCs w:val="24"/>
        </w:rPr>
      </w:pPr>
      <w:hyperlink w:anchor="_Toc450314469" w:history="1">
        <w:r w:rsidR="00CD6296" w:rsidRPr="006350B8">
          <w:rPr>
            <w:rStyle w:val="Link"/>
          </w:rPr>
          <w:t>3.6</w:t>
        </w:r>
        <w:r w:rsidR="00CD6296">
          <w:rPr>
            <w:rFonts w:asciiTheme="minorHAnsi" w:eastAsiaTheme="minorEastAsia" w:hAnsiTheme="minorHAnsi" w:cstheme="minorBidi"/>
            <w:sz w:val="24"/>
            <w:szCs w:val="24"/>
          </w:rPr>
          <w:tab/>
        </w:r>
        <w:r w:rsidR="00CD6296" w:rsidRPr="006350B8">
          <w:rPr>
            <w:rStyle w:val="Link"/>
          </w:rPr>
          <w:t>Zusammenfassung der Risiken der einzelnen Phasen</w:t>
        </w:r>
        <w:r w:rsidR="00CD6296">
          <w:rPr>
            <w:webHidden/>
          </w:rPr>
          <w:tab/>
        </w:r>
        <w:r w:rsidR="00CD6296">
          <w:rPr>
            <w:webHidden/>
          </w:rPr>
          <w:fldChar w:fldCharType="begin"/>
        </w:r>
        <w:r w:rsidR="00CD6296">
          <w:rPr>
            <w:webHidden/>
          </w:rPr>
          <w:instrText xml:space="preserve"> PAGEREF _Toc450314469 \h </w:instrText>
        </w:r>
        <w:r w:rsidR="00CD6296">
          <w:rPr>
            <w:webHidden/>
          </w:rPr>
        </w:r>
        <w:r w:rsidR="00CD6296">
          <w:rPr>
            <w:webHidden/>
          </w:rPr>
          <w:fldChar w:fldCharType="separate"/>
        </w:r>
        <w:r w:rsidR="00CD6296">
          <w:rPr>
            <w:webHidden/>
          </w:rPr>
          <w:t>20</w:t>
        </w:r>
        <w:r w:rsidR="00CD6296">
          <w:rPr>
            <w:webHidden/>
          </w:rPr>
          <w:fldChar w:fldCharType="end"/>
        </w:r>
      </w:hyperlink>
    </w:p>
    <w:p w14:paraId="75F1D039" w14:textId="77777777" w:rsidR="00CD6296" w:rsidRDefault="00A81AF6">
      <w:pPr>
        <w:pStyle w:val="Verzeichnis1"/>
        <w:rPr>
          <w:rFonts w:asciiTheme="minorHAnsi" w:eastAsiaTheme="minorEastAsia" w:hAnsiTheme="minorHAnsi" w:cstheme="minorBidi"/>
          <w:b w:val="0"/>
          <w:sz w:val="24"/>
          <w:szCs w:val="24"/>
        </w:rPr>
      </w:pPr>
      <w:hyperlink w:anchor="_Toc450314470" w:history="1">
        <w:r w:rsidR="00CD6296" w:rsidRPr="006350B8">
          <w:rPr>
            <w:rStyle w:val="Link"/>
          </w:rPr>
          <w:t>4</w:t>
        </w:r>
        <w:r w:rsidR="00CD6296">
          <w:rPr>
            <w:rFonts w:asciiTheme="minorHAnsi" w:eastAsiaTheme="minorEastAsia" w:hAnsiTheme="minorHAnsi" w:cstheme="minorBidi"/>
            <w:b w:val="0"/>
            <w:sz w:val="24"/>
            <w:szCs w:val="24"/>
          </w:rPr>
          <w:tab/>
        </w:r>
        <w:r w:rsidR="00CD6296" w:rsidRPr="006350B8">
          <w:rPr>
            <w:rStyle w:val="Link"/>
          </w:rPr>
          <w:t>Prozesse des Release-Managements zum Umgang mit Risiken</w:t>
        </w:r>
        <w:r w:rsidR="00CD6296">
          <w:rPr>
            <w:webHidden/>
          </w:rPr>
          <w:tab/>
        </w:r>
        <w:r w:rsidR="00CD6296">
          <w:rPr>
            <w:webHidden/>
          </w:rPr>
          <w:fldChar w:fldCharType="begin"/>
        </w:r>
        <w:r w:rsidR="00CD6296">
          <w:rPr>
            <w:webHidden/>
          </w:rPr>
          <w:instrText xml:space="preserve"> PAGEREF _Toc450314470 \h </w:instrText>
        </w:r>
        <w:r w:rsidR="00CD6296">
          <w:rPr>
            <w:webHidden/>
          </w:rPr>
        </w:r>
        <w:r w:rsidR="00CD6296">
          <w:rPr>
            <w:webHidden/>
          </w:rPr>
          <w:fldChar w:fldCharType="separate"/>
        </w:r>
        <w:r w:rsidR="00CD6296">
          <w:rPr>
            <w:webHidden/>
          </w:rPr>
          <w:t>21</w:t>
        </w:r>
        <w:r w:rsidR="00CD6296">
          <w:rPr>
            <w:webHidden/>
          </w:rPr>
          <w:fldChar w:fldCharType="end"/>
        </w:r>
      </w:hyperlink>
    </w:p>
    <w:p w14:paraId="58CE1B35" w14:textId="77777777" w:rsidR="00CD6296" w:rsidRDefault="00A81AF6">
      <w:pPr>
        <w:pStyle w:val="Verzeichnis2"/>
        <w:rPr>
          <w:rFonts w:asciiTheme="minorHAnsi" w:eastAsiaTheme="minorEastAsia" w:hAnsiTheme="minorHAnsi" w:cstheme="minorBidi"/>
          <w:sz w:val="24"/>
          <w:szCs w:val="24"/>
        </w:rPr>
      </w:pPr>
      <w:hyperlink w:anchor="_Toc450314471" w:history="1">
        <w:r w:rsidR="00CD6296" w:rsidRPr="006350B8">
          <w:rPr>
            <w:rStyle w:val="Link"/>
          </w:rPr>
          <w:t>4.1</w:t>
        </w:r>
        <w:r w:rsidR="00CD6296">
          <w:rPr>
            <w:rFonts w:asciiTheme="minorHAnsi" w:eastAsiaTheme="minorEastAsia" w:hAnsiTheme="minorHAnsi" w:cstheme="minorBidi"/>
            <w:sz w:val="24"/>
            <w:szCs w:val="24"/>
          </w:rPr>
          <w:tab/>
        </w:r>
        <w:r w:rsidR="00CD6296" w:rsidRPr="006350B8">
          <w:rPr>
            <w:rStyle w:val="Link"/>
          </w:rPr>
          <w:t>Transition Planning and Support</w:t>
        </w:r>
        <w:r w:rsidR="00CD6296">
          <w:rPr>
            <w:webHidden/>
          </w:rPr>
          <w:tab/>
        </w:r>
        <w:r w:rsidR="00CD6296">
          <w:rPr>
            <w:webHidden/>
          </w:rPr>
          <w:fldChar w:fldCharType="begin"/>
        </w:r>
        <w:r w:rsidR="00CD6296">
          <w:rPr>
            <w:webHidden/>
          </w:rPr>
          <w:instrText xml:space="preserve"> PAGEREF _Toc450314471 \h </w:instrText>
        </w:r>
        <w:r w:rsidR="00CD6296">
          <w:rPr>
            <w:webHidden/>
          </w:rPr>
        </w:r>
        <w:r w:rsidR="00CD6296">
          <w:rPr>
            <w:webHidden/>
          </w:rPr>
          <w:fldChar w:fldCharType="separate"/>
        </w:r>
        <w:r w:rsidR="00CD6296">
          <w:rPr>
            <w:webHidden/>
          </w:rPr>
          <w:t>21</w:t>
        </w:r>
        <w:r w:rsidR="00CD6296">
          <w:rPr>
            <w:webHidden/>
          </w:rPr>
          <w:fldChar w:fldCharType="end"/>
        </w:r>
      </w:hyperlink>
    </w:p>
    <w:p w14:paraId="75F6ADDF" w14:textId="77777777" w:rsidR="00CD6296" w:rsidRDefault="00A81AF6">
      <w:pPr>
        <w:pStyle w:val="Verzeichnis2"/>
        <w:rPr>
          <w:rFonts w:asciiTheme="minorHAnsi" w:eastAsiaTheme="minorEastAsia" w:hAnsiTheme="minorHAnsi" w:cstheme="minorBidi"/>
          <w:sz w:val="24"/>
          <w:szCs w:val="24"/>
        </w:rPr>
      </w:pPr>
      <w:hyperlink w:anchor="_Toc450314472" w:history="1">
        <w:r w:rsidR="00CD6296" w:rsidRPr="006350B8">
          <w:rPr>
            <w:rStyle w:val="Link"/>
          </w:rPr>
          <w:t>4.2</w:t>
        </w:r>
        <w:r w:rsidR="00CD6296">
          <w:rPr>
            <w:rFonts w:asciiTheme="minorHAnsi" w:eastAsiaTheme="minorEastAsia" w:hAnsiTheme="minorHAnsi" w:cstheme="minorBidi"/>
            <w:sz w:val="24"/>
            <w:szCs w:val="24"/>
          </w:rPr>
          <w:tab/>
        </w:r>
        <w:r w:rsidR="00CD6296" w:rsidRPr="006350B8">
          <w:rPr>
            <w:rStyle w:val="Link"/>
          </w:rPr>
          <w:t>Change Management</w:t>
        </w:r>
        <w:r w:rsidR="00CD6296">
          <w:rPr>
            <w:webHidden/>
          </w:rPr>
          <w:tab/>
        </w:r>
        <w:r w:rsidR="00CD6296">
          <w:rPr>
            <w:webHidden/>
          </w:rPr>
          <w:fldChar w:fldCharType="begin"/>
        </w:r>
        <w:r w:rsidR="00CD6296">
          <w:rPr>
            <w:webHidden/>
          </w:rPr>
          <w:instrText xml:space="preserve"> PAGEREF _Toc450314472 \h </w:instrText>
        </w:r>
        <w:r w:rsidR="00CD6296">
          <w:rPr>
            <w:webHidden/>
          </w:rPr>
        </w:r>
        <w:r w:rsidR="00CD6296">
          <w:rPr>
            <w:webHidden/>
          </w:rPr>
          <w:fldChar w:fldCharType="separate"/>
        </w:r>
        <w:r w:rsidR="00CD6296">
          <w:rPr>
            <w:webHidden/>
          </w:rPr>
          <w:t>23</w:t>
        </w:r>
        <w:r w:rsidR="00CD6296">
          <w:rPr>
            <w:webHidden/>
          </w:rPr>
          <w:fldChar w:fldCharType="end"/>
        </w:r>
      </w:hyperlink>
    </w:p>
    <w:p w14:paraId="13793A40" w14:textId="77777777" w:rsidR="00CD6296" w:rsidRDefault="00A81AF6">
      <w:pPr>
        <w:pStyle w:val="Verzeichnis2"/>
        <w:rPr>
          <w:rFonts w:asciiTheme="minorHAnsi" w:eastAsiaTheme="minorEastAsia" w:hAnsiTheme="minorHAnsi" w:cstheme="minorBidi"/>
          <w:sz w:val="24"/>
          <w:szCs w:val="24"/>
        </w:rPr>
      </w:pPr>
      <w:hyperlink w:anchor="_Toc450314473" w:history="1">
        <w:r w:rsidR="00CD6296" w:rsidRPr="006350B8">
          <w:rPr>
            <w:rStyle w:val="Link"/>
          </w:rPr>
          <w:t>4.3</w:t>
        </w:r>
        <w:r w:rsidR="00CD6296">
          <w:rPr>
            <w:rFonts w:asciiTheme="minorHAnsi" w:eastAsiaTheme="minorEastAsia" w:hAnsiTheme="minorHAnsi" w:cstheme="minorBidi"/>
            <w:sz w:val="24"/>
            <w:szCs w:val="24"/>
          </w:rPr>
          <w:tab/>
        </w:r>
        <w:r w:rsidR="00CD6296" w:rsidRPr="006350B8">
          <w:rPr>
            <w:rStyle w:val="Link"/>
          </w:rPr>
          <w:t>Service Asset And Configuration Management</w:t>
        </w:r>
        <w:r w:rsidR="00CD6296">
          <w:rPr>
            <w:webHidden/>
          </w:rPr>
          <w:tab/>
        </w:r>
        <w:r w:rsidR="00CD6296">
          <w:rPr>
            <w:webHidden/>
          </w:rPr>
          <w:fldChar w:fldCharType="begin"/>
        </w:r>
        <w:r w:rsidR="00CD6296">
          <w:rPr>
            <w:webHidden/>
          </w:rPr>
          <w:instrText xml:space="preserve"> PAGEREF _Toc450314473 \h </w:instrText>
        </w:r>
        <w:r w:rsidR="00CD6296">
          <w:rPr>
            <w:webHidden/>
          </w:rPr>
        </w:r>
        <w:r w:rsidR="00CD6296">
          <w:rPr>
            <w:webHidden/>
          </w:rPr>
          <w:fldChar w:fldCharType="separate"/>
        </w:r>
        <w:r w:rsidR="00CD6296">
          <w:rPr>
            <w:webHidden/>
          </w:rPr>
          <w:t>25</w:t>
        </w:r>
        <w:r w:rsidR="00CD6296">
          <w:rPr>
            <w:webHidden/>
          </w:rPr>
          <w:fldChar w:fldCharType="end"/>
        </w:r>
      </w:hyperlink>
    </w:p>
    <w:p w14:paraId="2CBC7501" w14:textId="77777777" w:rsidR="00CD6296" w:rsidRDefault="00A81AF6">
      <w:pPr>
        <w:pStyle w:val="Verzeichnis2"/>
        <w:rPr>
          <w:rFonts w:asciiTheme="minorHAnsi" w:eastAsiaTheme="minorEastAsia" w:hAnsiTheme="minorHAnsi" w:cstheme="minorBidi"/>
          <w:sz w:val="24"/>
          <w:szCs w:val="24"/>
        </w:rPr>
      </w:pPr>
      <w:hyperlink w:anchor="_Toc450314474" w:history="1">
        <w:r w:rsidR="00CD6296" w:rsidRPr="006350B8">
          <w:rPr>
            <w:rStyle w:val="Link"/>
          </w:rPr>
          <w:t>4.4</w:t>
        </w:r>
        <w:r w:rsidR="00CD6296">
          <w:rPr>
            <w:rFonts w:asciiTheme="minorHAnsi" w:eastAsiaTheme="minorEastAsia" w:hAnsiTheme="minorHAnsi" w:cstheme="minorBidi"/>
            <w:sz w:val="24"/>
            <w:szCs w:val="24"/>
          </w:rPr>
          <w:tab/>
        </w:r>
        <w:r w:rsidR="00CD6296" w:rsidRPr="006350B8">
          <w:rPr>
            <w:rStyle w:val="Link"/>
          </w:rPr>
          <w:t>Release And Deployment Management</w:t>
        </w:r>
        <w:r w:rsidR="00CD6296">
          <w:rPr>
            <w:webHidden/>
          </w:rPr>
          <w:tab/>
        </w:r>
        <w:r w:rsidR="00CD6296">
          <w:rPr>
            <w:webHidden/>
          </w:rPr>
          <w:fldChar w:fldCharType="begin"/>
        </w:r>
        <w:r w:rsidR="00CD6296">
          <w:rPr>
            <w:webHidden/>
          </w:rPr>
          <w:instrText xml:space="preserve"> PAGEREF _Toc450314474 \h </w:instrText>
        </w:r>
        <w:r w:rsidR="00CD6296">
          <w:rPr>
            <w:webHidden/>
          </w:rPr>
        </w:r>
        <w:r w:rsidR="00CD6296">
          <w:rPr>
            <w:webHidden/>
          </w:rPr>
          <w:fldChar w:fldCharType="separate"/>
        </w:r>
        <w:r w:rsidR="00CD6296">
          <w:rPr>
            <w:webHidden/>
          </w:rPr>
          <w:t>26</w:t>
        </w:r>
        <w:r w:rsidR="00CD6296">
          <w:rPr>
            <w:webHidden/>
          </w:rPr>
          <w:fldChar w:fldCharType="end"/>
        </w:r>
      </w:hyperlink>
    </w:p>
    <w:p w14:paraId="54E17357" w14:textId="77777777" w:rsidR="00CD6296" w:rsidRDefault="00A81AF6">
      <w:pPr>
        <w:pStyle w:val="Verzeichnis2"/>
        <w:rPr>
          <w:rFonts w:asciiTheme="minorHAnsi" w:eastAsiaTheme="minorEastAsia" w:hAnsiTheme="minorHAnsi" w:cstheme="minorBidi"/>
          <w:sz w:val="24"/>
          <w:szCs w:val="24"/>
        </w:rPr>
      </w:pPr>
      <w:hyperlink w:anchor="_Toc450314475" w:history="1">
        <w:r w:rsidR="00CD6296" w:rsidRPr="006350B8">
          <w:rPr>
            <w:rStyle w:val="Link"/>
          </w:rPr>
          <w:t>4.5</w:t>
        </w:r>
        <w:r w:rsidR="00CD6296">
          <w:rPr>
            <w:rFonts w:asciiTheme="minorHAnsi" w:eastAsiaTheme="minorEastAsia" w:hAnsiTheme="minorHAnsi" w:cstheme="minorBidi"/>
            <w:sz w:val="24"/>
            <w:szCs w:val="24"/>
          </w:rPr>
          <w:tab/>
        </w:r>
        <w:r w:rsidR="00CD6296" w:rsidRPr="006350B8">
          <w:rPr>
            <w:rStyle w:val="Link"/>
          </w:rPr>
          <w:t>Service Validation And Testing</w:t>
        </w:r>
        <w:r w:rsidR="00CD6296">
          <w:rPr>
            <w:webHidden/>
          </w:rPr>
          <w:tab/>
        </w:r>
        <w:r w:rsidR="00CD6296">
          <w:rPr>
            <w:webHidden/>
          </w:rPr>
          <w:fldChar w:fldCharType="begin"/>
        </w:r>
        <w:r w:rsidR="00CD6296">
          <w:rPr>
            <w:webHidden/>
          </w:rPr>
          <w:instrText xml:space="preserve"> PAGEREF _Toc450314475 \h </w:instrText>
        </w:r>
        <w:r w:rsidR="00CD6296">
          <w:rPr>
            <w:webHidden/>
          </w:rPr>
        </w:r>
        <w:r w:rsidR="00CD6296">
          <w:rPr>
            <w:webHidden/>
          </w:rPr>
          <w:fldChar w:fldCharType="separate"/>
        </w:r>
        <w:r w:rsidR="00CD6296">
          <w:rPr>
            <w:webHidden/>
          </w:rPr>
          <w:t>29</w:t>
        </w:r>
        <w:r w:rsidR="00CD6296">
          <w:rPr>
            <w:webHidden/>
          </w:rPr>
          <w:fldChar w:fldCharType="end"/>
        </w:r>
      </w:hyperlink>
    </w:p>
    <w:p w14:paraId="6812B17C" w14:textId="77777777" w:rsidR="00CD6296" w:rsidRDefault="00A81AF6">
      <w:pPr>
        <w:pStyle w:val="Verzeichnis2"/>
        <w:rPr>
          <w:rFonts w:asciiTheme="minorHAnsi" w:eastAsiaTheme="minorEastAsia" w:hAnsiTheme="minorHAnsi" w:cstheme="minorBidi"/>
          <w:sz w:val="24"/>
          <w:szCs w:val="24"/>
        </w:rPr>
      </w:pPr>
      <w:hyperlink w:anchor="_Toc450314476" w:history="1">
        <w:r w:rsidR="00CD6296" w:rsidRPr="006350B8">
          <w:rPr>
            <w:rStyle w:val="Link"/>
          </w:rPr>
          <w:t>4.6</w:t>
        </w:r>
        <w:r w:rsidR="00CD6296">
          <w:rPr>
            <w:rFonts w:asciiTheme="minorHAnsi" w:eastAsiaTheme="minorEastAsia" w:hAnsiTheme="minorHAnsi" w:cstheme="minorBidi"/>
            <w:sz w:val="24"/>
            <w:szCs w:val="24"/>
          </w:rPr>
          <w:tab/>
        </w:r>
        <w:r w:rsidR="00CD6296" w:rsidRPr="006350B8">
          <w:rPr>
            <w:rStyle w:val="Link"/>
          </w:rPr>
          <w:t>Change Evaluation</w:t>
        </w:r>
        <w:r w:rsidR="00CD6296">
          <w:rPr>
            <w:webHidden/>
          </w:rPr>
          <w:tab/>
        </w:r>
        <w:r w:rsidR="00CD6296">
          <w:rPr>
            <w:webHidden/>
          </w:rPr>
          <w:fldChar w:fldCharType="begin"/>
        </w:r>
        <w:r w:rsidR="00CD6296">
          <w:rPr>
            <w:webHidden/>
          </w:rPr>
          <w:instrText xml:space="preserve"> PAGEREF _Toc450314476 \h </w:instrText>
        </w:r>
        <w:r w:rsidR="00CD6296">
          <w:rPr>
            <w:webHidden/>
          </w:rPr>
        </w:r>
        <w:r w:rsidR="00CD6296">
          <w:rPr>
            <w:webHidden/>
          </w:rPr>
          <w:fldChar w:fldCharType="separate"/>
        </w:r>
        <w:r w:rsidR="00CD6296">
          <w:rPr>
            <w:webHidden/>
          </w:rPr>
          <w:t>32</w:t>
        </w:r>
        <w:r w:rsidR="00CD6296">
          <w:rPr>
            <w:webHidden/>
          </w:rPr>
          <w:fldChar w:fldCharType="end"/>
        </w:r>
      </w:hyperlink>
    </w:p>
    <w:p w14:paraId="302FDCEE" w14:textId="77777777" w:rsidR="00CD6296" w:rsidRDefault="00A81AF6">
      <w:pPr>
        <w:pStyle w:val="Verzeichnis2"/>
        <w:rPr>
          <w:rFonts w:asciiTheme="minorHAnsi" w:eastAsiaTheme="minorEastAsia" w:hAnsiTheme="minorHAnsi" w:cstheme="minorBidi"/>
          <w:sz w:val="24"/>
          <w:szCs w:val="24"/>
        </w:rPr>
      </w:pPr>
      <w:hyperlink w:anchor="_Toc450314477" w:history="1">
        <w:r w:rsidR="00CD6296" w:rsidRPr="006350B8">
          <w:rPr>
            <w:rStyle w:val="Link"/>
          </w:rPr>
          <w:t>4.7</w:t>
        </w:r>
        <w:r w:rsidR="00CD6296">
          <w:rPr>
            <w:rFonts w:asciiTheme="minorHAnsi" w:eastAsiaTheme="minorEastAsia" w:hAnsiTheme="minorHAnsi" w:cstheme="minorBidi"/>
            <w:sz w:val="24"/>
            <w:szCs w:val="24"/>
          </w:rPr>
          <w:tab/>
        </w:r>
        <w:r w:rsidR="00CD6296" w:rsidRPr="006350B8">
          <w:rPr>
            <w:rStyle w:val="Link"/>
          </w:rPr>
          <w:t>Knowledge Management</w:t>
        </w:r>
        <w:r w:rsidR="00CD6296">
          <w:rPr>
            <w:webHidden/>
          </w:rPr>
          <w:tab/>
        </w:r>
        <w:r w:rsidR="00CD6296">
          <w:rPr>
            <w:webHidden/>
          </w:rPr>
          <w:fldChar w:fldCharType="begin"/>
        </w:r>
        <w:r w:rsidR="00CD6296">
          <w:rPr>
            <w:webHidden/>
          </w:rPr>
          <w:instrText xml:space="preserve"> PAGEREF _Toc450314477 \h </w:instrText>
        </w:r>
        <w:r w:rsidR="00CD6296">
          <w:rPr>
            <w:webHidden/>
          </w:rPr>
        </w:r>
        <w:r w:rsidR="00CD6296">
          <w:rPr>
            <w:webHidden/>
          </w:rPr>
          <w:fldChar w:fldCharType="separate"/>
        </w:r>
        <w:r w:rsidR="00CD6296">
          <w:rPr>
            <w:webHidden/>
          </w:rPr>
          <w:t>32</w:t>
        </w:r>
        <w:r w:rsidR="00CD6296">
          <w:rPr>
            <w:webHidden/>
          </w:rPr>
          <w:fldChar w:fldCharType="end"/>
        </w:r>
      </w:hyperlink>
    </w:p>
    <w:p w14:paraId="373B6C1B" w14:textId="77777777" w:rsidR="00CD6296" w:rsidRDefault="00A81AF6">
      <w:pPr>
        <w:pStyle w:val="Verzeichnis2"/>
        <w:rPr>
          <w:rFonts w:asciiTheme="minorHAnsi" w:eastAsiaTheme="minorEastAsia" w:hAnsiTheme="minorHAnsi" w:cstheme="minorBidi"/>
          <w:sz w:val="24"/>
          <w:szCs w:val="24"/>
        </w:rPr>
      </w:pPr>
      <w:hyperlink w:anchor="_Toc450314478" w:history="1">
        <w:r w:rsidR="00CD6296" w:rsidRPr="006350B8">
          <w:rPr>
            <w:rStyle w:val="Link"/>
          </w:rPr>
          <w:t>4.8</w:t>
        </w:r>
        <w:r w:rsidR="00CD6296">
          <w:rPr>
            <w:rFonts w:asciiTheme="minorHAnsi" w:eastAsiaTheme="minorEastAsia" w:hAnsiTheme="minorHAnsi" w:cstheme="minorBidi"/>
            <w:sz w:val="24"/>
            <w:szCs w:val="24"/>
          </w:rPr>
          <w:tab/>
        </w:r>
        <w:r w:rsidR="00CD6296" w:rsidRPr="006350B8">
          <w:rPr>
            <w:rStyle w:val="Link"/>
          </w:rPr>
          <w:t>Zusammenfassung der Release-Management Faktoren zur Risikobehandlung</w:t>
        </w:r>
        <w:r w:rsidR="00CD6296">
          <w:rPr>
            <w:webHidden/>
          </w:rPr>
          <w:tab/>
        </w:r>
        <w:r w:rsidR="00CD6296">
          <w:rPr>
            <w:webHidden/>
          </w:rPr>
          <w:fldChar w:fldCharType="begin"/>
        </w:r>
        <w:r w:rsidR="00CD6296">
          <w:rPr>
            <w:webHidden/>
          </w:rPr>
          <w:instrText xml:space="preserve"> PAGEREF _Toc450314478 \h </w:instrText>
        </w:r>
        <w:r w:rsidR="00CD6296">
          <w:rPr>
            <w:webHidden/>
          </w:rPr>
        </w:r>
        <w:r w:rsidR="00CD6296">
          <w:rPr>
            <w:webHidden/>
          </w:rPr>
          <w:fldChar w:fldCharType="separate"/>
        </w:r>
        <w:r w:rsidR="00CD6296">
          <w:rPr>
            <w:webHidden/>
          </w:rPr>
          <w:t>32</w:t>
        </w:r>
        <w:r w:rsidR="00CD6296">
          <w:rPr>
            <w:webHidden/>
          </w:rPr>
          <w:fldChar w:fldCharType="end"/>
        </w:r>
      </w:hyperlink>
    </w:p>
    <w:p w14:paraId="7DAF12E2" w14:textId="77777777" w:rsidR="00CD6296" w:rsidRDefault="00A81AF6">
      <w:pPr>
        <w:pStyle w:val="Verzeichnis1"/>
        <w:rPr>
          <w:rFonts w:asciiTheme="minorHAnsi" w:eastAsiaTheme="minorEastAsia" w:hAnsiTheme="minorHAnsi" w:cstheme="minorBidi"/>
          <w:b w:val="0"/>
          <w:sz w:val="24"/>
          <w:szCs w:val="24"/>
        </w:rPr>
      </w:pPr>
      <w:hyperlink w:anchor="_Toc450314479" w:history="1">
        <w:r w:rsidR="00CD6296" w:rsidRPr="006350B8">
          <w:rPr>
            <w:rStyle w:val="Link"/>
          </w:rPr>
          <w:t>5</w:t>
        </w:r>
        <w:r w:rsidR="00CD6296">
          <w:rPr>
            <w:rFonts w:asciiTheme="minorHAnsi" w:eastAsiaTheme="minorEastAsia" w:hAnsiTheme="minorHAnsi" w:cstheme="minorBidi"/>
            <w:b w:val="0"/>
            <w:sz w:val="24"/>
            <w:szCs w:val="24"/>
          </w:rPr>
          <w:tab/>
        </w:r>
        <w:r w:rsidR="00CD6296" w:rsidRPr="006350B8">
          <w:rPr>
            <w:rStyle w:val="Link"/>
          </w:rPr>
          <w:t>Konstruktion der Standardtypen zum Umgang mit den Risiken der Produktlebenszyklusphasen</w:t>
        </w:r>
        <w:r w:rsidR="00CD6296">
          <w:rPr>
            <w:webHidden/>
          </w:rPr>
          <w:tab/>
        </w:r>
        <w:r w:rsidR="00CD6296">
          <w:rPr>
            <w:webHidden/>
          </w:rPr>
          <w:fldChar w:fldCharType="begin"/>
        </w:r>
        <w:r w:rsidR="00CD6296">
          <w:rPr>
            <w:webHidden/>
          </w:rPr>
          <w:instrText xml:space="preserve"> PAGEREF _Toc450314479 \h </w:instrText>
        </w:r>
        <w:r w:rsidR="00CD6296">
          <w:rPr>
            <w:webHidden/>
          </w:rPr>
        </w:r>
        <w:r w:rsidR="00CD6296">
          <w:rPr>
            <w:webHidden/>
          </w:rPr>
          <w:fldChar w:fldCharType="separate"/>
        </w:r>
        <w:r w:rsidR="00CD6296">
          <w:rPr>
            <w:webHidden/>
          </w:rPr>
          <w:t>34</w:t>
        </w:r>
        <w:r w:rsidR="00CD6296">
          <w:rPr>
            <w:webHidden/>
          </w:rPr>
          <w:fldChar w:fldCharType="end"/>
        </w:r>
      </w:hyperlink>
    </w:p>
    <w:p w14:paraId="40746874" w14:textId="77777777" w:rsidR="00CD6296" w:rsidRDefault="00A81AF6">
      <w:pPr>
        <w:pStyle w:val="Verzeichnis2"/>
        <w:rPr>
          <w:rFonts w:asciiTheme="minorHAnsi" w:eastAsiaTheme="minorEastAsia" w:hAnsiTheme="minorHAnsi" w:cstheme="minorBidi"/>
          <w:sz w:val="24"/>
          <w:szCs w:val="24"/>
        </w:rPr>
      </w:pPr>
      <w:hyperlink w:anchor="_Toc450314480" w:history="1">
        <w:r w:rsidR="00CD6296" w:rsidRPr="006350B8">
          <w:rPr>
            <w:rStyle w:val="Link"/>
          </w:rPr>
          <w:t>5.1</w:t>
        </w:r>
        <w:r w:rsidR="00CD6296">
          <w:rPr>
            <w:rFonts w:asciiTheme="minorHAnsi" w:eastAsiaTheme="minorEastAsia" w:hAnsiTheme="minorHAnsi" w:cstheme="minorBidi"/>
            <w:sz w:val="24"/>
            <w:szCs w:val="24"/>
          </w:rPr>
          <w:tab/>
        </w:r>
        <w:r w:rsidR="00CD6296" w:rsidRPr="006350B8">
          <w:rPr>
            <w:rStyle w:val="Link"/>
          </w:rPr>
          <w:t>DevOps</w:t>
        </w:r>
        <w:r w:rsidR="00CD6296">
          <w:rPr>
            <w:webHidden/>
          </w:rPr>
          <w:tab/>
        </w:r>
        <w:r w:rsidR="00CD6296">
          <w:rPr>
            <w:webHidden/>
          </w:rPr>
          <w:fldChar w:fldCharType="begin"/>
        </w:r>
        <w:r w:rsidR="00CD6296">
          <w:rPr>
            <w:webHidden/>
          </w:rPr>
          <w:instrText xml:space="preserve"> PAGEREF _Toc450314480 \h </w:instrText>
        </w:r>
        <w:r w:rsidR="00CD6296">
          <w:rPr>
            <w:webHidden/>
          </w:rPr>
        </w:r>
        <w:r w:rsidR="00CD6296">
          <w:rPr>
            <w:webHidden/>
          </w:rPr>
          <w:fldChar w:fldCharType="separate"/>
        </w:r>
        <w:r w:rsidR="00CD6296">
          <w:rPr>
            <w:webHidden/>
          </w:rPr>
          <w:t>34</w:t>
        </w:r>
        <w:r w:rsidR="00CD6296">
          <w:rPr>
            <w:webHidden/>
          </w:rPr>
          <w:fldChar w:fldCharType="end"/>
        </w:r>
      </w:hyperlink>
    </w:p>
    <w:p w14:paraId="4CD809D3" w14:textId="77777777" w:rsidR="00CD6296" w:rsidRDefault="00A81AF6">
      <w:pPr>
        <w:pStyle w:val="Verzeichnis2"/>
        <w:rPr>
          <w:rFonts w:asciiTheme="minorHAnsi" w:eastAsiaTheme="minorEastAsia" w:hAnsiTheme="minorHAnsi" w:cstheme="minorBidi"/>
          <w:sz w:val="24"/>
          <w:szCs w:val="24"/>
        </w:rPr>
      </w:pPr>
      <w:hyperlink w:anchor="_Toc450314481" w:history="1">
        <w:r w:rsidR="00CD6296" w:rsidRPr="006350B8">
          <w:rPr>
            <w:rStyle w:val="Link"/>
          </w:rPr>
          <w:t>5.2</w:t>
        </w:r>
        <w:r w:rsidR="00CD6296">
          <w:rPr>
            <w:rFonts w:asciiTheme="minorHAnsi" w:eastAsiaTheme="minorEastAsia" w:hAnsiTheme="minorHAnsi" w:cstheme="minorBidi"/>
            <w:sz w:val="24"/>
            <w:szCs w:val="24"/>
          </w:rPr>
          <w:tab/>
        </w:r>
        <w:r w:rsidR="00CD6296" w:rsidRPr="006350B8">
          <w:rPr>
            <w:rStyle w:val="Link"/>
          </w:rPr>
          <w:t>Formell</w:t>
        </w:r>
        <w:r w:rsidR="00CD6296">
          <w:rPr>
            <w:webHidden/>
          </w:rPr>
          <w:tab/>
        </w:r>
        <w:r w:rsidR="00CD6296">
          <w:rPr>
            <w:webHidden/>
          </w:rPr>
          <w:fldChar w:fldCharType="begin"/>
        </w:r>
        <w:r w:rsidR="00CD6296">
          <w:rPr>
            <w:webHidden/>
          </w:rPr>
          <w:instrText xml:space="preserve"> PAGEREF _Toc450314481 \h </w:instrText>
        </w:r>
        <w:r w:rsidR="00CD6296">
          <w:rPr>
            <w:webHidden/>
          </w:rPr>
        </w:r>
        <w:r w:rsidR="00CD6296">
          <w:rPr>
            <w:webHidden/>
          </w:rPr>
          <w:fldChar w:fldCharType="separate"/>
        </w:r>
        <w:r w:rsidR="00CD6296">
          <w:rPr>
            <w:webHidden/>
          </w:rPr>
          <w:t>34</w:t>
        </w:r>
        <w:r w:rsidR="00CD6296">
          <w:rPr>
            <w:webHidden/>
          </w:rPr>
          <w:fldChar w:fldCharType="end"/>
        </w:r>
      </w:hyperlink>
    </w:p>
    <w:p w14:paraId="16FDBBC5" w14:textId="77777777" w:rsidR="00CD6296" w:rsidRDefault="00A81AF6">
      <w:pPr>
        <w:pStyle w:val="Verzeichnis2"/>
        <w:rPr>
          <w:rFonts w:asciiTheme="minorHAnsi" w:eastAsiaTheme="minorEastAsia" w:hAnsiTheme="minorHAnsi" w:cstheme="minorBidi"/>
          <w:sz w:val="24"/>
          <w:szCs w:val="24"/>
        </w:rPr>
      </w:pPr>
      <w:hyperlink w:anchor="_Toc450314482" w:history="1">
        <w:r w:rsidR="00CD6296" w:rsidRPr="006350B8">
          <w:rPr>
            <w:rStyle w:val="Link"/>
          </w:rPr>
          <w:t>5.3</w:t>
        </w:r>
        <w:r w:rsidR="00CD6296">
          <w:rPr>
            <w:rFonts w:asciiTheme="minorHAnsi" w:eastAsiaTheme="minorEastAsia" w:hAnsiTheme="minorHAnsi" w:cstheme="minorBidi"/>
            <w:sz w:val="24"/>
            <w:szCs w:val="24"/>
          </w:rPr>
          <w:tab/>
        </w:r>
        <w:r w:rsidR="00CD6296" w:rsidRPr="006350B8">
          <w:rPr>
            <w:rStyle w:val="Link"/>
          </w:rPr>
          <w:t>Schlank</w:t>
        </w:r>
        <w:r w:rsidR="00CD6296">
          <w:rPr>
            <w:webHidden/>
          </w:rPr>
          <w:tab/>
        </w:r>
        <w:r w:rsidR="00CD6296">
          <w:rPr>
            <w:webHidden/>
          </w:rPr>
          <w:fldChar w:fldCharType="begin"/>
        </w:r>
        <w:r w:rsidR="00CD6296">
          <w:rPr>
            <w:webHidden/>
          </w:rPr>
          <w:instrText xml:space="preserve"> PAGEREF _Toc450314482 \h </w:instrText>
        </w:r>
        <w:r w:rsidR="00CD6296">
          <w:rPr>
            <w:webHidden/>
          </w:rPr>
        </w:r>
        <w:r w:rsidR="00CD6296">
          <w:rPr>
            <w:webHidden/>
          </w:rPr>
          <w:fldChar w:fldCharType="separate"/>
        </w:r>
        <w:r w:rsidR="00CD6296">
          <w:rPr>
            <w:webHidden/>
          </w:rPr>
          <w:t>34</w:t>
        </w:r>
        <w:r w:rsidR="00CD6296">
          <w:rPr>
            <w:webHidden/>
          </w:rPr>
          <w:fldChar w:fldCharType="end"/>
        </w:r>
      </w:hyperlink>
    </w:p>
    <w:p w14:paraId="1F193F6C" w14:textId="77777777" w:rsidR="00CD6296" w:rsidRDefault="00A81AF6">
      <w:pPr>
        <w:pStyle w:val="Verzeichnis2"/>
        <w:rPr>
          <w:rFonts w:asciiTheme="minorHAnsi" w:eastAsiaTheme="minorEastAsia" w:hAnsiTheme="minorHAnsi" w:cstheme="minorBidi"/>
          <w:sz w:val="24"/>
          <w:szCs w:val="24"/>
        </w:rPr>
      </w:pPr>
      <w:hyperlink w:anchor="_Toc450314483" w:history="1">
        <w:r w:rsidR="00CD6296" w:rsidRPr="006350B8">
          <w:rPr>
            <w:rStyle w:val="Link"/>
          </w:rPr>
          <w:t>5.4</w:t>
        </w:r>
        <w:r w:rsidR="00CD6296">
          <w:rPr>
            <w:rFonts w:asciiTheme="minorHAnsi" w:eastAsiaTheme="minorEastAsia" w:hAnsiTheme="minorHAnsi" w:cstheme="minorBidi"/>
            <w:sz w:val="24"/>
            <w:szCs w:val="24"/>
          </w:rPr>
          <w:tab/>
        </w:r>
        <w:r w:rsidR="00CD6296" w:rsidRPr="006350B8">
          <w:rPr>
            <w:rStyle w:val="Link"/>
          </w:rPr>
          <w:t>Zusammenfassung der Standardtypen</w:t>
        </w:r>
        <w:r w:rsidR="00CD6296">
          <w:rPr>
            <w:webHidden/>
          </w:rPr>
          <w:tab/>
        </w:r>
        <w:r w:rsidR="00CD6296">
          <w:rPr>
            <w:webHidden/>
          </w:rPr>
          <w:fldChar w:fldCharType="begin"/>
        </w:r>
        <w:r w:rsidR="00CD6296">
          <w:rPr>
            <w:webHidden/>
          </w:rPr>
          <w:instrText xml:space="preserve"> PAGEREF _Toc450314483 \h </w:instrText>
        </w:r>
        <w:r w:rsidR="00CD6296">
          <w:rPr>
            <w:webHidden/>
          </w:rPr>
        </w:r>
        <w:r w:rsidR="00CD6296">
          <w:rPr>
            <w:webHidden/>
          </w:rPr>
          <w:fldChar w:fldCharType="separate"/>
        </w:r>
        <w:r w:rsidR="00CD6296">
          <w:rPr>
            <w:webHidden/>
          </w:rPr>
          <w:t>34</w:t>
        </w:r>
        <w:r w:rsidR="00CD6296">
          <w:rPr>
            <w:webHidden/>
          </w:rPr>
          <w:fldChar w:fldCharType="end"/>
        </w:r>
      </w:hyperlink>
    </w:p>
    <w:p w14:paraId="26A2D752" w14:textId="77777777" w:rsidR="00CD6296" w:rsidRDefault="00A81AF6">
      <w:pPr>
        <w:pStyle w:val="Verzeichnis1"/>
        <w:rPr>
          <w:rFonts w:asciiTheme="minorHAnsi" w:eastAsiaTheme="minorEastAsia" w:hAnsiTheme="minorHAnsi" w:cstheme="minorBidi"/>
          <w:b w:val="0"/>
          <w:sz w:val="24"/>
          <w:szCs w:val="24"/>
        </w:rPr>
      </w:pPr>
      <w:hyperlink w:anchor="_Toc450314484" w:history="1">
        <w:r w:rsidR="00CD6296" w:rsidRPr="006350B8">
          <w:rPr>
            <w:rStyle w:val="Link"/>
          </w:rPr>
          <w:t>6</w:t>
        </w:r>
        <w:r w:rsidR="00CD6296">
          <w:rPr>
            <w:rFonts w:asciiTheme="minorHAnsi" w:eastAsiaTheme="minorEastAsia" w:hAnsiTheme="minorHAnsi" w:cstheme="minorBidi"/>
            <w:b w:val="0"/>
            <w:sz w:val="24"/>
            <w:szCs w:val="24"/>
          </w:rPr>
          <w:tab/>
        </w:r>
        <w:r w:rsidR="00CD6296" w:rsidRPr="006350B8">
          <w:rPr>
            <w:rStyle w:val="Link"/>
          </w:rPr>
          <w:t>Kritische Würdigung der Standardtypen</w:t>
        </w:r>
        <w:r w:rsidR="00CD6296">
          <w:rPr>
            <w:webHidden/>
          </w:rPr>
          <w:tab/>
        </w:r>
        <w:r w:rsidR="00CD6296">
          <w:rPr>
            <w:webHidden/>
          </w:rPr>
          <w:fldChar w:fldCharType="begin"/>
        </w:r>
        <w:r w:rsidR="00CD6296">
          <w:rPr>
            <w:webHidden/>
          </w:rPr>
          <w:instrText xml:space="preserve"> PAGEREF _Toc450314484 \h </w:instrText>
        </w:r>
        <w:r w:rsidR="00CD6296">
          <w:rPr>
            <w:webHidden/>
          </w:rPr>
        </w:r>
        <w:r w:rsidR="00CD6296">
          <w:rPr>
            <w:webHidden/>
          </w:rPr>
          <w:fldChar w:fldCharType="separate"/>
        </w:r>
        <w:r w:rsidR="00CD6296">
          <w:rPr>
            <w:webHidden/>
          </w:rPr>
          <w:t>35</w:t>
        </w:r>
        <w:r w:rsidR="00CD6296">
          <w:rPr>
            <w:webHidden/>
          </w:rPr>
          <w:fldChar w:fldCharType="end"/>
        </w:r>
      </w:hyperlink>
    </w:p>
    <w:p w14:paraId="502B2A66" w14:textId="77777777" w:rsidR="00CD6296" w:rsidRDefault="00A81AF6">
      <w:pPr>
        <w:pStyle w:val="Verzeichnis1"/>
        <w:rPr>
          <w:rFonts w:asciiTheme="minorHAnsi" w:eastAsiaTheme="minorEastAsia" w:hAnsiTheme="minorHAnsi" w:cstheme="minorBidi"/>
          <w:b w:val="0"/>
          <w:sz w:val="24"/>
          <w:szCs w:val="24"/>
        </w:rPr>
      </w:pPr>
      <w:hyperlink w:anchor="_Toc450314485" w:history="1">
        <w:r w:rsidR="00CD6296" w:rsidRPr="006350B8">
          <w:rPr>
            <w:rStyle w:val="Link"/>
          </w:rPr>
          <w:t>7</w:t>
        </w:r>
        <w:r w:rsidR="00CD6296">
          <w:rPr>
            <w:rFonts w:asciiTheme="minorHAnsi" w:eastAsiaTheme="minorEastAsia" w:hAnsiTheme="minorHAnsi" w:cstheme="minorBidi"/>
            <w:b w:val="0"/>
            <w:sz w:val="24"/>
            <w:szCs w:val="24"/>
          </w:rPr>
          <w:tab/>
        </w:r>
        <w:r w:rsidR="00CD6296" w:rsidRPr="006350B8">
          <w:rPr>
            <w:rStyle w:val="Link"/>
          </w:rPr>
          <w:t>Demonstration der Standardtypen am Fallbeispiel DPDHL Group</w:t>
        </w:r>
        <w:r w:rsidR="00CD6296">
          <w:rPr>
            <w:webHidden/>
          </w:rPr>
          <w:tab/>
        </w:r>
        <w:r w:rsidR="00CD6296">
          <w:rPr>
            <w:webHidden/>
          </w:rPr>
          <w:fldChar w:fldCharType="begin"/>
        </w:r>
        <w:r w:rsidR="00CD6296">
          <w:rPr>
            <w:webHidden/>
          </w:rPr>
          <w:instrText xml:space="preserve"> PAGEREF _Toc450314485 \h </w:instrText>
        </w:r>
        <w:r w:rsidR="00CD6296">
          <w:rPr>
            <w:webHidden/>
          </w:rPr>
        </w:r>
        <w:r w:rsidR="00CD6296">
          <w:rPr>
            <w:webHidden/>
          </w:rPr>
          <w:fldChar w:fldCharType="separate"/>
        </w:r>
        <w:r w:rsidR="00CD6296">
          <w:rPr>
            <w:webHidden/>
          </w:rPr>
          <w:t>36</w:t>
        </w:r>
        <w:r w:rsidR="00CD6296">
          <w:rPr>
            <w:webHidden/>
          </w:rPr>
          <w:fldChar w:fldCharType="end"/>
        </w:r>
      </w:hyperlink>
    </w:p>
    <w:p w14:paraId="23065B15" w14:textId="77777777" w:rsidR="00CD6296" w:rsidRDefault="00A81AF6">
      <w:pPr>
        <w:pStyle w:val="Verzeichnis1"/>
        <w:rPr>
          <w:rFonts w:asciiTheme="minorHAnsi" w:eastAsiaTheme="minorEastAsia" w:hAnsiTheme="minorHAnsi" w:cstheme="minorBidi"/>
          <w:b w:val="0"/>
          <w:sz w:val="24"/>
          <w:szCs w:val="24"/>
        </w:rPr>
      </w:pPr>
      <w:hyperlink w:anchor="_Toc450314486" w:history="1">
        <w:r w:rsidR="00CD6296" w:rsidRPr="006350B8">
          <w:rPr>
            <w:rStyle w:val="Link"/>
          </w:rPr>
          <w:t>8</w:t>
        </w:r>
        <w:r w:rsidR="00CD6296">
          <w:rPr>
            <w:rFonts w:asciiTheme="minorHAnsi" w:eastAsiaTheme="minorEastAsia" w:hAnsiTheme="minorHAnsi" w:cstheme="minorBidi"/>
            <w:b w:val="0"/>
            <w:sz w:val="24"/>
            <w:szCs w:val="24"/>
          </w:rPr>
          <w:tab/>
        </w:r>
        <w:r w:rsidR="00CD6296" w:rsidRPr="006350B8">
          <w:rPr>
            <w:rStyle w:val="Link"/>
          </w:rPr>
          <w:t>Evaluation der Zielerreichung und Ausblick</w:t>
        </w:r>
        <w:r w:rsidR="00CD6296">
          <w:rPr>
            <w:webHidden/>
          </w:rPr>
          <w:tab/>
        </w:r>
        <w:r w:rsidR="00CD6296">
          <w:rPr>
            <w:webHidden/>
          </w:rPr>
          <w:fldChar w:fldCharType="begin"/>
        </w:r>
        <w:r w:rsidR="00CD6296">
          <w:rPr>
            <w:webHidden/>
          </w:rPr>
          <w:instrText xml:space="preserve"> PAGEREF _Toc450314486 \h </w:instrText>
        </w:r>
        <w:r w:rsidR="00CD6296">
          <w:rPr>
            <w:webHidden/>
          </w:rPr>
        </w:r>
        <w:r w:rsidR="00CD6296">
          <w:rPr>
            <w:webHidden/>
          </w:rPr>
          <w:fldChar w:fldCharType="separate"/>
        </w:r>
        <w:r w:rsidR="00CD6296">
          <w:rPr>
            <w:webHidden/>
          </w:rPr>
          <w:t>37</w:t>
        </w:r>
        <w:r w:rsidR="00CD6296">
          <w:rPr>
            <w:webHidden/>
          </w:rPr>
          <w:fldChar w:fldCharType="end"/>
        </w:r>
      </w:hyperlink>
    </w:p>
    <w:p w14:paraId="45E0E7CE" w14:textId="77777777" w:rsidR="00CD6296" w:rsidRDefault="00A81AF6">
      <w:pPr>
        <w:pStyle w:val="Verzeichnis1"/>
        <w:rPr>
          <w:rFonts w:asciiTheme="minorHAnsi" w:eastAsiaTheme="minorEastAsia" w:hAnsiTheme="minorHAnsi" w:cstheme="minorBidi"/>
          <w:b w:val="0"/>
          <w:sz w:val="24"/>
          <w:szCs w:val="24"/>
        </w:rPr>
      </w:pPr>
      <w:hyperlink w:anchor="_Toc450314487" w:history="1">
        <w:r w:rsidR="00CD6296" w:rsidRPr="006350B8">
          <w:rPr>
            <w:rStyle w:val="Link"/>
          </w:rPr>
          <w:t>9</w:t>
        </w:r>
        <w:r w:rsidR="00CD6296">
          <w:rPr>
            <w:rFonts w:asciiTheme="minorHAnsi" w:eastAsiaTheme="minorEastAsia" w:hAnsiTheme="minorHAnsi" w:cstheme="minorBidi"/>
            <w:b w:val="0"/>
            <w:sz w:val="24"/>
            <w:szCs w:val="24"/>
          </w:rPr>
          <w:tab/>
        </w:r>
        <w:r w:rsidR="00CD6296" w:rsidRPr="006350B8">
          <w:rPr>
            <w:rStyle w:val="Link"/>
          </w:rPr>
          <w:t>Literaturverzeichnis</w:t>
        </w:r>
        <w:r w:rsidR="00CD6296">
          <w:rPr>
            <w:webHidden/>
          </w:rPr>
          <w:tab/>
        </w:r>
        <w:r w:rsidR="00CD6296">
          <w:rPr>
            <w:webHidden/>
          </w:rPr>
          <w:fldChar w:fldCharType="begin"/>
        </w:r>
        <w:r w:rsidR="00CD6296">
          <w:rPr>
            <w:webHidden/>
          </w:rPr>
          <w:instrText xml:space="preserve"> PAGEREF _Toc450314487 \h </w:instrText>
        </w:r>
        <w:r w:rsidR="00CD6296">
          <w:rPr>
            <w:webHidden/>
          </w:rPr>
        </w:r>
        <w:r w:rsidR="00CD6296">
          <w:rPr>
            <w:webHidden/>
          </w:rPr>
          <w:fldChar w:fldCharType="separate"/>
        </w:r>
        <w:r w:rsidR="00CD6296">
          <w:rPr>
            <w:webHidden/>
          </w:rPr>
          <w:t>38</w:t>
        </w:r>
        <w:r w:rsidR="00CD6296">
          <w:rPr>
            <w:webHidden/>
          </w:rPr>
          <w:fldChar w:fldCharType="end"/>
        </w:r>
      </w:hyperlink>
    </w:p>
    <w:p w14:paraId="6029A5FF" w14:textId="77777777" w:rsidR="00CD6296" w:rsidRDefault="00A81AF6">
      <w:pPr>
        <w:pStyle w:val="Verzeichnis1"/>
        <w:rPr>
          <w:rFonts w:asciiTheme="minorHAnsi" w:eastAsiaTheme="minorEastAsia" w:hAnsiTheme="minorHAnsi" w:cstheme="minorBidi"/>
          <w:b w:val="0"/>
          <w:sz w:val="24"/>
          <w:szCs w:val="24"/>
        </w:rPr>
      </w:pPr>
      <w:hyperlink w:anchor="_Toc450314488" w:history="1">
        <w:r w:rsidR="00CD6296" w:rsidRPr="006350B8">
          <w:rPr>
            <w:rStyle w:val="Link"/>
          </w:rPr>
          <w:t>Erklärung</w:t>
        </w:r>
        <w:r w:rsidR="00CD6296">
          <w:rPr>
            <w:webHidden/>
          </w:rPr>
          <w:tab/>
        </w:r>
        <w:r w:rsidR="00CD6296">
          <w:rPr>
            <w:webHidden/>
          </w:rPr>
          <w:fldChar w:fldCharType="begin"/>
        </w:r>
        <w:r w:rsidR="00CD6296">
          <w:rPr>
            <w:webHidden/>
          </w:rPr>
          <w:instrText xml:space="preserve"> PAGEREF _Toc450314488 \h </w:instrText>
        </w:r>
        <w:r w:rsidR="00CD6296">
          <w:rPr>
            <w:webHidden/>
          </w:rPr>
        </w:r>
        <w:r w:rsidR="00CD6296">
          <w:rPr>
            <w:webHidden/>
          </w:rPr>
          <w:fldChar w:fldCharType="separate"/>
        </w:r>
        <w:r w:rsidR="00CD6296">
          <w:rPr>
            <w:webHidden/>
          </w:rPr>
          <w:t>40</w:t>
        </w:r>
        <w:r w:rsidR="00CD6296">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54E42615" w:rsidR="00F144F5" w:rsidRPr="00753DE5" w:rsidRDefault="00BB49BE" w:rsidP="00753DE5">
      <w:pPr>
        <w:pStyle w:val="berschrift1ohneNummerierung"/>
      </w:pPr>
      <w:bookmarkStart w:id="14" w:name="_Toc450314454"/>
      <w:r>
        <w:lastRenderedPageBreak/>
        <w:t>A</w:t>
      </w:r>
      <w:r w:rsidR="00F144F5" w:rsidRPr="00753DE5">
        <w:t>bbildungsverzeichnis</w:t>
      </w:r>
      <w:bookmarkEnd w:id="14"/>
    </w:p>
    <w:p w14:paraId="3CF3C35E" w14:textId="77777777" w:rsidR="00CD6296"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CD6296">
        <w:rPr>
          <w:noProof/>
        </w:rPr>
        <w:t>Abbildung 2.1: Zusammenhang Time to Market</w:t>
      </w:r>
      <w:r w:rsidR="00CD6296">
        <w:rPr>
          <w:noProof/>
        </w:rPr>
        <w:tab/>
      </w:r>
      <w:r w:rsidR="00CD6296">
        <w:rPr>
          <w:noProof/>
        </w:rPr>
        <w:fldChar w:fldCharType="begin"/>
      </w:r>
      <w:r w:rsidR="00CD6296">
        <w:rPr>
          <w:noProof/>
        </w:rPr>
        <w:instrText xml:space="preserve"> PAGEREF _Toc450314437 \h </w:instrText>
      </w:r>
      <w:r w:rsidR="00CD6296">
        <w:rPr>
          <w:noProof/>
        </w:rPr>
      </w:r>
      <w:r w:rsidR="00CD6296">
        <w:rPr>
          <w:noProof/>
        </w:rPr>
        <w:fldChar w:fldCharType="separate"/>
      </w:r>
      <w:r w:rsidR="00CD6296">
        <w:rPr>
          <w:noProof/>
        </w:rPr>
        <w:t>5</w:t>
      </w:r>
      <w:r w:rsidR="00CD6296">
        <w:rPr>
          <w:noProof/>
        </w:rPr>
        <w:fldChar w:fldCharType="end"/>
      </w:r>
    </w:p>
    <w:p w14:paraId="6E9AB12E" w14:textId="77777777" w:rsidR="00CD6296" w:rsidRDefault="00CD6296">
      <w:pPr>
        <w:pStyle w:val="Abbildungsverzeichnis"/>
        <w:rPr>
          <w:rFonts w:asciiTheme="minorHAnsi" w:eastAsiaTheme="minorEastAsia" w:hAnsiTheme="minorHAnsi" w:cstheme="minorBidi"/>
          <w:noProof/>
          <w:sz w:val="24"/>
          <w:szCs w:val="24"/>
        </w:rPr>
      </w:pPr>
      <w:r>
        <w:rPr>
          <w:noProof/>
        </w:rPr>
        <w:t>Abbildung 2.2: Charakteristische Produktlebenszyklen</w:t>
      </w:r>
      <w:r>
        <w:rPr>
          <w:noProof/>
        </w:rPr>
        <w:tab/>
      </w:r>
      <w:r>
        <w:rPr>
          <w:noProof/>
        </w:rPr>
        <w:fldChar w:fldCharType="begin"/>
      </w:r>
      <w:r>
        <w:rPr>
          <w:noProof/>
        </w:rPr>
        <w:instrText xml:space="preserve"> PAGEREF _Toc450314438 \h </w:instrText>
      </w:r>
      <w:r>
        <w:rPr>
          <w:noProof/>
        </w:rPr>
      </w:r>
      <w:r>
        <w:rPr>
          <w:noProof/>
        </w:rPr>
        <w:fldChar w:fldCharType="separate"/>
      </w:r>
      <w:r>
        <w:rPr>
          <w:noProof/>
        </w:rPr>
        <w:t>8</w:t>
      </w:r>
      <w:r>
        <w:rPr>
          <w:noProof/>
        </w:rPr>
        <w:fldChar w:fldCharType="end"/>
      </w:r>
    </w:p>
    <w:p w14:paraId="3F8C2F37" w14:textId="77777777" w:rsidR="00CD6296" w:rsidRDefault="00CD6296">
      <w:pPr>
        <w:pStyle w:val="Abbildungsverzeichnis"/>
        <w:rPr>
          <w:rFonts w:asciiTheme="minorHAnsi" w:eastAsiaTheme="minorEastAsia" w:hAnsiTheme="minorHAnsi" w:cstheme="minorBidi"/>
          <w:noProof/>
          <w:sz w:val="24"/>
          <w:szCs w:val="24"/>
        </w:rPr>
      </w:pPr>
      <w:r>
        <w:rPr>
          <w:noProof/>
        </w:rPr>
        <w:t>Abbildung 2.3: Zusammenhang Produkt zu Release</w:t>
      </w:r>
      <w:r>
        <w:rPr>
          <w:noProof/>
        </w:rPr>
        <w:tab/>
      </w:r>
      <w:r>
        <w:rPr>
          <w:noProof/>
        </w:rPr>
        <w:fldChar w:fldCharType="begin"/>
      </w:r>
      <w:r>
        <w:rPr>
          <w:noProof/>
        </w:rPr>
        <w:instrText xml:space="preserve"> PAGEREF _Toc450314439 \h </w:instrText>
      </w:r>
      <w:r>
        <w:rPr>
          <w:noProof/>
        </w:rPr>
      </w:r>
      <w:r>
        <w:rPr>
          <w:noProof/>
        </w:rPr>
        <w:fldChar w:fldCharType="separate"/>
      </w:r>
      <w:r>
        <w:rPr>
          <w:noProof/>
        </w:rPr>
        <w:t>11</w:t>
      </w:r>
      <w:r>
        <w:rPr>
          <w:noProof/>
        </w:rPr>
        <w:fldChar w:fldCharType="end"/>
      </w:r>
    </w:p>
    <w:p w14:paraId="7FFC3468" w14:textId="77777777" w:rsidR="00CD6296" w:rsidRDefault="00CD6296">
      <w:pPr>
        <w:pStyle w:val="Abbildungsverzeichnis"/>
        <w:rPr>
          <w:rFonts w:asciiTheme="minorHAnsi" w:eastAsiaTheme="minorEastAsia" w:hAnsiTheme="minorHAnsi" w:cstheme="minorBidi"/>
          <w:noProof/>
          <w:sz w:val="24"/>
          <w:szCs w:val="24"/>
        </w:rPr>
      </w:pPr>
      <w:r>
        <w:rPr>
          <w:noProof/>
        </w:rPr>
        <w:t>Abbildung 2.4: Überblick ITIL</w:t>
      </w:r>
      <w:r>
        <w:rPr>
          <w:noProof/>
        </w:rPr>
        <w:tab/>
      </w:r>
      <w:r>
        <w:rPr>
          <w:noProof/>
        </w:rPr>
        <w:fldChar w:fldCharType="begin"/>
      </w:r>
      <w:r>
        <w:rPr>
          <w:noProof/>
        </w:rPr>
        <w:instrText xml:space="preserve"> PAGEREF _Toc450314440 \h </w:instrText>
      </w:r>
      <w:r>
        <w:rPr>
          <w:noProof/>
        </w:rPr>
      </w:r>
      <w:r>
        <w:rPr>
          <w:noProof/>
        </w:rPr>
        <w:fldChar w:fldCharType="separate"/>
      </w:r>
      <w:r>
        <w:rPr>
          <w:noProof/>
        </w:rPr>
        <w:t>14</w:t>
      </w:r>
      <w:r>
        <w:rPr>
          <w:noProof/>
        </w:rPr>
        <w:fldChar w:fldCharType="end"/>
      </w:r>
    </w:p>
    <w:p w14:paraId="09737B69" w14:textId="77777777" w:rsidR="00CD6296" w:rsidRDefault="00CD6296">
      <w:pPr>
        <w:pStyle w:val="Abbildungsverzeichnis"/>
        <w:rPr>
          <w:rFonts w:asciiTheme="minorHAnsi" w:eastAsiaTheme="minorEastAsia" w:hAnsiTheme="minorHAnsi" w:cstheme="minorBidi"/>
          <w:noProof/>
          <w:sz w:val="24"/>
          <w:szCs w:val="24"/>
        </w:rPr>
      </w:pPr>
      <w:r>
        <w:rPr>
          <w:noProof/>
        </w:rPr>
        <w:t>Abbildung 4.1: Fehlerbehebungskosten</w:t>
      </w:r>
      <w:r>
        <w:rPr>
          <w:noProof/>
        </w:rPr>
        <w:tab/>
      </w:r>
      <w:r>
        <w:rPr>
          <w:noProof/>
        </w:rPr>
        <w:fldChar w:fldCharType="begin"/>
      </w:r>
      <w:r>
        <w:rPr>
          <w:noProof/>
        </w:rPr>
        <w:instrText xml:space="preserve"> PAGEREF _Toc450314441 \h </w:instrText>
      </w:r>
      <w:r>
        <w:rPr>
          <w:noProof/>
        </w:rPr>
      </w:r>
      <w:r>
        <w:rPr>
          <w:noProof/>
        </w:rPr>
        <w:fldChar w:fldCharType="separate"/>
      </w:r>
      <w:r>
        <w:rPr>
          <w:noProof/>
        </w:rPr>
        <w:t>31</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50314455"/>
      <w:r w:rsidRPr="00753DE5">
        <w:lastRenderedPageBreak/>
        <w:t>Tabellenverzeichnis</w:t>
      </w:r>
      <w:bookmarkEnd w:id="15"/>
    </w:p>
    <w:p w14:paraId="1E252D04" w14:textId="77777777" w:rsidR="00CD6296"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CD6296">
        <w:rPr>
          <w:noProof/>
        </w:rPr>
        <w:t>Tabelle 2.1: Zuordnung der Produktlebenszyklusphasen</w:t>
      </w:r>
      <w:r w:rsidR="00CD6296">
        <w:rPr>
          <w:noProof/>
        </w:rPr>
        <w:tab/>
      </w:r>
      <w:r w:rsidR="00CD6296">
        <w:rPr>
          <w:noProof/>
        </w:rPr>
        <w:fldChar w:fldCharType="begin"/>
      </w:r>
      <w:r w:rsidR="00CD6296">
        <w:rPr>
          <w:noProof/>
        </w:rPr>
        <w:instrText xml:space="preserve"> PAGEREF _Toc450314445 \h </w:instrText>
      </w:r>
      <w:r w:rsidR="00CD6296">
        <w:rPr>
          <w:noProof/>
        </w:rPr>
      </w:r>
      <w:r w:rsidR="00CD6296">
        <w:rPr>
          <w:noProof/>
        </w:rPr>
        <w:fldChar w:fldCharType="separate"/>
      </w:r>
      <w:r w:rsidR="00CD6296">
        <w:rPr>
          <w:noProof/>
        </w:rPr>
        <w:t>10</w:t>
      </w:r>
      <w:r w:rsidR="00CD6296">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6"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7" w:name="_Toc450314456"/>
      <w:proofErr w:type="spellStart"/>
      <w:r w:rsidRPr="009B052B">
        <w:rPr>
          <w:lang w:val="en-US"/>
        </w:rPr>
        <w:lastRenderedPageBreak/>
        <w:t>Abkürzungsverzeichnis</w:t>
      </w:r>
      <w:bookmarkEnd w:id="17"/>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0ED6D806" w14:textId="632A249C" w:rsidR="00BE5B1B" w:rsidRDefault="00BE5B1B" w:rsidP="001F123D">
      <w:pPr>
        <w:pStyle w:val="Abkrzungsverzeichnis"/>
        <w:ind w:left="0" w:firstLine="0"/>
      </w:pPr>
      <w:r>
        <w:t>CHE</w:t>
      </w:r>
      <w:r>
        <w:tab/>
        <w:t>Change Evaluation</w:t>
      </w:r>
    </w:p>
    <w:p w14:paraId="0AA8E7D4" w14:textId="0CD2678A" w:rsidR="00BE5B1B" w:rsidRDefault="00BE5B1B" w:rsidP="001F123D">
      <w:pPr>
        <w:pStyle w:val="Abkrzungsverzeichnis"/>
        <w:ind w:left="0" w:firstLine="0"/>
      </w:pPr>
      <w:r>
        <w:t>CHM</w:t>
      </w:r>
      <w:r>
        <w:tab/>
        <w:t>Change Management</w:t>
      </w:r>
    </w:p>
    <w:p w14:paraId="1C45F83E" w14:textId="1BB9CDA9" w:rsidR="00666621" w:rsidRDefault="00666621" w:rsidP="001F123D">
      <w:pPr>
        <w:pStyle w:val="Abkrzungsverzeichnis"/>
        <w:ind w:left="0" w:firstLine="0"/>
      </w:pPr>
      <w:r>
        <w:t>CIO</w:t>
      </w:r>
      <w:r>
        <w:tab/>
        <w:t>Chief Information Officer (</w:t>
      </w:r>
      <w:proofErr w:type="spellStart"/>
      <w:r>
        <w:t>deu</w:t>
      </w:r>
      <w:proofErr w:type="spellEnd"/>
      <w:r>
        <w:t>.: Leiter Informationstechnik)</w:t>
      </w:r>
    </w:p>
    <w:p w14:paraId="11DB41AA" w14:textId="09BBE3D2" w:rsidR="00A61508" w:rsidRDefault="00A61508" w:rsidP="001F123D">
      <w:pPr>
        <w:pStyle w:val="Abkrzungsverzeichnis"/>
        <w:ind w:left="0" w:firstLine="0"/>
      </w:pPr>
      <w:r>
        <w:t>COBIT</w:t>
      </w:r>
      <w:r>
        <w:tab/>
      </w:r>
      <w:proofErr w:type="spellStart"/>
      <w:r>
        <w:t>Controlled</w:t>
      </w:r>
      <w:proofErr w:type="spellEnd"/>
      <w:r>
        <w:t xml:space="preserve"> </w:t>
      </w:r>
      <w:proofErr w:type="spellStart"/>
      <w:r>
        <w:t>Objectives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62CB6AFB" w14:textId="1DC9F9B3" w:rsidR="00BE5B1B" w:rsidRDefault="00BE5B1B" w:rsidP="001F123D">
      <w:pPr>
        <w:pStyle w:val="Abkrzungsverzeichnis"/>
        <w:ind w:left="0" w:firstLine="0"/>
      </w:pPr>
      <w:r>
        <w:t>K</w:t>
      </w:r>
      <w:r w:rsidR="00FB6DF4">
        <w:t>L</w:t>
      </w:r>
      <w:r>
        <w:t>M</w:t>
      </w:r>
      <w:r>
        <w:tab/>
        <w:t>Knowledge Management</w:t>
      </w:r>
    </w:p>
    <w:p w14:paraId="4E7054A9" w14:textId="09C9D88A" w:rsidR="001F123D" w:rsidRDefault="001F123D" w:rsidP="001F123D">
      <w:pPr>
        <w:pStyle w:val="Abkrzungsverzeichnis"/>
        <w:ind w:left="0" w:firstLine="0"/>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06431128" w14:textId="55F5D3B1" w:rsidR="00BE5B1B" w:rsidRDefault="00BE5B1B" w:rsidP="001F123D">
      <w:pPr>
        <w:pStyle w:val="Abkrzungsverzeichnis"/>
        <w:ind w:left="0" w:firstLine="0"/>
      </w:pPr>
      <w:r>
        <w:t>RDM</w:t>
      </w:r>
      <w:r>
        <w:tab/>
        <w:t xml:space="preserve">Release </w:t>
      </w:r>
      <w:proofErr w:type="spellStart"/>
      <w:r>
        <w:t>And</w:t>
      </w:r>
      <w:proofErr w:type="spellEnd"/>
      <w:r>
        <w:t xml:space="preserve"> </w:t>
      </w:r>
      <w:proofErr w:type="spellStart"/>
      <w:r>
        <w:t>Deployment</w:t>
      </w:r>
      <w:proofErr w:type="spellEnd"/>
      <w:r>
        <w:t xml:space="preserve"> Management</w:t>
      </w:r>
    </w:p>
    <w:p w14:paraId="47F22F68" w14:textId="3111785B" w:rsidR="00BE5B1B" w:rsidRDefault="00BE5B1B" w:rsidP="001F123D">
      <w:pPr>
        <w:pStyle w:val="Abkrzungsverzeichnis"/>
        <w:ind w:left="0" w:firstLine="0"/>
      </w:pPr>
      <w:r>
        <w:t>SACM</w:t>
      </w:r>
      <w:r>
        <w:tab/>
        <w:t xml:space="preserve">Service Asset </w:t>
      </w:r>
      <w:proofErr w:type="spellStart"/>
      <w:r>
        <w:t>And</w:t>
      </w:r>
      <w:proofErr w:type="spellEnd"/>
      <w:r>
        <w:t xml:space="preserve"> </w:t>
      </w:r>
      <w:proofErr w:type="spellStart"/>
      <w:r>
        <w:t>Configuration</w:t>
      </w:r>
      <w:proofErr w:type="spellEnd"/>
      <w:r>
        <w:t xml:space="preserve"> Management</w:t>
      </w:r>
    </w:p>
    <w:p w14:paraId="52C714ED" w14:textId="3A7AA9F4" w:rsidR="00BE5B1B" w:rsidRDefault="00BE5B1B" w:rsidP="001F123D">
      <w:pPr>
        <w:pStyle w:val="Abkrzungsverzeichnis"/>
        <w:ind w:left="0" w:firstLine="0"/>
      </w:pPr>
      <w:r>
        <w:t>SVT</w:t>
      </w:r>
      <w:r>
        <w:tab/>
        <w:t xml:space="preserve">Service Validation </w:t>
      </w:r>
      <w:proofErr w:type="spellStart"/>
      <w:r>
        <w:t>And</w:t>
      </w:r>
      <w:proofErr w:type="spellEnd"/>
      <w:r>
        <w:t xml:space="preserve"> </w:t>
      </w:r>
      <w:proofErr w:type="spellStart"/>
      <w:r>
        <w:t>Testing</w:t>
      </w:r>
      <w:proofErr w:type="spellEnd"/>
    </w:p>
    <w:p w14:paraId="55FD7B86" w14:textId="6A9C5655" w:rsidR="00BE5B1B" w:rsidRDefault="00BE5B1B" w:rsidP="001F123D">
      <w:pPr>
        <w:pStyle w:val="Abkrzungsverzeichnis"/>
        <w:ind w:left="0" w:firstLine="0"/>
      </w:pPr>
      <w:r>
        <w:t>TPS</w:t>
      </w:r>
      <w:r>
        <w:tab/>
        <w:t xml:space="preserve">Transition </w:t>
      </w:r>
      <w:proofErr w:type="spellStart"/>
      <w:r>
        <w:t>Planning</w:t>
      </w:r>
      <w:proofErr w:type="spellEnd"/>
      <w:r>
        <w:t xml:space="preserve"> </w:t>
      </w:r>
      <w:proofErr w:type="spellStart"/>
      <w:r>
        <w:t>And</w:t>
      </w:r>
      <w:proofErr w:type="spellEnd"/>
      <w:r>
        <w:t xml:space="preserve"> Support</w:t>
      </w:r>
    </w:p>
    <w:p w14:paraId="3C2E5A26" w14:textId="50A57140" w:rsidR="00F74F2B" w:rsidRPr="00914102" w:rsidRDefault="00F74F2B" w:rsidP="001F123D">
      <w:pPr>
        <w:pStyle w:val="Abkrzungsverzeichnis"/>
        <w:ind w:left="0" w:firstLine="0"/>
        <w:sectPr w:rsidR="00F74F2B" w:rsidRPr="00914102">
          <w:headerReference w:type="default" r:id="rId19"/>
          <w:footnotePr>
            <w:pos w:val="beneathText"/>
          </w:footnotePr>
          <w:pgSz w:w="11906" w:h="16838"/>
          <w:pgMar w:top="1134" w:right="1418" w:bottom="1134" w:left="2268" w:header="708" w:footer="708" w:gutter="0"/>
          <w:pgNumType w:fmt="upperRoman"/>
          <w:cols w:space="708"/>
        </w:sectPr>
      </w:pPr>
      <w:bookmarkStart w:id="18" w:name="_GoBack"/>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roofErr w:type="spellStart"/>
      <w:r>
        <w:t>deu</w:t>
      </w:r>
      <w:proofErr w:type="spellEnd"/>
      <w:r>
        <w:t>.: Alleinstellungsmerkmal)</w:t>
      </w:r>
    </w:p>
    <w:p w14:paraId="5ECB6842" w14:textId="77777777" w:rsidR="00461FAA" w:rsidRDefault="00461FAA" w:rsidP="00461FAA">
      <w:pPr>
        <w:pStyle w:val="berschrift1"/>
      </w:pPr>
      <w:bookmarkStart w:id="19" w:name="_Ref445636100"/>
      <w:bookmarkStart w:id="20" w:name="_Toc450314457"/>
      <w:bookmarkEnd w:id="18"/>
      <w:r>
        <w:lastRenderedPageBreak/>
        <w:t>Einleitung</w:t>
      </w:r>
      <w:bookmarkEnd w:id="19"/>
      <w:bookmarkEnd w:id="20"/>
    </w:p>
    <w:p w14:paraId="10A70DE1" w14:textId="62253E17"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auch für jede Unternehmung</w:t>
      </w:r>
      <w:r w:rsidR="003D0516">
        <w:t xml:space="preserve">, denn einerseits verändert sich stets deren Umwelt und andererseits müssen sie sich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28244C">
        <w:t>.</w:t>
      </w:r>
      <w:r w:rsidR="00E8229F">
        <w:t xml:space="preserve"> </w:t>
      </w:r>
      <w:r w:rsidR="0028244C">
        <w:t xml:space="preserve">Von entscheidender Bedeutung </w:t>
      </w:r>
      <w:r w:rsidR="003D0516">
        <w:t xml:space="preserve">bei einer Innovation </w:t>
      </w:r>
      <w:r w:rsidR="0028244C">
        <w:t xml:space="preserve">ist der Zeitpunkt, zu dem </w:t>
      </w:r>
      <w:r w:rsidR="00803CAA">
        <w:t>der</w:t>
      </w:r>
      <w:r w:rsidR="0028244C">
        <w:t xml:space="preserve"> Nutzen aus der</w:t>
      </w:r>
      <w:r w:rsidR="00E8229F">
        <w:t xml:space="preserve"> </w:t>
      </w:r>
      <w:r w:rsidR="0028244C">
        <w:t>Investition gezogen werden kann</w:t>
      </w:r>
      <w:sdt>
        <w:sdtPr>
          <w:id w:val="263423665"/>
          <w:citation/>
        </w:sdt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Die</w:t>
      </w:r>
      <w:r w:rsidR="001F123D">
        <w:t>ser</w:t>
      </w:r>
      <w:r w:rsidR="00E8229F">
        <w:t xml:space="preserve"> Zeit</w:t>
      </w:r>
      <w:r w:rsidR="001F123D">
        <w:t>raum</w:t>
      </w:r>
      <w:r w:rsidR="00E8229F">
        <w:t xml:space="preserve"> wird auch als „time </w:t>
      </w:r>
      <w:proofErr w:type="spellStart"/>
      <w:r w:rsidR="00E8229F">
        <w:t>to</w:t>
      </w:r>
      <w:proofErr w:type="spellEnd"/>
      <w:r w:rsidR="00E8229F">
        <w:t xml:space="preserve"> </w:t>
      </w:r>
      <w:proofErr w:type="spellStart"/>
      <w:r w:rsidR="00E8229F">
        <w:t>market</w:t>
      </w:r>
      <w:proofErr w:type="spellEnd"/>
      <w:r w:rsidR="00E8229F">
        <w:t xml:space="preserve">“ bezeichnet </w:t>
      </w:r>
      <w:sdt>
        <w:sdtPr>
          <w:id w:val="1623197985"/>
          <w:citation/>
        </w:sdt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commentRangeStart w:id="21"/>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commentRangeEnd w:id="21"/>
      <w:r w:rsidR="00803CAA">
        <w:rPr>
          <w:rStyle w:val="Kommentarzeichen"/>
        </w:rPr>
        <w:commentReference w:id="21"/>
      </w:r>
      <w:sdt>
        <w:sdtPr>
          <w:id w:val="-2056448368"/>
          <w:citation/>
        </w:sdtPr>
        <w:sdtContent>
          <w:r w:rsidR="003362A0">
            <w:fldChar w:fldCharType="begin"/>
          </w:r>
          <w:r w:rsidR="003362A0">
            <w:instrText xml:space="preserve">CITATION AXE11 \p "S. 63" \l 1031 </w:instrText>
          </w:r>
          <w:r w:rsidR="003362A0">
            <w:fldChar w:fldCharType="separate"/>
          </w:r>
          <w:r w:rsidR="003362A0">
            <w:rPr>
              <w:noProof/>
            </w:rPr>
            <w:t xml:space="preserve"> (AXELOS 2011, S. 63)</w:t>
          </w:r>
          <w:r w:rsidR="003362A0">
            <w:fldChar w:fldCharType="end"/>
          </w:r>
        </w:sdtContent>
      </w:sdt>
      <w:r w:rsidR="001F123D">
        <w:t>.</w:t>
      </w:r>
      <w:r w:rsidR="00E8229F">
        <w:t xml:space="preserve"> </w:t>
      </w:r>
      <w:commentRangeStart w:id="22"/>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22"/>
      <w:r w:rsidR="00803CAA">
        <w:rPr>
          <w:rStyle w:val="Kommentarzeichen"/>
        </w:rPr>
        <w:commentReference w:id="22"/>
      </w:r>
      <w:r w:rsidR="001F123D">
        <w:t>. A</w:t>
      </w:r>
      <w:r w:rsidR="00E8229F">
        <w:t xml:space="preserve">ufgrund dieser Prämisse </w:t>
      </w:r>
      <w:r w:rsidR="001F123D">
        <w:t xml:space="preserve">sind </w:t>
      </w:r>
      <w:r w:rsidR="00E8229F">
        <w:t xml:space="preserve">agile </w:t>
      </w:r>
      <w:r w:rsidR="00180BBA">
        <w:t>Vorgehensweisen im Projekt-</w:t>
      </w:r>
      <w:r w:rsidR="001F123D">
        <w:t>Management der Softwareentwicklung,</w:t>
      </w:r>
      <w:r w:rsidR="00803CAA">
        <w:t xml:space="preserve"> wie zum Beispiel</w:t>
      </w:r>
      <w:r w:rsidR="00E8229F">
        <w:t xml:space="preserve"> </w:t>
      </w:r>
      <w:proofErr w:type="spellStart"/>
      <w:r w:rsidR="00E8229F">
        <w:t>Scrum</w:t>
      </w:r>
      <w:proofErr w:type="spellEnd"/>
      <w:r w:rsidR="001F123D">
        <w:t>,</w:t>
      </w:r>
      <w:r w:rsidR="00E8229F">
        <w:t xml:space="preserve"> mittlerweile </w:t>
      </w:r>
      <w:commentRangeStart w:id="23"/>
      <w:r w:rsidR="00E8229F">
        <w:t xml:space="preserve">etabliert </w:t>
      </w:r>
      <w:commentRangeEnd w:id="23"/>
      <w:r w:rsidR="0009663E">
        <w:rPr>
          <w:rStyle w:val="Kommentarzeichen"/>
        </w:rPr>
        <w:commentReference w:id="23"/>
      </w:r>
      <w:sdt>
        <w:sdtPr>
          <w:id w:val="80795501"/>
          <w:citation/>
        </w:sdtPr>
        <w:sdtContent>
          <w:r w:rsidR="00E8229F">
            <w:fldChar w:fldCharType="begin"/>
          </w:r>
          <w:r w:rsidR="00F30DA8">
            <w:instrText xml:space="preserve">CITATION Kim131 \p "4; 13 ff." \l 1031 </w:instrText>
          </w:r>
          <w:r w:rsidR="00E8229F">
            <w:fldChar w:fldCharType="separate"/>
          </w:r>
          <w:r w:rsidR="00F30DA8">
            <w:rPr>
              <w:noProof/>
            </w:rPr>
            <w:t>(D. Kim 2013, 4; 13 ff.)</w:t>
          </w:r>
          <w:r w:rsidR="00E8229F">
            <w:fldChar w:fldCharType="end"/>
          </w:r>
        </w:sdtContent>
      </w:sdt>
      <w:sdt>
        <w:sdtPr>
          <w:id w:val="-203868762"/>
          <w:citation/>
        </w:sdtPr>
        <w:sdtContent>
          <w:r w:rsidR="00E8229F">
            <w:fldChar w:fldCharType="begin"/>
          </w:r>
          <w:r w:rsidR="00E8229F">
            <w:instrText xml:space="preserve"> CITATION Ham10 \l 1031 </w:instrText>
          </w:r>
          <w:r w:rsidR="00E8229F">
            <w:fldChar w:fldCharType="separate"/>
          </w:r>
          <w:r w:rsidR="00803CAA">
            <w:rPr>
              <w:noProof/>
            </w:rPr>
            <w:t xml:space="preserve"> (Hammond 2010)</w:t>
          </w:r>
          <w:r w:rsidR="00E8229F">
            <w:fldChar w:fldCharType="end"/>
          </w:r>
        </w:sdtContent>
      </w:sdt>
      <w:sdt>
        <w:sdtPr>
          <w:id w:val="1260172094"/>
          <w:citation/>
        </w:sdtPr>
        <w:sdtContent>
          <w:r w:rsidR="00E8229F">
            <w:fldChar w:fldCharType="begin"/>
          </w:r>
          <w:r w:rsidR="00E8229F">
            <w:instrText xml:space="preserve"> CITATION Lan15 \l 1031 </w:instrText>
          </w:r>
          <w:r w:rsidR="00E8229F">
            <w:fldChar w:fldCharType="separate"/>
          </w:r>
          <w:r w:rsidR="00803CAA">
            <w:rPr>
              <w:noProof/>
            </w:rPr>
            <w:t xml:space="preserve"> (Lange und Diercks 2015)</w:t>
          </w:r>
          <w:r w:rsidR="00E8229F">
            <w:fldChar w:fldCharType="end"/>
          </w:r>
        </w:sdtContent>
      </w:sdt>
      <w:r w:rsidR="00E8229F">
        <w:t xml:space="preserve">. </w:t>
      </w:r>
      <w:commentRangeStart w:id="24"/>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24"/>
      <w:r w:rsidR="00803CAA">
        <w:rPr>
          <w:rStyle w:val="Kommentarzeichen"/>
        </w:rPr>
        <w:commentReference w:id="24"/>
      </w:r>
      <w:commentRangeStart w:id="25"/>
      <w:r w:rsidR="001F123D">
        <w:t>Daher sind Prozesse und Abläufe im IT-Service-Management typischerweise nicht agil, sondern starr</w:t>
      </w:r>
      <w:commentRangeEnd w:id="25"/>
      <w:r w:rsidR="00803CAA">
        <w:rPr>
          <w:rStyle w:val="Kommentarzeichen"/>
        </w:rPr>
        <w:commentReference w:id="25"/>
      </w:r>
      <w:r w:rsidR="001F123D">
        <w:t>. Diese Entkopplung</w:t>
      </w:r>
      <w:r w:rsidR="00803CAA">
        <w:t xml:space="preserve"> und Starre</w:t>
      </w:r>
      <w:r w:rsidR="001F123D">
        <w:t xml:space="preserve"> führt zu einer höheren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26"/>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26"/>
      <w:r w:rsidR="00803CAA">
        <w:rPr>
          <w:rStyle w:val="Kommentarzeichen"/>
        </w:rPr>
        <w:commentReference w:id="26"/>
      </w:r>
      <w:r w:rsidR="001F123D">
        <w:t xml:space="preserve">. </w:t>
      </w:r>
      <w:commentRangeStart w:id="27"/>
      <w:r w:rsidR="001F123D">
        <w:t>Neben einer tieferen Zusammenarbeit in einem Team, stehen Standardisierung und Automatisierung sowie der Abbau von Bürokratie im Fokus dieses Ansatzes.</w:t>
      </w:r>
      <w:r w:rsidR="00E8229F">
        <w:t xml:space="preserve"> </w:t>
      </w:r>
      <w:commentRangeEnd w:id="27"/>
      <w:r w:rsidR="00803CAA">
        <w:rPr>
          <w:rStyle w:val="Kommentarzeichen"/>
        </w:rPr>
        <w:commentReference w:id="27"/>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Wenn ja, anhand welcher Kriterien können diese individualisiert werden? Das Standardrahmenwerk für das IT-Service-</w:t>
      </w:r>
      <w:r w:rsidR="001F123D">
        <w:lastRenderedPageBreak/>
        <w:t>Management</w:t>
      </w:r>
      <w:r w:rsidR="00E8229F">
        <w:t xml:space="preserve"> </w:t>
      </w:r>
      <w:r w:rsidR="001F123D">
        <w:t>die IT Infrastructure Library (</w:t>
      </w:r>
      <w:r w:rsidR="00E8229F">
        <w:t>ITIL</w:t>
      </w:r>
      <w:r w:rsidR="001F123D">
        <w:t>)</w:t>
      </w:r>
      <w:r w:rsidR="00E8229F">
        <w:t xml:space="preserve"> und </w:t>
      </w:r>
      <w:r w:rsidR="001F123D">
        <w:t>die internationale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xml:space="preserve">. </w:t>
      </w:r>
      <w:commentRangeStart w:id="28"/>
      <w:r w:rsidR="00E8229F">
        <w:t xml:space="preserve">Dadurch entsteht Unternehmen bei der Umsetzung von konkreten </w:t>
      </w:r>
      <w:r w:rsidR="00803CAA">
        <w:t>Release-Management</w:t>
      </w:r>
      <w:r w:rsidR="00E8229F">
        <w:t xml:space="preserve"> Prozessen ein erhöhter Aufwand.</w:t>
      </w:r>
      <w:commentRangeEnd w:id="28"/>
      <w:r w:rsidR="00803CAA">
        <w:rPr>
          <w:rStyle w:val="Kommentarzeichen"/>
        </w:rPr>
        <w:commentReference w:id="28"/>
      </w:r>
    </w:p>
    <w:p w14:paraId="2B1932EB" w14:textId="6561A6A7"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Da zwischen</w:t>
      </w:r>
      <w:r w:rsidR="00E04553">
        <w:t xml:space="preserve"> dem Produktlebenszyklus und der</w:t>
      </w:r>
      <w:r>
        <w:t xml:space="preserve"> Innovation ein direkter Zusammenhang </w:t>
      </w:r>
      <w:r w:rsidR="00E04553">
        <w:t>be</w:t>
      </w:r>
      <w:r>
        <w:t>steht, scheint dieser Faktor jedoch am bedeutendsten</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47CFC0CB"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w:t>
      </w:r>
      <w:r w:rsidR="0012113B">
        <w:t>hinsichtlich ihrer</w:t>
      </w:r>
      <w:r>
        <w:t xml:space="preserve"> speziellen Risiken </w:t>
      </w:r>
      <w:r w:rsidR="0012113B">
        <w:t>beleuchtet</w:t>
      </w:r>
      <w:r>
        <w:t xml:space="preserve">. </w:t>
      </w:r>
      <w:r w:rsidR="0012113B">
        <w:t xml:space="preserve">Im darauffolgenden Kapitel </w:t>
      </w:r>
      <w:r>
        <w:t>werden die unterschiedlichen Methoden des Release-Managements vorgestellt</w:t>
      </w:r>
      <w:r w:rsidR="0012113B">
        <w:t xml:space="preserve"> und auf Ihre Eignung zur Risikobehandlung untersucht</w:t>
      </w:r>
      <w:r>
        <w:t xml:space="preserve">. Die passende Zuordnung von Methoden zu Risiken und deren Kombination zu Standardtypen erfolgt dann in Kapitel </w:t>
      </w:r>
      <w:r>
        <w:fldChar w:fldCharType="begin"/>
      </w:r>
      <w:r>
        <w:instrText xml:space="preserve"> REF _Ref442963953 \r \h </w:instrText>
      </w:r>
      <w:r>
        <w:fldChar w:fldCharType="separate"/>
      </w:r>
      <w:r w:rsidR="0012113B">
        <w:t>5</w:t>
      </w:r>
      <w:r>
        <w:fldChar w:fldCharType="end"/>
      </w:r>
      <w:r>
        <w:t xml:space="preserve">. Im Kapitel </w:t>
      </w:r>
      <w:r>
        <w:fldChar w:fldCharType="begin"/>
      </w:r>
      <w:r>
        <w:instrText xml:space="preserve"> REF _Ref442964028 \r \h </w:instrText>
      </w:r>
      <w:r>
        <w:fldChar w:fldCharType="separate"/>
      </w:r>
      <w:r w:rsidR="0012113B">
        <w:t>6</w:t>
      </w:r>
      <w:r>
        <w:fldChar w:fldCharType="end"/>
      </w:r>
      <w:r>
        <w:t xml:space="preserve"> werden die erarbeiteten Standardtypen bezüglich ihres Nutzens untersucht. </w:t>
      </w:r>
      <w:r w:rsidR="0012113B">
        <w:t>E</w:t>
      </w:r>
      <w:r>
        <w:t>ine Demonstration der Anwendung eines Standardtyps am Praxisbeispiel der Deutschen Post DHL Group</w:t>
      </w:r>
      <w:r w:rsidR="0012113B">
        <w:t xml:space="preserve"> erfolgt in Kapitel </w:t>
      </w:r>
      <w:r w:rsidR="0012113B">
        <w:fldChar w:fldCharType="begin"/>
      </w:r>
      <w:r w:rsidR="0012113B">
        <w:instrText xml:space="preserve"> REF _Ref442964114 \r \h </w:instrText>
      </w:r>
      <w:r w:rsidR="0012113B">
        <w:fldChar w:fldCharType="separate"/>
      </w:r>
      <w:r w:rsidR="0012113B">
        <w:t>7</w:t>
      </w:r>
      <w:r w:rsidR="0012113B">
        <w:fldChar w:fldCharType="end"/>
      </w:r>
      <w:r>
        <w:t xml:space="preserve">. Im letzten Kapitel </w:t>
      </w:r>
      <w:r>
        <w:fldChar w:fldCharType="begin"/>
      </w:r>
      <w:r>
        <w:instrText xml:space="preserve"> REF _Ref442964164 \r \h </w:instrText>
      </w:r>
      <w:r>
        <w:fldChar w:fldCharType="separate"/>
      </w:r>
      <w:r w:rsidR="0012113B">
        <w:t>8</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29" w:name="_Ref442963595"/>
      <w:bookmarkStart w:id="30" w:name="_Toc450314458"/>
      <w:r>
        <w:lastRenderedPageBreak/>
        <w:t>Grundlagen</w:t>
      </w:r>
      <w:bookmarkEnd w:id="29"/>
      <w:bookmarkEnd w:id="30"/>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31" w:name="_Ref445029358"/>
      <w:bookmarkStart w:id="32" w:name="_Toc450314459"/>
      <w:r>
        <w:t>Innovation</w:t>
      </w:r>
      <w:r w:rsidR="00461FAA">
        <w:t xml:space="preserve"> </w:t>
      </w:r>
      <w:r w:rsidR="00DB13B7">
        <w:t>zur</w:t>
      </w:r>
      <w:r>
        <w:t xml:space="preserve"> Existenz</w:t>
      </w:r>
      <w:r w:rsidR="00DB13B7">
        <w:t>sicherung</w:t>
      </w:r>
      <w:bookmarkEnd w:id="31"/>
      <w:bookmarkEnd w:id="32"/>
    </w:p>
    <w:p w14:paraId="2ADAEE79" w14:textId="6C0541DA"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677952FF" w:rsidR="0010304A" w:rsidRDefault="0010304A" w:rsidP="007F25D4">
      <w:pPr>
        <w:pStyle w:val="Listenabsatz"/>
        <w:numPr>
          <w:ilvl w:val="0"/>
          <w:numId w:val="16"/>
        </w:numPr>
      </w:pPr>
      <w:r>
        <w:t>Herstellung eines neuen Guts oder eines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78ED8F52" w14:textId="08B4B6BE" w:rsidR="00DC6487" w:rsidRPr="00EB636B"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sich auf die Leistungserstellungsprozesse und führt zu einer höheren Produktivität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43F40">
        <w:t xml:space="preserve"> Prinzipiell ist die Innovation in mindestens einer Dimension vorteilhafter als der Ausgangszustand,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aus Veränderungen Nutzen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 xml:space="preserve">genannten </w:t>
      </w:r>
      <w:r w:rsidR="006117FA">
        <w:t>Innovationsvorteile</w:t>
      </w:r>
      <w:r w:rsidR="00133C26">
        <w:t xml:space="preserve"> sind</w:t>
      </w:r>
      <w:r w:rsidR="006117FA">
        <w:t xml:space="preserve"> 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Daher benötigt</w:t>
      </w:r>
      <w:r w:rsidR="00C5437B">
        <w:t xml:space="preserve"> </w:t>
      </w:r>
      <w:r w:rsidR="006117FA">
        <w:t xml:space="preserve">ein </w:t>
      </w:r>
      <w:r w:rsidR="00C5437B">
        <w:t>Unternehmen permanent innovative und erfolgreiche Produkte, um bestehen zu können, d</w:t>
      </w:r>
      <w:r w:rsidR="000A4B7F">
        <w:t>a die Märkte sich sowohl mit hohen Tempo als auch hoher Dynamik ständig verändern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Klassische Mittel zur Erfolgssicherung, wie Prozessbeschleunigung, Kostensen</w:t>
      </w:r>
      <w:r w:rsidR="004A2561">
        <w:lastRenderedPageBreak/>
        <w:t>kung oder Organisationsveränder</w:t>
      </w:r>
      <w:r w:rsidR="00365891">
        <w:t xml:space="preserve">ungen allein reichen 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t xml:space="preserve"> Die Innovation bedeutet dabei jedoch im ersten Schritt immer eine Investition, entweder aus dem Unternehmen selbst heraus oder durch eine Fremdfinanzierung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t xml:space="preserve">Die Neuerung tritt dann neben </w:t>
      </w:r>
      <w:r w:rsidR="00EB636B">
        <w:t xml:space="preserve">die etablierten Unternehmen und </w:t>
      </w:r>
      <w:r w:rsidR="00843F40">
        <w:t>die Nachfrage verlagert</w:t>
      </w:r>
      <w:r w:rsidR="00EB636B">
        <w:t xml:space="preserve"> sich nach und nach</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Möglicherweise müssen sie dafür einen hohen Widerstand überwinden und die Produkte aufdräng</w:t>
      </w:r>
      <w:r w:rsidR="00CF19B9">
        <w:t>en bzw. zu geringen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CF19B9">
        <w:t>Auch d</w:t>
      </w:r>
      <w:r w:rsidR="00E513ED">
        <w:t xml:space="preserve">ann ist es trotzdem möglich, dass die Neuerung keine Nachfrage erfährt, doch Innovation bedingt diese Initiative und das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doch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2533DF">
            <w:instrText xml:space="preserve">CITATION Dru06 \p "S. 138" \l 1031 </w:instrText>
          </w:r>
          <w:r w:rsidR="002533DF">
            <w:fldChar w:fldCharType="separate"/>
          </w:r>
          <w:r w:rsidR="002533DF">
            <w:rPr>
              <w:noProof/>
            </w:rPr>
            <w:t>(Drucker 2009, S. 138)</w:t>
          </w:r>
          <w:r w:rsidR="002533DF">
            <w:fldChar w:fldCharType="end"/>
          </w:r>
        </w:sdtContent>
      </w:sdt>
      <w:r w:rsidR="002533DF">
        <w:t xml:space="preserve"> sagte. Langfristig</w:t>
      </w:r>
      <w:r w:rsidR="000A4B7F">
        <w:t xml:space="preserve"> setzen sich nur die Unternehmen durch, welche alle Phasen des Innovationsprozesses beherrschen und die Schlüsselfähigkeit besitzen, in kürzerer Zeit mehr erfolgreiche Produkte auf den Markt 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Erhöhung der Entwicklungsaufwände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w:t>
          </w:r>
          <w:r w:rsidR="00F65B61">
            <w:rPr>
              <w:noProof/>
            </w:rPr>
            <w:lastRenderedPageBreak/>
            <w:t>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22">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33" w:name="_Ref445566438"/>
      <w:bookmarkStart w:id="34" w:name="_Ref444943110"/>
      <w:bookmarkStart w:id="35" w:name="_Toc450314437"/>
      <w:r w:rsidRPr="00CD6296">
        <w:t xml:space="preserve">Abbildung </w:t>
      </w:r>
      <w:fldSimple w:instr=" STYLEREF 1 \s ">
        <w:r w:rsidR="00CD6296" w:rsidRPr="00CD6296">
          <w:t>2</w:t>
        </w:r>
      </w:fldSimple>
      <w:r w:rsidR="00CD6296" w:rsidRPr="00CD6296">
        <w:t>.</w:t>
      </w:r>
      <w:fldSimple w:instr=" SEQ Abbildung \* ARABIC \s 1 ">
        <w:r w:rsidR="00CD6296" w:rsidRPr="00CD6296">
          <w:t>1</w:t>
        </w:r>
      </w:fldSimple>
      <w:bookmarkEnd w:id="33"/>
      <w:r w:rsidRPr="00CD6296">
        <w:t xml:space="preserve">: Zusammenhang Time </w:t>
      </w:r>
      <w:proofErr w:type="spellStart"/>
      <w:r w:rsidRPr="00CD6296">
        <w:t>to</w:t>
      </w:r>
      <w:proofErr w:type="spellEnd"/>
      <w:r w:rsidRPr="00CD6296">
        <w:t xml:space="preserve"> Market</w:t>
      </w:r>
      <w:bookmarkEnd w:id="34"/>
      <w:bookmarkEnd w:id="35"/>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3975FE83"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4943B191" w:rsidR="00BF58E9" w:rsidRDefault="00BF58E9" w:rsidP="007F25D4">
      <w:pPr>
        <w:pStyle w:val="Listenabsatz"/>
        <w:numPr>
          <w:ilvl w:val="0"/>
          <w:numId w:val="9"/>
        </w:numPr>
      </w:pPr>
      <w:r>
        <w:t>Schaffung Innovationsumfeld</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3FFC22B7" w:rsidR="000504A6" w:rsidRDefault="000504A6" w:rsidP="007F25D4">
      <w:pPr>
        <w:pStyle w:val="Listenabsatz"/>
        <w:numPr>
          <w:ilvl w:val="0"/>
          <w:numId w:val="17"/>
        </w:numPr>
      </w:pPr>
      <w:r>
        <w:t>Prozessveränderungsbedarf</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36" w:name="_Ref445650448"/>
      <w:bookmarkStart w:id="37" w:name="_Ref445650466"/>
      <w:bookmarkStart w:id="38" w:name="_Ref445650514"/>
      <w:bookmarkStart w:id="39" w:name="_Ref445650529"/>
      <w:bookmarkStart w:id="40" w:name="_Toc450314460"/>
      <w:r>
        <w:lastRenderedPageBreak/>
        <w:t>Innovationssteuerung</w:t>
      </w:r>
      <w:r w:rsidR="00180BBA">
        <w:t xml:space="preserve"> durch Produkt-</w:t>
      </w:r>
      <w:r w:rsidR="00DB13B7">
        <w:t>Management</w:t>
      </w:r>
      <w:bookmarkEnd w:id="36"/>
      <w:bookmarkEnd w:id="37"/>
      <w:bookmarkEnd w:id="38"/>
      <w:bookmarkEnd w:id="39"/>
      <w:bookmarkEnd w:id="40"/>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3A8BD425" w:rsidR="00AA0D7C" w:rsidRDefault="00D7054B" w:rsidP="00BC71A2">
      <w:r>
        <w:t xml:space="preserve">Die gezielte Verwaltung von Produkten erfolgt durch das Produkt-Management.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3F85EB25"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Belange im Zusammenhang mit dem Produkt uns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w:t>
      </w:r>
      <w:r>
        <w:lastRenderedPageBreak/>
        <w:t>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 xml:space="preserve">nennt außerdem noch die Überalterung der Produktstruktur und die Änderung der Unternehmensstrategie sowie die strategische Lückenplanung.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41" w:name="_Ref445276009"/>
      <w:bookmarkStart w:id="42" w:name="_Toc450314461"/>
      <w:r>
        <w:t>Der Produktlebenszyklus</w:t>
      </w:r>
      <w:bookmarkEnd w:id="41"/>
      <w:bookmarkEnd w:id="42"/>
    </w:p>
    <w:p w14:paraId="187593B9" w14:textId="66AF34AD"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omputertechnik dagegen nur ca. ein bis zwei</w:t>
      </w:r>
      <w:r w:rsidR="002A7BD1">
        <w:t xml:space="preserve"> Jahre</w:t>
      </w:r>
      <w:r w:rsidR="00BF202D">
        <w:t>n typisch</w:t>
      </w:r>
      <w:sdt>
        <w:sdtPr>
          <w:id w:val="760795137"/>
          <w:citation/>
        </w:sdt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Lebenszeit aufgrund des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w:t>
      </w:r>
      <w:r w:rsidR="004704FC">
        <w:lastRenderedPageBreak/>
        <w:t xml:space="preserve">lauf eines erfolgreichen Produkts mit langer Lebenszeit, welches einen schnellen Markteintritt gefolgt von starken Umsatzwachstum </w:t>
      </w:r>
      <w:r w:rsidR="00611592">
        <w:t>aufzeigt</w:t>
      </w:r>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23">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43" w:name="_Ref446672107"/>
      <w:bookmarkStart w:id="44" w:name="_Toc450314438"/>
      <w:r w:rsidRPr="00CD6296">
        <w:t xml:space="preserve">Abbildung </w:t>
      </w:r>
      <w:fldSimple w:instr=" STYLEREF 1 \s ">
        <w:r w:rsidR="00CD6296" w:rsidRPr="00CD6296">
          <w:t>2</w:t>
        </w:r>
      </w:fldSimple>
      <w:r w:rsidR="00CD6296" w:rsidRPr="00CD6296">
        <w:t>.</w:t>
      </w:r>
      <w:fldSimple w:instr=" SEQ Abbildung \* ARABIC \s 1 ">
        <w:r w:rsidR="00CD6296" w:rsidRPr="00CD6296">
          <w:t>2</w:t>
        </w:r>
      </w:fldSimple>
      <w:bookmarkEnd w:id="43"/>
      <w:r w:rsidRPr="00CD6296">
        <w:t>: Charakteristische Produktlebenszyklen</w:t>
      </w:r>
      <w:bookmarkEnd w:id="44"/>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71D7B03C" w14:textId="01568177" w:rsidR="00E52BF8" w:rsidRDefault="004026B8" w:rsidP="00E8229F">
      <w:proofErr w:type="spellStart"/>
      <w:r>
        <w:rPr>
          <w:i/>
        </w:rPr>
        <w:t>Aumayr</w:t>
      </w:r>
      <w:proofErr w:type="spellEnd"/>
      <w:r>
        <w:rPr>
          <w:i/>
        </w:rPr>
        <w:t xml:space="preserve"> </w:t>
      </w:r>
      <w:sdt>
        <w:sdtPr>
          <w:rPr>
            <w:i/>
          </w:rPr>
          <w:id w:val="-1750731711"/>
          <w:citation/>
        </w:sdt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Fragezeichen zum Armen Hund übergeht</w:t>
      </w:r>
      <w:sdt>
        <w:sdtPr>
          <w:id w:val="-441608895"/>
          <w:citation/>
        </w:sdt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Die Verlaufsbeschreibungen zeigen, dass ein Produktleben sich in unterschiedliche Phasen unterteilen lässt. </w:t>
      </w:r>
      <w:proofErr w:type="spellStart"/>
      <w:r w:rsidR="00E52BF8" w:rsidRPr="00E52BF8">
        <w:rPr>
          <w:i/>
        </w:rPr>
        <w:t>Kairies</w:t>
      </w:r>
      <w:proofErr w:type="spellEnd"/>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107BE050" w:rsidR="00DC6487" w:rsidRDefault="004704FC" w:rsidP="00DC6487">
      <w:r>
        <w:t>In der Literatur werden aber auch andere Phasen und Bezeichnungen beschrieben. Diese werden nun kurz dargestellt und anschließend als Basis für die weite</w:t>
      </w:r>
      <w:r>
        <w:lastRenderedPageBreak/>
        <w:t>re Ausarbeitung zu einem 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proofErr w:type="spellStart"/>
      <w:r w:rsidRPr="00B60F36">
        <w:rPr>
          <w:i/>
        </w:rPr>
        <w:t>Aumayr</w:t>
      </w:r>
      <w:proofErr w:type="spellEnd"/>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2BA04989" w:rsidR="007322FE" w:rsidRDefault="007322FE" w:rsidP="007322FE">
      <w:r>
        <w:t>Beim Vergleich der einzelnen Beschreibungen sind viele Ähnlichkeiten auffallend.</w:t>
      </w:r>
      <w:r w:rsidR="00470E86">
        <w:t xml:space="preserve"> So finden sich zwei Phasen, nämlich Wachstum und Reife, wortwörtlich in allen drei Einteilungen. Auch die Einführungsphase wird in allen drei Modellen genannt, jedoch bei </w:t>
      </w:r>
      <w:proofErr w:type="spellStart"/>
      <w:r w:rsidR="00470E86" w:rsidRPr="005941BA">
        <w:rPr>
          <w:i/>
        </w:rPr>
        <w:t>Lennertz</w:t>
      </w:r>
      <w:proofErr w:type="spellEnd"/>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 wird der Begriff Entwicklung für die erste Phase übernommen. Der generellen Reifephase schließt sich in zwei Modellen eine Sättigungsphase an, bei </w:t>
      </w:r>
      <w:proofErr w:type="spellStart"/>
      <w:r w:rsidR="005941BA" w:rsidRPr="005941BA">
        <w:rPr>
          <w:i/>
        </w:rPr>
        <w:t>Lennertz</w:t>
      </w:r>
      <w:proofErr w:type="spellEnd"/>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w:t>
      </w:r>
      <w:r w:rsidR="005941BA">
        <w:lastRenderedPageBreak/>
        <w:t xml:space="preserve">gangsphase schließt sich bei </w:t>
      </w:r>
      <w:proofErr w:type="spellStart"/>
      <w:r w:rsidR="005941BA" w:rsidRPr="00092EBB">
        <w:rPr>
          <w:i/>
        </w:rPr>
        <w:t>Kairies</w:t>
      </w:r>
      <w:proofErr w:type="spellEnd"/>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 </w:t>
      </w:r>
      <w:proofErr w:type="spellStart"/>
      <w:r w:rsidR="00C47FFA" w:rsidRPr="00C47FFA">
        <w:rPr>
          <w:i/>
        </w:rPr>
        <w:t>Kairies</w:t>
      </w:r>
      <w:proofErr w:type="spellEnd"/>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2B0861">
        <w:tc>
          <w:tcPr>
            <w:tcW w:w="2426" w:type="dxa"/>
            <w:shd w:val="clear" w:color="auto" w:fill="D9D9D9" w:themeFill="background1" w:themeFillShade="D9"/>
          </w:tcPr>
          <w:p w14:paraId="76495D6E" w14:textId="3DF6E0B0" w:rsidR="000F467E" w:rsidRPr="00075C67" w:rsidRDefault="000F467E" w:rsidP="007322FE">
            <w:pPr>
              <w:rPr>
                <w:i/>
              </w:rPr>
            </w:pPr>
            <w:proofErr w:type="spellStart"/>
            <w:r w:rsidRPr="00075C67">
              <w:rPr>
                <w:i/>
              </w:rPr>
              <w:t>Kairies</w:t>
            </w:r>
            <w:proofErr w:type="spellEnd"/>
          </w:p>
        </w:tc>
        <w:tc>
          <w:tcPr>
            <w:tcW w:w="2066" w:type="dxa"/>
            <w:shd w:val="clear" w:color="auto" w:fill="D9D9D9" w:themeFill="background1" w:themeFillShade="D9"/>
          </w:tcPr>
          <w:p w14:paraId="77924C94" w14:textId="1CAB7502" w:rsidR="000F467E" w:rsidRPr="00075C67" w:rsidRDefault="000F467E" w:rsidP="007322FE">
            <w:pPr>
              <w:rPr>
                <w:i/>
              </w:rPr>
            </w:pPr>
            <w:proofErr w:type="spellStart"/>
            <w:r w:rsidRPr="00075C67">
              <w:rPr>
                <w:i/>
              </w:rPr>
              <w:t>Lennertz</w:t>
            </w:r>
            <w:proofErr w:type="spellEnd"/>
          </w:p>
        </w:tc>
        <w:tc>
          <w:tcPr>
            <w:tcW w:w="1676" w:type="dxa"/>
            <w:shd w:val="clear" w:color="auto" w:fill="D9D9D9" w:themeFill="background1" w:themeFillShade="D9"/>
          </w:tcPr>
          <w:p w14:paraId="4290C147" w14:textId="78B47FB3" w:rsidR="000F467E" w:rsidRPr="00075C67" w:rsidRDefault="000F467E" w:rsidP="007322FE">
            <w:pPr>
              <w:rPr>
                <w:i/>
              </w:rPr>
            </w:pPr>
            <w:proofErr w:type="spellStart"/>
            <w:r w:rsidRPr="00075C67">
              <w:rPr>
                <w:i/>
              </w:rPr>
              <w:t>Aumayr</w:t>
            </w:r>
            <w:proofErr w:type="spellEnd"/>
          </w:p>
        </w:tc>
        <w:tc>
          <w:tcPr>
            <w:tcW w:w="2268" w:type="dxa"/>
            <w:shd w:val="clear" w:color="auto" w:fill="FFC000"/>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2B0861">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595959" w:themeFill="text1" w:themeFillTint="A6"/>
            <w:vAlign w:val="center"/>
          </w:tcPr>
          <w:p w14:paraId="2E29135F" w14:textId="454F9215" w:rsidR="000F467E" w:rsidRPr="000F467E" w:rsidRDefault="005941BA" w:rsidP="000F467E">
            <w:pPr>
              <w:jc w:val="left"/>
              <w:rPr>
                <w:color w:val="FFFFFF" w:themeColor="background1"/>
              </w:rPr>
            </w:pPr>
            <w:r>
              <w:rPr>
                <w:color w:val="FFFFFF" w:themeColor="background1"/>
              </w:rPr>
              <w:t>Entwicklung</w:t>
            </w:r>
          </w:p>
        </w:tc>
      </w:tr>
      <w:tr w:rsidR="000F467E" w14:paraId="22064C45" w14:textId="78D8F6C1" w:rsidTr="002B0861">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595959" w:themeFill="text1" w:themeFillTint="A6"/>
          </w:tcPr>
          <w:p w14:paraId="367F42C0" w14:textId="4B5A10FA" w:rsidR="000F467E" w:rsidRPr="000F467E" w:rsidRDefault="004135A6" w:rsidP="007322FE">
            <w:pPr>
              <w:rPr>
                <w:color w:val="FFFFFF" w:themeColor="background1"/>
              </w:rPr>
            </w:pPr>
            <w:r w:rsidRPr="000F467E">
              <w:rPr>
                <w:color w:val="FFFFFF" w:themeColor="background1"/>
              </w:rPr>
              <w:t>Einführung</w:t>
            </w:r>
          </w:p>
        </w:tc>
      </w:tr>
      <w:tr w:rsidR="000F467E" w14:paraId="5ABB5557" w14:textId="4B30844F" w:rsidTr="002B0861">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595959" w:themeFill="text1" w:themeFillTint="A6"/>
          </w:tcPr>
          <w:p w14:paraId="1F50AC42" w14:textId="42E5439A" w:rsidR="000F467E" w:rsidRPr="000F467E" w:rsidRDefault="000F467E" w:rsidP="007322FE">
            <w:pPr>
              <w:rPr>
                <w:color w:val="FFFFFF" w:themeColor="background1"/>
              </w:rPr>
            </w:pPr>
            <w:r w:rsidRPr="000F467E">
              <w:rPr>
                <w:color w:val="FFFFFF" w:themeColor="background1"/>
              </w:rPr>
              <w:t>Wachstum</w:t>
            </w:r>
          </w:p>
        </w:tc>
      </w:tr>
      <w:tr w:rsidR="002B0861" w14:paraId="198E51D6" w14:textId="74ED267B" w:rsidTr="002B0861">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595959" w:themeFill="text1" w:themeFillTint="A6"/>
            <w:vAlign w:val="center"/>
          </w:tcPr>
          <w:p w14:paraId="48EA39F7" w14:textId="51DD9E31" w:rsidR="002B0861" w:rsidRPr="000F467E" w:rsidRDefault="00921A03" w:rsidP="002B0861">
            <w:pPr>
              <w:jc w:val="left"/>
              <w:rPr>
                <w:color w:val="FFFFFF" w:themeColor="background1"/>
              </w:rPr>
            </w:pPr>
            <w:r>
              <w:rPr>
                <w:color w:val="FFFFFF" w:themeColor="background1"/>
              </w:rPr>
              <w:t>Reife</w:t>
            </w:r>
          </w:p>
        </w:tc>
      </w:tr>
      <w:tr w:rsidR="002B0861" w14:paraId="3020C7B2" w14:textId="5CBE872E" w:rsidTr="002B0861">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595959" w:themeFill="text1" w:themeFillTint="A6"/>
          </w:tcPr>
          <w:p w14:paraId="1454D05F" w14:textId="7AA8B002" w:rsidR="002B0861" w:rsidRPr="000F467E" w:rsidRDefault="002B0861" w:rsidP="007322FE">
            <w:pPr>
              <w:rPr>
                <w:color w:val="FFFFFF" w:themeColor="background1"/>
              </w:rPr>
            </w:pPr>
          </w:p>
        </w:tc>
      </w:tr>
      <w:tr w:rsidR="000F467E" w14:paraId="5273680E" w14:textId="14CA8C21" w:rsidTr="002B0861">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595959" w:themeFill="text1" w:themeFillTint="A6"/>
            <w:vAlign w:val="center"/>
          </w:tcPr>
          <w:p w14:paraId="396E89A2" w14:textId="334CC1BF" w:rsidR="000F467E" w:rsidRPr="000F467E" w:rsidRDefault="000F467E" w:rsidP="000F467E">
            <w:pPr>
              <w:jc w:val="left"/>
              <w:rPr>
                <w:color w:val="FFFFFF" w:themeColor="background1"/>
              </w:rPr>
            </w:pPr>
            <w:r w:rsidRPr="000F467E">
              <w:rPr>
                <w:color w:val="FFFFFF" w:themeColor="background1"/>
              </w:rPr>
              <w:t>Entsorgung</w:t>
            </w:r>
          </w:p>
        </w:tc>
      </w:tr>
      <w:tr w:rsidR="000F467E" w14:paraId="0C8EF0DC" w14:textId="60A2D5CE" w:rsidTr="002B0861">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595959" w:themeFill="text1" w:themeFillTint="A6"/>
          </w:tcPr>
          <w:p w14:paraId="61F12463" w14:textId="77777777" w:rsidR="000F467E" w:rsidRDefault="000F467E" w:rsidP="00075C67">
            <w:pPr>
              <w:keepNext/>
            </w:pPr>
          </w:p>
        </w:tc>
      </w:tr>
    </w:tbl>
    <w:p w14:paraId="1AE6CDEA" w14:textId="00F81B22" w:rsidR="005D27BB" w:rsidRPr="00CD6296" w:rsidRDefault="00075C67" w:rsidP="00CD6296">
      <w:pPr>
        <w:pStyle w:val="Beschriftung"/>
      </w:pPr>
      <w:bookmarkStart w:id="45" w:name="_Ref445303931"/>
      <w:bookmarkStart w:id="46" w:name="_Toc450314445"/>
      <w:r w:rsidRPr="00CD6296">
        <w:t xml:space="preserve">Tabelle </w:t>
      </w:r>
      <w:fldSimple w:instr=" STYLEREF 1 \s ">
        <w:r w:rsidRPr="00CD6296">
          <w:t>2</w:t>
        </w:r>
      </w:fldSimple>
      <w:r w:rsidRPr="00CD6296">
        <w:t>.</w:t>
      </w:r>
      <w:fldSimple w:instr=" SEQ Tabelle \* ARABIC \s 1 ">
        <w:r w:rsidRPr="00CD6296">
          <w:t>1</w:t>
        </w:r>
      </w:fldSimple>
      <w:bookmarkEnd w:id="45"/>
      <w:r w:rsidRPr="00CD6296">
        <w:t>: Zuordnung der Produktlebenszyklusphasen</w:t>
      </w:r>
      <w:bookmarkEnd w:id="46"/>
    </w:p>
    <w:p w14:paraId="0140517B" w14:textId="1B82983A" w:rsidR="00075C67" w:rsidRPr="00075C67" w:rsidRDefault="00075C67" w:rsidP="00075C67">
      <w:pPr>
        <w:jc w:val="center"/>
      </w:pPr>
      <w:r w:rsidRPr="00075C67">
        <w:t>Quelle: eigene Tabelle</w:t>
      </w:r>
    </w:p>
    <w:p w14:paraId="3CAE571C" w14:textId="7F1F216B" w:rsidR="00E52BF8" w:rsidRPr="00E8229F" w:rsidRDefault="004C0E54" w:rsidP="00E8229F">
      <w:r>
        <w:t>Eine besondere Bedeutung hat die Einführungsphase, da hier der Markteintritt erfolgt</w:t>
      </w:r>
      <w:r w:rsidR="001C444D">
        <w:t xml:space="preserve"> und somit die Pay-off-Zeit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t xml:space="preserve"> über das sogenannte Release-Management, welches im folgenden Kapitel erläutert wird.</w:t>
      </w:r>
    </w:p>
    <w:p w14:paraId="710E0314" w14:textId="5CCBA394" w:rsidR="00461FAA" w:rsidRDefault="00461FAA" w:rsidP="00461FAA">
      <w:pPr>
        <w:pStyle w:val="berschrift2"/>
      </w:pPr>
      <w:bookmarkStart w:id="47" w:name="_Ref446517190"/>
      <w:bookmarkStart w:id="48" w:name="_Toc450314462"/>
      <w:r>
        <w:t xml:space="preserve">Produktveröffentlichung durch Standards im </w:t>
      </w:r>
      <w:r w:rsidR="00803CAA">
        <w:t>Release-Management</w:t>
      </w:r>
      <w:bookmarkEnd w:id="47"/>
      <w:bookmarkEnd w:id="48"/>
    </w:p>
    <w:p w14:paraId="5219C75E" w14:textId="6A84C24A" w:rsidR="003C772E" w:rsidRDefault="00D477E1" w:rsidP="00E8229F">
      <w:r>
        <w:t>Um neue Produkte oder Veränderungen</w:t>
      </w:r>
      <w:r w:rsidR="00BF202D">
        <w:t xml:space="preserve"> an Produkten</w:t>
      </w:r>
      <w:r>
        <w:t xml:space="preserve">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1C444D">
        <w:t xml:space="preserve">Je nach </w:t>
      </w:r>
      <w:r w:rsidR="001C444D">
        <w:lastRenderedPageBreak/>
        <w:t xml:space="preserve">Substanz des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dabei eine größere (immateriell) oder kleinere (materiell) Rolle. Im Fokus dieser Ausarbeitung stehen gemäß Zielsetzung (vgl. Kapitel </w:t>
      </w:r>
      <w:r w:rsidR="001C444D">
        <w:fldChar w:fldCharType="begin"/>
      </w:r>
      <w:r w:rsidR="001C444D">
        <w:instrText xml:space="preserve"> PAGEREF _Ref445636100 \h </w:instrText>
      </w:r>
      <w:r w:rsidR="001C444D">
        <w:fldChar w:fldCharType="separate"/>
      </w:r>
      <w:r w:rsidR="001C444D">
        <w:rPr>
          <w:noProof/>
        </w:rPr>
        <w:t>1</w:t>
      </w:r>
      <w:r w:rsidR="001C444D">
        <w:fldChar w:fldCharType="end"/>
      </w:r>
      <w:r w:rsidR="001C444D">
        <w:t xml:space="preserve">) ausschließlich </w:t>
      </w:r>
      <w:r w:rsidR="00436A4E">
        <w:t xml:space="preserve">die für die IT </w:t>
      </w:r>
      <w:r w:rsidR="00C95B01">
        <w:t>relevanten Prozesse</w:t>
      </w:r>
      <w:r w:rsidR="001C444D">
        <w:t>. Der Veränderungsprozess erfolgt hi</w:t>
      </w:r>
      <w:r w:rsidR="00436A4E">
        <w:t>er</w:t>
      </w:r>
      <w:r w:rsidR="001C444D">
        <w:t xml:space="preserve">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4">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49" w:name="_Ref445901269"/>
      <w:bookmarkStart w:id="50" w:name="_Ref445031218"/>
      <w:bookmarkStart w:id="51" w:name="_Toc450314439"/>
      <w:r w:rsidRPr="00CD6296">
        <w:t xml:space="preserve">Abbildung </w:t>
      </w:r>
      <w:fldSimple w:instr=" STYLEREF 1 \s ">
        <w:r w:rsidR="00CD6296" w:rsidRPr="00CD6296">
          <w:t>2</w:t>
        </w:r>
      </w:fldSimple>
      <w:r w:rsidR="00CD6296" w:rsidRPr="00CD6296">
        <w:t>.</w:t>
      </w:r>
      <w:fldSimple w:instr=" SEQ Abbildung \* ARABIC \s 1 ">
        <w:r w:rsidR="00CD6296" w:rsidRPr="00CD6296">
          <w:t>3</w:t>
        </w:r>
      </w:fldSimple>
      <w:bookmarkEnd w:id="49"/>
      <w:r w:rsidRPr="00CD6296">
        <w:t>: Zusammenhang Produkt zu Release</w:t>
      </w:r>
      <w:bookmarkEnd w:id="50"/>
      <w:bookmarkEnd w:id="51"/>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68EC55FF"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853517">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BF7373">
        <w:t xml:space="preserve">Veränderung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834B5B">
        <w:t xml:space="preserve"> D</w:t>
      </w:r>
      <w:r w:rsidR="005B656A">
        <w:t xml:space="preserve">ie Aufgabenteilung zwischen Produkt- und </w:t>
      </w:r>
      <w:r w:rsidR="00A61508">
        <w:t>IT-Service</w:t>
      </w:r>
      <w:r w:rsidR="005B656A">
        <w:t xml:space="preserve">-Management </w:t>
      </w:r>
      <w:r w:rsidR="00A61508">
        <w:t>kann zwischen verschiedenen Unternehmen variieren. Eine Variante ist, dass</w:t>
      </w:r>
      <w:r w:rsidR="00834B5B">
        <w:t xml:space="preserve"> das fertige Produ</w:t>
      </w:r>
      <w:r w:rsidR="005B656A">
        <w:t>kt</w:t>
      </w:r>
      <w:r w:rsidR="00834B5B">
        <w:t xml:space="preserve"> an das </w:t>
      </w:r>
      <w:r w:rsidR="00A61508">
        <w:t>IT-Service</w:t>
      </w:r>
      <w:r w:rsidR="00834B5B">
        <w:t xml:space="preserve">-Management übergeben und dort veröffentlicht und bis zur nächsten Änderung betrieben, gewartet und </w:t>
      </w:r>
      <w:r w:rsidR="006A193F">
        <w:t>dafür</w:t>
      </w:r>
      <w:r w:rsidR="005B656A">
        <w:t xml:space="preserve"> </w:t>
      </w:r>
      <w:r w:rsidR="00834B5B">
        <w:t>Support angeboten</w:t>
      </w:r>
      <w:r w:rsidR="00A61508">
        <w:t xml:space="preserve"> wird</w:t>
      </w:r>
      <w:r w:rsidR="00834B5B">
        <w:t xml:space="preserve">. </w:t>
      </w:r>
      <w:r w:rsidR="005B656A">
        <w:t>Eine weitere Differenzierung kann durch die Ausgliederung der IT Entwick</w:t>
      </w:r>
      <w:r w:rsidR="00A61508">
        <w:t>lung aus dem Produkt-Management</w:t>
      </w:r>
      <w:r w:rsidR="005B656A">
        <w:t xml:space="preserve"> erfol</w:t>
      </w:r>
      <w:r w:rsidR="005B656A">
        <w:lastRenderedPageBreak/>
        <w:t xml:space="preserve">gen. In diesem Konstrukt definiert das Produkt-Management Anforderungen an die IT Entwicklung, welche diese umsetzt und zu Veröffentlichung an das </w:t>
      </w:r>
      <w:r w:rsidR="00A61508">
        <w:t>IT-Service</w:t>
      </w:r>
      <w:r w:rsidR="005B656A">
        <w:t>-Management weiter gibt.</w:t>
      </w:r>
      <w:r w:rsidR="006A193F">
        <w:t xml:space="preserve"> </w:t>
      </w:r>
      <w:r w:rsidR="009D2F47">
        <w:t>Z</w:t>
      </w:r>
      <w:r w:rsidR="006A193F">
        <w:t xml:space="preserve">wischen Produkt und </w:t>
      </w:r>
      <w:r w:rsidR="00A61508">
        <w:t>IT-Service</w:t>
      </w:r>
      <w:r w:rsidR="006A193F">
        <w:t xml:space="preserve"> </w:t>
      </w:r>
      <w:r w:rsidR="009D2F47">
        <w:t xml:space="preserve">kann hierbei </w:t>
      </w:r>
      <w:r w:rsidR="006A193F">
        <w:t xml:space="preserve">eine m : n - Beziehung </w:t>
      </w:r>
      <w:r w:rsidR="009D2F47">
        <w:t>bestehen, d. h.</w:t>
      </w:r>
      <w:r w:rsidR="006A193F">
        <w:t xml:space="preserve"> ein Produkt kann durch mehrere </w:t>
      </w:r>
      <w:r w:rsidR="00A61508">
        <w:t>IT-Service</w:t>
      </w:r>
      <w:r w:rsidR="006A193F">
        <w:t xml:space="preserve">s realisiert werden und ein </w:t>
      </w:r>
      <w:r w:rsidR="00A61508">
        <w:t>IT-Service</w:t>
      </w:r>
      <w:r w:rsidR="006A193F">
        <w:t xml:space="preserve"> kann mehrere Produkte unterstützen.</w:t>
      </w:r>
      <w:r w:rsidR="005B656A">
        <w:t xml:space="preserve"> </w:t>
      </w:r>
      <w:r w:rsidR="009D2F47">
        <w:t xml:space="preserve">Solch eine Konstellation wird </w:t>
      </w:r>
      <w:commentRangeStart w:id="52"/>
      <w:r w:rsidR="009D2F47">
        <w:t xml:space="preserve">in Kapitel </w:t>
      </w:r>
      <w:r w:rsidR="009D2F47">
        <w:fldChar w:fldCharType="begin"/>
      </w:r>
      <w:r w:rsidR="009D2F47">
        <w:instrText xml:space="preserve"> REF _Ref442964114 \r \h </w:instrText>
      </w:r>
      <w:r w:rsidR="009D2F47">
        <w:fldChar w:fldCharType="separate"/>
      </w:r>
      <w:r w:rsidR="009D2F47">
        <w:t>6</w:t>
      </w:r>
      <w:r w:rsidR="009D2F47">
        <w:fldChar w:fldCharType="end"/>
      </w:r>
      <w:r w:rsidR="009D2F47">
        <w:t xml:space="preserve"> beschrieben</w:t>
      </w:r>
      <w:commentRangeEnd w:id="52"/>
      <w:r w:rsidR="00D53062">
        <w:rPr>
          <w:rStyle w:val="Kommentarzeichen"/>
        </w:rPr>
        <w:commentReference w:id="52"/>
      </w:r>
      <w:r w:rsidR="009D2F47">
        <w:t xml:space="preserve">. </w:t>
      </w:r>
      <w:r w:rsidR="00470564">
        <w:t xml:space="preserve">Der meist genutzte Ansatz </w:t>
      </w:r>
      <w:r w:rsidR="005B656A">
        <w:t xml:space="preserve">im </w:t>
      </w:r>
      <w:r w:rsidR="00A61508">
        <w:t>IT-Service</w:t>
      </w:r>
      <w:r w:rsidR="005B656A">
        <w:t>-Management Umfeld</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Es dient als Hilfestellung bei der Etablierung von </w:t>
      </w:r>
      <w:r w:rsidR="00A61508">
        <w:t>IT-Service</w:t>
      </w:r>
      <w:r w:rsidR="00470564">
        <w:t>-Management 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4D6406D7"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Jederzeit präsent ist die </w:t>
      </w:r>
      <w:proofErr w:type="spellStart"/>
      <w:r w:rsidR="00F74DE6">
        <w:t>Continual</w:t>
      </w:r>
      <w:proofErr w:type="spellEnd"/>
      <w:r w:rsidR="00F74DE6">
        <w:t xml:space="preserve"> Service </w:t>
      </w:r>
      <w:proofErr w:type="spellStart"/>
      <w:r w:rsidR="00F74DE6">
        <w:t>Improvement</w:t>
      </w:r>
      <w:proofErr w:type="spellEnd"/>
      <w:r w:rsidR="00F74DE6">
        <w: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 ist ein Teilaspekt der Service Transition, daher wird dieses Stadium detaillierter beschrieben.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commentRangeStart w:id="53"/>
      <w:proofErr w:type="spellStart"/>
      <w:r>
        <w:t>Changes</w:t>
      </w:r>
      <w:commentRangeEnd w:id="53"/>
      <w:proofErr w:type="spellEnd"/>
      <w:r w:rsidR="002A1B0B">
        <w:rPr>
          <w:rStyle w:val="Kommentarzeichen"/>
        </w:rPr>
        <w:commentReference w:id="53"/>
      </w:r>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lastRenderedPageBreak/>
        <w:t>erfolgreiche Bereitstellung von Releases</w:t>
      </w:r>
    </w:p>
    <w:p w14:paraId="4DABFF26" w14:textId="7C73AD8C" w:rsidR="00D53062" w:rsidRDefault="00577DC0" w:rsidP="00D53062">
      <w:pPr>
        <w:pStyle w:val="Listenabsatz"/>
        <w:numPr>
          <w:ilvl w:val="0"/>
          <w:numId w:val="20"/>
        </w:numPr>
      </w:pPr>
      <w:r>
        <w:t>Sicherstellung des Service Nutzens</w:t>
      </w:r>
    </w:p>
    <w:p w14:paraId="0852A0FA" w14:textId="65D2B3E0" w:rsidR="00D53062" w:rsidRDefault="00D53062" w:rsidP="00D53062">
      <w:r>
        <w:t>Innerhalb der ITIL Service Transition Prinzipien werden verschiedene Richtlinien genannt, um diese Ziel zu erreichen</w:t>
      </w:r>
      <w:sdt>
        <w:sdtPr>
          <w:id w:val="858935803"/>
          <w:citation/>
        </w:sdtPr>
        <w:sdtContent>
          <w:r w:rsidR="00853517">
            <w:fldChar w:fldCharType="begin"/>
          </w:r>
          <w:r w:rsidR="00853517">
            <w:instrText xml:space="preserve">CITATION AXE11 \p "S. 37" \l 1031 </w:instrText>
          </w:r>
          <w:r w:rsidR="00853517">
            <w:fldChar w:fldCharType="separate"/>
          </w:r>
          <w:r w:rsidR="00853517">
            <w:rPr>
              <w:noProof/>
            </w:rPr>
            <w:t xml:space="preserve"> (AXELOS 2011, S. 37)</w:t>
          </w:r>
          <w:r w:rsidR="00853517">
            <w:fldChar w:fldCharType="end"/>
          </w:r>
        </w:sdtContent>
      </w:sdt>
      <w:r>
        <w:t>. Diese Richtlinien gelten unabhängig von der jeweiligen Organisation, müssen jedoch an die vorherrschenden Bedingungen hinsichtlich beispielsweise Kultur und Größe angepasst werden</w:t>
      </w:r>
      <w:sdt>
        <w:sdtPr>
          <w:id w:val="-1296140399"/>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Damit diese Richtlinien greifen ist die Unterstützung durch die Unternehmensführung bei ihrer Durchsetzung entscheidend</w:t>
      </w:r>
      <w:sdt>
        <w:sdtPr>
          <w:id w:val="654808952"/>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Die Richtlinien umfassen die folgenden Punkte</w:t>
      </w:r>
      <w:sdt>
        <w:sdtPr>
          <w:id w:val="65796210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 xml:space="preserve">alle </w:t>
      </w:r>
      <w:proofErr w:type="spellStart"/>
      <w:r>
        <w:t>Changes</w:t>
      </w:r>
      <w:proofErr w:type="spellEnd"/>
      <w:r>
        <w:t xml:space="preserve">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77777777" w:rsidR="00D53062" w:rsidRDefault="00D53062" w:rsidP="00D53062">
      <w:pPr>
        <w:pStyle w:val="Listenabsatz"/>
        <w:numPr>
          <w:ilvl w:val="0"/>
          <w:numId w:val="24"/>
        </w:numPr>
      </w:pPr>
      <w:r>
        <w:t>Ausrichtung der Service Transition Pläne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77777777" w:rsidR="00D53062" w:rsidRDefault="00D53062" w:rsidP="00D53062">
      <w:pPr>
        <w:pStyle w:val="Listenabsatz"/>
        <w:numPr>
          <w:ilvl w:val="0"/>
          <w:numId w:val="24"/>
        </w:numPr>
      </w:pPr>
      <w:r>
        <w:t>zeitige Integration der Service Transition in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6F91BA0B" w14:textId="122ABD48" w:rsidR="00D53062" w:rsidRPr="001F2F30" w:rsidRDefault="00D53062" w:rsidP="00D53062">
      <w:r>
        <w:t xml:space="preserve">Bei der eigenen Service Transition Richtlinie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proofErr w:type="spellStart"/>
      <w:r>
        <w:t>ab</w:t>
      </w:r>
      <w:r w:rsidR="00853517">
        <w:t>gestimmtwerden</w:t>
      </w:r>
      <w:proofErr w:type="spellEnd"/>
      <w:sdt>
        <w:sdtPr>
          <w:id w:val="-1891255466"/>
          <w:citation/>
        </w:sdtPr>
        <w:sdtContent>
          <w:r>
            <w:fldChar w:fldCharType="begin"/>
          </w:r>
          <w:r>
            <w:instrText xml:space="preserve">CITATION AXE11 \p "S. 37" \l 1031 </w:instrText>
          </w:r>
          <w:r>
            <w:fldChar w:fldCharType="separate"/>
          </w:r>
          <w:r>
            <w:rPr>
              <w:noProof/>
            </w:rPr>
            <w:t xml:space="preserve"> (AXELOS 2011, S. 37)</w:t>
          </w:r>
          <w:r>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Content>
          <w:r>
            <w:fldChar w:fldCharType="begin"/>
          </w:r>
          <w:r>
            <w:instrText xml:space="preserve">CITATION AXE11 \p "S. 40" \l 1031 </w:instrText>
          </w:r>
          <w:r>
            <w:fldChar w:fldCharType="separate"/>
          </w:r>
          <w:r>
            <w:rPr>
              <w:noProof/>
            </w:rPr>
            <w:t xml:space="preserve"> (AXELOS 2011, S. 40)</w:t>
          </w:r>
          <w:r>
            <w:fldChar w:fldCharType="end"/>
          </w:r>
        </w:sdtContent>
      </w:sdt>
      <w:r>
        <w:t>. Während und nach der Veröffentlichung soll der veränderte Service für einen definierten Zeitraum überwacht werden, um sicherzustellen, dass die Veränderung wie geplant verläuft</w:t>
      </w:r>
      <w:sdt>
        <w:sdtPr>
          <w:id w:val="1264806880"/>
          <w:citation/>
        </w:sdtPr>
        <w:sdtContent>
          <w:r>
            <w:fldChar w:fldCharType="begin"/>
          </w:r>
          <w:r>
            <w:instrText xml:space="preserve">CITATION AXE11 \p "S. 39" \l 1031 </w:instrText>
          </w:r>
          <w:r>
            <w:fldChar w:fldCharType="separate"/>
          </w:r>
          <w:r>
            <w:rPr>
              <w:noProof/>
            </w:rPr>
            <w:t xml:space="preserve"> (AXELOS 2011, S. 39)</w:t>
          </w:r>
          <w:r>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Effizienz automatisiert werden</w:t>
      </w:r>
      <w:sdt>
        <w:sdtPr>
          <w:id w:val="1519280251"/>
          <w:citation/>
        </w:sdtPr>
        <w:sdtContent>
          <w:r>
            <w:fldChar w:fldCharType="begin"/>
          </w:r>
          <w:r>
            <w:instrText xml:space="preserve">CITATION AXE11 \p "S. 43" \l 1031 </w:instrText>
          </w:r>
          <w:r>
            <w:fldChar w:fldCharType="separate"/>
          </w:r>
          <w:r>
            <w:rPr>
              <w:noProof/>
            </w:rPr>
            <w:t xml:space="preserve"> (AXELOS 2011, S. 43)</w:t>
          </w:r>
          <w:r>
            <w:fldChar w:fldCharType="end"/>
          </w:r>
        </w:sdtContent>
      </w:sdt>
      <w:r>
        <w:t xml:space="preserve">. Bei der Durchführung von Qualitätssicherungsaktivitäten ist sicherzustellen, dass Testumgebungen der Wirkumgebung so ähnlich wie möglich sind </w:t>
      </w:r>
      <w:r>
        <w:lastRenderedPageBreak/>
        <w:t>und dass die Tester unabhängig vom Entwickler des Service sind</w:t>
      </w:r>
      <w:sdt>
        <w:sdtPr>
          <w:id w:val="-559632092"/>
          <w:citation/>
        </w:sdtPr>
        <w:sdtContent>
          <w:r>
            <w:fldChar w:fldCharType="begin"/>
          </w:r>
          <w:r>
            <w:instrText xml:space="preserve">CITATION AXE11 \p "S. 44" \l 1031 </w:instrText>
          </w:r>
          <w:r>
            <w:fldChar w:fldCharType="separate"/>
          </w:r>
          <w:r>
            <w:rPr>
              <w:noProof/>
            </w:rPr>
            <w:t xml:space="preserve"> (AXELOS 2011, S. 44)</w:t>
          </w:r>
          <w:r>
            <w:fldChar w:fldCharType="end"/>
          </w:r>
        </w:sdtContent>
      </w:sdt>
      <w:r>
        <w:t>.</w:t>
      </w:r>
    </w:p>
    <w:p w14:paraId="449B3C8B" w14:textId="77777777" w:rsidR="00D53062" w:rsidRPr="00B47F0C" w:rsidRDefault="00D53062" w:rsidP="00D53062">
      <w:pPr>
        <w:rPr>
          <w:highlight w:val="yellow"/>
        </w:rPr>
      </w:pPr>
      <w:r w:rsidRPr="00B47F0C">
        <w:rPr>
          <w:highlight w:val="yellow"/>
        </w:rPr>
        <w:t>ISO-20000-1 Norm</w:t>
      </w:r>
    </w:p>
    <w:p w14:paraId="116733A9" w14:textId="752AF7CB" w:rsidR="00577DC0" w:rsidRDefault="00D53062" w:rsidP="00577DC0">
      <w:r>
        <w:t>Neben den Richtlinien innerhalb der ITIL Service Transition werden auch die folgenden notwendigen Prozesse beschrieben</w:t>
      </w:r>
      <w:sdt>
        <w:sdtPr>
          <w:id w:val="623573991"/>
          <w:citation/>
        </w:sdtPr>
        <w:sdtContent>
          <w:r w:rsidR="00577DC0">
            <w:fldChar w:fldCharType="begin"/>
          </w:r>
          <w:r w:rsidR="00577DC0">
            <w:instrText xml:space="preserve">CITATION AXE11 \p "S. 5" \l 1031 </w:instrText>
          </w:r>
          <w:r w:rsidR="00577DC0">
            <w:fldChar w:fldCharType="separate"/>
          </w:r>
          <w:r w:rsidR="00577DC0">
            <w:rPr>
              <w:noProof/>
            </w:rPr>
            <w:t xml:space="preserve"> (AXELOS 2011, S. 5)</w:t>
          </w:r>
          <w:r w:rsidR="00577DC0">
            <w:fldChar w:fldCharType="end"/>
          </w:r>
        </w:sdtContent>
      </w:sdt>
      <w:r w:rsidR="00577DC0">
        <w:t>:</w:t>
      </w:r>
    </w:p>
    <w:p w14:paraId="36E34D83" w14:textId="6C27C5F6" w:rsidR="00853517" w:rsidRDefault="00853517" w:rsidP="00853517">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5">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54" w:name="_Ref445907730"/>
      <w:bookmarkStart w:id="55" w:name="_Toc450314440"/>
      <w:r w:rsidRPr="00CD6296">
        <w:t xml:space="preserve">Abbildung </w:t>
      </w:r>
      <w:fldSimple w:instr=" STYLEREF 1 \s ">
        <w:r w:rsidR="00CD6296" w:rsidRPr="00CD6296">
          <w:t>2</w:t>
        </w:r>
      </w:fldSimple>
      <w:r w:rsidR="00CD6296" w:rsidRPr="00CD6296">
        <w:t>.</w:t>
      </w:r>
      <w:fldSimple w:instr=" SEQ Abbildung \* ARABIC \s 1 ">
        <w:r w:rsidR="00CD6296" w:rsidRPr="00CD6296">
          <w:t>4</w:t>
        </w:r>
      </w:fldSimple>
      <w:bookmarkEnd w:id="54"/>
      <w:r w:rsidRPr="00CD6296">
        <w:t>: Überblick ITIL</w:t>
      </w:r>
      <w:bookmarkEnd w:id="55"/>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4E2ED3C3"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w:t>
      </w:r>
      <w:proofErr w:type="spellStart"/>
      <w:r>
        <w:t>Domäe</w:t>
      </w:r>
      <w:proofErr w:type="spellEnd"/>
      <w:r>
        <w:t xml:space="preserve"> „</w:t>
      </w:r>
      <w:proofErr w:type="spellStart"/>
      <w:r>
        <w:t>Build</w:t>
      </w:r>
      <w:proofErr w:type="spellEnd"/>
      <w:r>
        <w:t xml:space="preserve">, </w:t>
      </w:r>
      <w:proofErr w:type="spellStart"/>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w:t>
      </w:r>
      <w:proofErr w:type="spellStart"/>
      <w:r w:rsidR="005B4D0E">
        <w:t>Managemen</w:t>
      </w:r>
      <w:proofErr w:type="spellEnd"/>
      <w:r w:rsidR="005B4D0E">
        <w:t xml:space="preserve">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w:t>
      </w:r>
      <w:proofErr w:type="spellStart"/>
      <w:r w:rsidR="005B4D0E">
        <w:t>and</w:t>
      </w:r>
      <w:proofErr w:type="spellEnd"/>
      <w:r w:rsidR="005B4D0E">
        <w:t xml:space="preserve"> </w:t>
      </w:r>
      <w:proofErr w:type="spellStart"/>
      <w:r w:rsidR="005B4D0E">
        <w:t>Deployment</w:t>
      </w:r>
      <w:proofErr w:type="spellEnd"/>
      <w:r w:rsidR="005B4D0E">
        <w:t xml:space="preserve"> Management aus ITIL findet sich in COBIT im Prozess „Managen der Abnahme und Über</w:t>
      </w:r>
      <w:r w:rsidR="005B4D0E">
        <w:lastRenderedPageBreak/>
        <w:t xml:space="preserve">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11D9385E" w:rsidR="0052128D" w:rsidRPr="00577DC0" w:rsidRDefault="007922DB" w:rsidP="009D2F47">
      <w:pPr>
        <w:rPr>
          <w:highlight w:val="yellow"/>
        </w:rPr>
      </w:pPr>
      <w:r>
        <w:t>Nach diesen Ausführungen sollte ein</w:t>
      </w:r>
      <w:r w:rsidR="009D2F47">
        <w:t xml:space="preserve"> genereller Überblick in die Themenwelt sowie über die Zusammenhänge zwischen Innovation, Produkten und Release-Management gegeben sein. Im folgenden Kapitel erfolgt die detailliertere Ausarbeitung der Entwurfsaspekte für die Standardtypen aus den Produktlebenszyklusphasen und dem IT-Service-Management.</w:t>
      </w:r>
    </w:p>
    <w:p w14:paraId="41991067" w14:textId="3C0C374B" w:rsidR="00461FAA" w:rsidRDefault="00E67FF7" w:rsidP="00461FAA">
      <w:pPr>
        <w:pStyle w:val="berschrift1"/>
      </w:pPr>
      <w:bookmarkStart w:id="56" w:name="_Toc450314463"/>
      <w:r>
        <w:lastRenderedPageBreak/>
        <w:t>Risikotypen des Produktlebenszyklus</w:t>
      </w:r>
      <w:bookmarkEnd w:id="56"/>
    </w:p>
    <w:p w14:paraId="7702062A" w14:textId="77777777" w:rsidR="00E67FF7" w:rsidRDefault="00E04553" w:rsidP="00175F2D">
      <w:r w:rsidRPr="00E04553">
        <w:t xml:space="preserve">Die geplanten Standardtypen für das Release-Management sollen auf einer Kombination von Risiken der Produktlebenszyklusphasen und </w:t>
      </w:r>
      <w:r w:rsidR="009344EF">
        <w:t>Prozessen</w:t>
      </w:r>
      <w:r w:rsidRPr="00E04553">
        <w:t xml:space="preserve"> des IT-</w:t>
      </w:r>
      <w:r w:rsidR="009344EF">
        <w:t>Release</w:t>
      </w:r>
      <w:r w:rsidRPr="00E04553">
        <w:t xml:space="preserve">-Managements basieren.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00E67FF7">
        <w:t xml:space="preserve"> erfolgt in diesem</w:t>
      </w:r>
      <w:r w:rsidRPr="00E04553">
        <w:t xml:space="preserve"> Kapitel </w:t>
      </w:r>
      <w:r w:rsidR="00E67FF7">
        <w:t>die Untersuchung der einzelnen Phasen auf spezifische Besonderheiten, um konkrete Risiken zu ermitteln. Charakteristisch für die einzelnen Phasen sind unterschiedliche Verläufe des Umsatzes</w:t>
      </w:r>
      <w:sdt>
        <w:sdtPr>
          <w:id w:val="-1294364906"/>
          <w:citation/>
        </w:sdtPr>
        <w:sdtContent>
          <w:r w:rsidR="00E67FF7">
            <w:fldChar w:fldCharType="begin"/>
          </w:r>
          <w:r w:rsidR="00E67FF7">
            <w:instrText xml:space="preserve">CITATION Kai04 \p "S. 60 f." \l 1031 </w:instrText>
          </w:r>
          <w:r w:rsidR="00E67FF7">
            <w:fldChar w:fldCharType="separate"/>
          </w:r>
          <w:r w:rsidR="00E67FF7">
            <w:rPr>
              <w:noProof/>
            </w:rPr>
            <w:t xml:space="preserve"> (Kairies 2004, S. 60 f.)</w:t>
          </w:r>
          <w:r w:rsidR="00E67FF7">
            <w:fldChar w:fldCharType="end"/>
          </w:r>
        </w:sdtContent>
      </w:sdt>
      <w:r w:rsidR="00E67FF7">
        <w:t xml:space="preserve"> und des Deckungsbeitrags </w:t>
      </w:r>
      <w:sdt>
        <w:sdtPr>
          <w:id w:val="1855688347"/>
          <w:citation/>
        </w:sdtPr>
        <w:sdtContent>
          <w:r w:rsidR="00E67FF7">
            <w:fldChar w:fldCharType="begin"/>
          </w:r>
          <w:r w:rsidR="00E67FF7">
            <w:instrText xml:space="preserve">CITATION Aum09 \p "S. 322" \l 1031 </w:instrText>
          </w:r>
          <w:r w:rsidR="00E67FF7">
            <w:fldChar w:fldCharType="separate"/>
          </w:r>
          <w:r w:rsidR="00E67FF7">
            <w:rPr>
              <w:noProof/>
            </w:rPr>
            <w:t>(Aumayr 2009, S. 322)</w:t>
          </w:r>
          <w:r w:rsidR="00E67FF7">
            <w:fldChar w:fldCharType="end"/>
          </w:r>
        </w:sdtContent>
      </w:sdt>
      <w:r w:rsidR="00E67FF7">
        <w:t xml:space="preserve">. </w:t>
      </w:r>
    </w:p>
    <w:p w14:paraId="3750154D" w14:textId="4A468F4B" w:rsidR="00E67FF7" w:rsidRPr="00E67FF7" w:rsidRDefault="00E67FF7" w:rsidP="00175F2D">
      <w:pPr>
        <w:rPr>
          <w:highlight w:val="yellow"/>
        </w:rPr>
      </w:pPr>
      <w:r w:rsidRPr="003A709F">
        <w:rPr>
          <w:highlight w:val="yellow"/>
        </w:rPr>
        <w:t xml:space="preserve">Deckungsbeitrag Grafik von </w:t>
      </w:r>
      <w:proofErr w:type="spellStart"/>
      <w:r w:rsidRPr="003A709F">
        <w:rPr>
          <w:highlight w:val="yellow"/>
        </w:rPr>
        <w:t>Aumayr</w:t>
      </w:r>
      <w:proofErr w:type="spellEnd"/>
      <w:r w:rsidRPr="003A709F">
        <w:rPr>
          <w:highlight w:val="yellow"/>
        </w:rPr>
        <w:t xml:space="preserve"> über Phasen? Und oder </w:t>
      </w:r>
      <w:proofErr w:type="spellStart"/>
      <w:r w:rsidRPr="003A709F">
        <w:rPr>
          <w:highlight w:val="yellow"/>
        </w:rPr>
        <w:t>Lennertz</w:t>
      </w:r>
      <w:proofErr w:type="spellEnd"/>
      <w:r w:rsidRPr="003A709F">
        <w:rPr>
          <w:highlight w:val="yellow"/>
        </w:rPr>
        <w:t xml:space="preserve"> S. 20</w:t>
      </w:r>
    </w:p>
    <w:p w14:paraId="140626A5" w14:textId="23B379B0" w:rsidR="00175F2D" w:rsidRPr="00175F2D" w:rsidRDefault="00E67FF7" w:rsidP="00175F2D">
      <w:r>
        <w:t>Daher erfordert jede einzelne Phase ihre eigenen Aktivitäten in Bezug auf das Produkt und den Markt</w:t>
      </w:r>
      <w:sdt>
        <w:sdtPr>
          <w:id w:val="691881377"/>
          <w:citation/>
        </w:sdtPr>
        <w:sdtContent>
          <w:r>
            <w:fldChar w:fldCharType="begin"/>
          </w:r>
          <w:r>
            <w:instrText xml:space="preserve">CITATION Kai04 \p "S. 61" \l 1031 </w:instrText>
          </w:r>
          <w:r>
            <w:fldChar w:fldCharType="separate"/>
          </w:r>
          <w:r>
            <w:rPr>
              <w:noProof/>
            </w:rPr>
            <w:t xml:space="preserve"> (Kairies 2004, S. 61)</w:t>
          </w:r>
          <w:r>
            <w:fldChar w:fldCharType="end"/>
          </w:r>
        </w:sdtContent>
      </w:sdt>
      <w:r>
        <w:t xml:space="preserve"> und unterliegt damit unterschiedlichen Risiken </w:t>
      </w:r>
      <w:sdt>
        <w:sdtPr>
          <w:id w:val="1023290297"/>
          <w:citation/>
        </w:sdtPr>
        <w:sdtContent>
          <w:r>
            <w:fldChar w:fldCharType="begin"/>
          </w:r>
          <w:r>
            <w:instrText xml:space="preserve">CITATION Aum09 \p "S. 323" \l 1031 </w:instrText>
          </w:r>
          <w:r>
            <w:fldChar w:fldCharType="separate"/>
          </w:r>
          <w:r>
            <w:rPr>
              <w:noProof/>
            </w:rPr>
            <w:t>(Aumayr 2009, S. 323)</w:t>
          </w:r>
          <w:r>
            <w:fldChar w:fldCharType="end"/>
          </w:r>
        </w:sdtContent>
      </w:sdt>
      <w:r>
        <w:t>. Abgeschlossen wird das K</w:t>
      </w:r>
      <w:r w:rsidR="00E04553" w:rsidRPr="00E04553">
        <w:t xml:space="preserve">apitel mit einer Zusammenfassung der Risiken und möglicherweise einer Aggregation bei </w:t>
      </w:r>
      <w:r w:rsidR="00667F58">
        <w:t xml:space="preserve">aufgefallenen </w:t>
      </w:r>
      <w:r w:rsidR="00E04553" w:rsidRPr="00E04553">
        <w:t xml:space="preserve">Ähnlichkeiten. </w:t>
      </w:r>
      <w:r>
        <w:t>Diese bilden die Voraussetzung für die Untersuchung der Release-Managementprozesse im nächsten Hauptkapitel.</w:t>
      </w:r>
      <w:r w:rsidR="00E04553" w:rsidRPr="00E04553">
        <w:t xml:space="preserve"> </w:t>
      </w:r>
    </w:p>
    <w:p w14:paraId="18A4086C" w14:textId="67E3D413" w:rsidR="005941BA" w:rsidRDefault="005941BA" w:rsidP="00E67FF7">
      <w:pPr>
        <w:pStyle w:val="berschrift2"/>
      </w:pPr>
      <w:bookmarkStart w:id="57" w:name="_Toc450314464"/>
      <w:r>
        <w:t>Entwicklung</w:t>
      </w:r>
      <w:bookmarkEnd w:id="57"/>
    </w:p>
    <w:p w14:paraId="225FDF34" w14:textId="36D9B1AC" w:rsidR="00B64583" w:rsidRPr="00B64583" w:rsidRDefault="00B64583" w:rsidP="00B64583">
      <w:r>
        <w:t>Zu Beginn der Entwicklung erfolgt die Produktplanung, welche die Marktanalyse, die Wettbewerbsanalyse, die Ideenfindung und Produktbeschreibung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Innerhalb eines Entwicklungsprojektes werden daraufhin die ersten Prototypen entwickelt und getestet</w:t>
      </w:r>
      <w:sdt>
        <w:sdtPr>
          <w:id w:val="1454909170"/>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w:t>
      </w:r>
      <w:r w:rsidR="00790754">
        <w:t xml:space="preserve"> Dabei ist eine sequentielle Arbeit</w:t>
      </w:r>
      <w:r w:rsidR="00033D5E">
        <w:t>sweise</w:t>
      </w:r>
      <w:r w:rsidR="00790754">
        <w:t xml:space="preserve"> unbedingt zu vermeiden, da sie zu späten</w:t>
      </w:r>
      <w:r w:rsidR="004D72F4">
        <w:t xml:space="preserve"> sowie teuren</w:t>
      </w:r>
      <w:r w:rsidR="00790754">
        <w:t xml:space="preserve"> Änderungsbedarfen, Qualitätseinbußen und </w:t>
      </w:r>
      <w:r w:rsidR="004D72F4">
        <w:t xml:space="preserve">zur </w:t>
      </w:r>
      <w:r w:rsidR="00790754">
        <w:t>Demotivation der beteiligten Mitarbeiter führt</w:t>
      </w:r>
      <w:sdt>
        <w:sdtPr>
          <w:id w:val="1558519526"/>
          <w:citation/>
        </w:sdtPr>
        <w:sdtContent>
          <w:r w:rsidR="00790754">
            <w:fldChar w:fldCharType="begin"/>
          </w:r>
          <w:r w:rsidR="00790754">
            <w:instrText xml:space="preserve">CITATION Kai04 \p "S. 125" \l 1031 </w:instrText>
          </w:r>
          <w:r w:rsidR="00790754">
            <w:fldChar w:fldCharType="separate"/>
          </w:r>
          <w:r w:rsidR="00790754">
            <w:rPr>
              <w:noProof/>
            </w:rPr>
            <w:t xml:space="preserve"> (Kairies 2004, S. 125)</w:t>
          </w:r>
          <w:r w:rsidR="00790754">
            <w:fldChar w:fldCharType="end"/>
          </w:r>
        </w:sdtContent>
      </w:sdt>
      <w:r w:rsidR="00790754">
        <w:t>.</w:t>
      </w:r>
      <w:r w:rsidR="00101763">
        <w:t xml:space="preserve"> </w:t>
      </w:r>
      <w:r w:rsidR="00790754">
        <w:t xml:space="preserve">Stattdessen sollte die Entwicklung von einem dedizierten Team parallel und projektbezogen </w:t>
      </w:r>
      <w:r w:rsidR="004D72F4">
        <w:t>erfolgen</w:t>
      </w:r>
      <w:r w:rsidR="008A6548">
        <w:t>, um auch geistige Mauern zu verhindern</w:t>
      </w:r>
      <w:sdt>
        <w:sdtPr>
          <w:id w:val="-1543360623"/>
          <w:citation/>
        </w:sdtPr>
        <w:sdtContent>
          <w:r w:rsidR="004D72F4">
            <w:fldChar w:fldCharType="begin"/>
          </w:r>
          <w:r w:rsidR="008A6548">
            <w:instrText xml:space="preserve">CITATION Kai04 \p "S. 123 f." \l 1031 </w:instrText>
          </w:r>
          <w:r w:rsidR="004D72F4">
            <w:fldChar w:fldCharType="separate"/>
          </w:r>
          <w:r w:rsidR="008A6548">
            <w:rPr>
              <w:noProof/>
            </w:rPr>
            <w:t xml:space="preserve"> (Kairies 2004, S. 123 f.)</w:t>
          </w:r>
          <w:r w:rsidR="004D72F4">
            <w:fldChar w:fldCharType="end"/>
          </w:r>
        </w:sdtContent>
      </w:sdt>
      <w:r w:rsidR="004D72F4">
        <w:t>. Wichtig für den zukünftigen Erfolg ist eine hohe Produktqualität, welche die Grundlage für Verkaufbarkeit und Kundenzufriedenheit ist und durch eine prüfgerechte Produktentwicklung erreicht wird</w:t>
      </w:r>
      <w:sdt>
        <w:sdtPr>
          <w:id w:val="717091026"/>
          <w:citation/>
        </w:sdtPr>
        <w:sdtContent>
          <w:r w:rsidR="004D72F4">
            <w:fldChar w:fldCharType="begin"/>
          </w:r>
          <w:r w:rsidR="004D72F4">
            <w:instrText xml:space="preserve">CITATION Kai04 \p "S. 9, 127, 131" \l 1031 </w:instrText>
          </w:r>
          <w:r w:rsidR="004D72F4">
            <w:fldChar w:fldCharType="separate"/>
          </w:r>
          <w:r w:rsidR="004D72F4">
            <w:rPr>
              <w:noProof/>
            </w:rPr>
            <w:t xml:space="preserve"> (Kairies 2004, S. 9, 127, 131)</w:t>
          </w:r>
          <w:r w:rsidR="004D72F4">
            <w:fldChar w:fldCharType="end"/>
          </w:r>
        </w:sdtContent>
      </w:sdt>
      <w:r w:rsidR="004D72F4">
        <w:t xml:space="preserve">. </w:t>
      </w:r>
      <w:r w:rsidR="001F4B9C">
        <w:t xml:space="preserve">Daher erfolgt vor der Übergabe an die Serienfertigung der </w:t>
      </w:r>
      <w:r w:rsidR="00790754">
        <w:t>Test der Prototypen durch potenzielle Kunden</w:t>
      </w:r>
      <w:r w:rsidR="00101763">
        <w:t xml:space="preserve"> </w:t>
      </w:r>
      <w:sdt>
        <w:sdtPr>
          <w:id w:val="269278503"/>
          <w:citation/>
        </w:sdtPr>
        <w:sdtContent>
          <w:r w:rsidR="00101763">
            <w:fldChar w:fldCharType="begin"/>
          </w:r>
          <w:r w:rsidR="00101763">
            <w:instrText xml:space="preserve">CITATION Len06 \p "S. 19" \l 1031 </w:instrText>
          </w:r>
          <w:r w:rsidR="00101763">
            <w:fldChar w:fldCharType="separate"/>
          </w:r>
          <w:r w:rsidR="00101763">
            <w:rPr>
              <w:noProof/>
            </w:rPr>
            <w:t>(Lennertz 2006, S. 19)</w:t>
          </w:r>
          <w:r w:rsidR="00101763">
            <w:fldChar w:fldCharType="end"/>
          </w:r>
        </w:sdtContent>
      </w:sdt>
      <w:r w:rsidR="00790754">
        <w:t xml:space="preserve">. </w:t>
      </w:r>
      <w:r w:rsidR="00101763">
        <w:t xml:space="preserve">Parallel </w:t>
      </w:r>
      <w:r w:rsidR="00790754">
        <w:t>zur Fertigung</w:t>
      </w:r>
      <w:r w:rsidR="00101763">
        <w:t xml:space="preserve"> erfolgt die Vorbereitung </w:t>
      </w:r>
      <w:r w:rsidR="00790754">
        <w:t>für die</w:t>
      </w:r>
      <w:r w:rsidR="00101763">
        <w:t xml:space="preserve"> Markteinführung </w:t>
      </w:r>
      <w:sdt>
        <w:sdtPr>
          <w:id w:val="-1911375693"/>
          <w:citation/>
        </w:sdtPr>
        <w:sdtContent>
          <w:r w:rsidR="00101763">
            <w:fldChar w:fldCharType="begin"/>
          </w:r>
          <w:r w:rsidR="00FD52FE">
            <w:instrText xml:space="preserve">CITATION Len06 \p "S. 19" \m Aum09 \p "S. 331 f." \l 1031 </w:instrText>
          </w:r>
          <w:r w:rsidR="00101763">
            <w:fldChar w:fldCharType="separate"/>
          </w:r>
          <w:r w:rsidR="00FD52FE">
            <w:rPr>
              <w:noProof/>
            </w:rPr>
            <w:t>(Lennertz 2006, S. 19, Aumayr 2009, S. 331 f.)</w:t>
          </w:r>
          <w:r w:rsidR="00101763">
            <w:fldChar w:fldCharType="end"/>
          </w:r>
        </w:sdtContent>
      </w:sdt>
      <w:r w:rsidR="00101763">
        <w:t>.</w:t>
      </w:r>
      <w:r w:rsidR="00D3072A">
        <w:t xml:space="preserve"> Dies bedeutet vor allem umfangreiche Kommunikationsmaßnahmen, nach außen und innen, damit auch innerhalb des Unternehmens die Akzeptanz für das Produkt sichergestellt wird</w:t>
      </w:r>
      <w:sdt>
        <w:sdtPr>
          <w:id w:val="639998414"/>
          <w:citation/>
        </w:sdt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proofErr w:type="spellStart"/>
      <w:r w:rsidR="00AF1721">
        <w:rPr>
          <w:i/>
        </w:rPr>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D3072A">
            <w:fldChar w:fldCharType="begin"/>
          </w:r>
          <w:r w:rsidR="00D3072A">
            <w:instrText xml:space="preserve">CITATION Aum09 \p "S. 323" \l 1031 </w:instrText>
          </w:r>
          <w:r w:rsidR="00D3072A">
            <w:fldChar w:fldCharType="separate"/>
          </w:r>
          <w:r w:rsidR="00D3072A">
            <w:rPr>
              <w:noProof/>
            </w:rPr>
            <w:t>(Aumayr 2009, S. 323)</w:t>
          </w:r>
          <w:r w:rsidR="00D3072A">
            <w:fldChar w:fldCharType="end"/>
          </w:r>
        </w:sdtContent>
      </w:sdt>
      <w:r w:rsidR="00D3072A">
        <w:t xml:space="preserve"> bezeichnet diesen Ab</w:t>
      </w:r>
      <w:r w:rsidR="00D3072A">
        <w:lastRenderedPageBreak/>
        <w:t xml:space="preserve">lauf als Innovationsprozess. Entscheidend ist dabei die Flexibilität um auf unerwartete Entwicklungen reagieren zu können, da die Markt- und Wettbewerbssituation, vor allem bei Innovationen, mit einer hohen Unsicherheit verbunden ist </w:t>
      </w:r>
      <w:sdt>
        <w:sdtPr>
          <w:id w:val="1158193512"/>
          <w:citation/>
        </w:sdtPr>
        <w:sdtContent>
          <w:r w:rsidR="00D3072A">
            <w:fldChar w:fldCharType="begin"/>
          </w:r>
          <w:r w:rsidR="001F4B9C">
            <w:instrText xml:space="preserve">CITATION Aum09 \p "S. 323" \m Pic14 \p "S. 39" \l 1031 </w:instrText>
          </w:r>
          <w:r w:rsidR="00D3072A">
            <w:fldChar w:fldCharType="separate"/>
          </w:r>
          <w:r w:rsidR="001F4B9C">
            <w:rPr>
              <w:noProof/>
            </w:rPr>
            <w:t>(Aumayr 2009, S. 323, Pichler 2014, S. 39)</w:t>
          </w:r>
          <w:r w:rsidR="00D3072A">
            <w:fldChar w:fldCharType="end"/>
          </w:r>
        </w:sdtContent>
      </w:sdt>
      <w:r w:rsidR="00D3072A">
        <w:t>.</w:t>
      </w:r>
      <w:r w:rsidR="006E40DD">
        <w:t xml:space="preserve"> </w:t>
      </w:r>
      <w:r w:rsidR="0031173A">
        <w:t>Dieser Unsicherheit entsteht vor allem durch einen Wissensmangel, welcher bei einer Innovation aber unvermeidlich ist</w:t>
      </w:r>
      <w:sdt>
        <w:sdtPr>
          <w:id w:val="776989568"/>
          <w:citation/>
        </w:sdtPr>
        <w:sdtContent>
          <w:r w:rsidR="0031173A">
            <w:fldChar w:fldCharType="begin"/>
          </w:r>
          <w:r w:rsidR="0031173A">
            <w:instrText xml:space="preserve">CITATION Pic14 \p "S. 64" \l 1031 </w:instrText>
          </w:r>
          <w:r w:rsidR="0031173A">
            <w:fldChar w:fldCharType="separate"/>
          </w:r>
          <w:r w:rsidR="0031173A">
            <w:rPr>
              <w:noProof/>
            </w:rPr>
            <w:t xml:space="preserve"> (Pichler 2014, S. 64)</w:t>
          </w:r>
          <w:r w:rsidR="0031173A">
            <w:fldChar w:fldCharType="end"/>
          </w:r>
        </w:sdtContent>
      </w:sdt>
      <w:r w:rsidR="0031173A">
        <w:t xml:space="preserve">. </w:t>
      </w:r>
      <w:r w:rsidR="001F4B9C">
        <w:t xml:space="preserve">Aufgrund der empirischen Herangehensweise </w:t>
      </w:r>
      <w:r w:rsidR="0031173A">
        <w:t xml:space="preserve">und der Ermöglichung des schnellen Kundenfeedbacks </w:t>
      </w:r>
      <w:r w:rsidR="001F4B9C">
        <w:t xml:space="preserve">eignet sich daher </w:t>
      </w:r>
      <w:proofErr w:type="spellStart"/>
      <w:r w:rsidR="001F4B9C">
        <w:t>Scrum</w:t>
      </w:r>
      <w:proofErr w:type="spellEnd"/>
      <w:r w:rsidR="001F4B9C">
        <w:t xml:space="preserve"> als Projektvorgehen für IT-Produkte bzw. -Produktanteile besonders gut</w:t>
      </w:r>
      <w:r w:rsidR="0031173A">
        <w:t>, da es effektiv Risiken reduziert</w:t>
      </w:r>
      <w:sdt>
        <w:sdtPr>
          <w:id w:val="-539444019"/>
          <w:citation/>
        </w:sdt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der </w:t>
      </w:r>
      <w:proofErr w:type="spellStart"/>
      <w:r w:rsidR="006D3D99">
        <w:t>Scrum</w:t>
      </w:r>
      <w:proofErr w:type="spellEnd"/>
      <w:r w:rsidR="006D3D99">
        <w:t>-Aspekt des minimalen Produkts führt in dieser Situation zum größten Erfolg, da es aufgrund der Fokussierung auf Kernfunktionen günstiger und schneller erstellt sowie angepasst werden kann</w:t>
      </w:r>
      <w:sdt>
        <w:sdtPr>
          <w:id w:val="484285476"/>
          <w:citation/>
        </w:sdtPr>
        <w:sdtContent>
          <w:r w:rsidR="006D3D99">
            <w:fldChar w:fldCharType="begin"/>
          </w:r>
          <w:r w:rsidR="006D3D99">
            <w:instrText xml:space="preserve">CITATION Pic14 \p "S. 39" \l 1031 </w:instrText>
          </w:r>
          <w:r w:rsidR="006D3D99">
            <w:fldChar w:fldCharType="separate"/>
          </w:r>
          <w:r w:rsidR="006D3D99">
            <w:rPr>
              <w:noProof/>
            </w:rPr>
            <w:t xml:space="preserve"> (Pichler 2014, S. 39)</w:t>
          </w:r>
          <w:r w:rsidR="006D3D99">
            <w:fldChar w:fldCharType="end"/>
          </w:r>
        </w:sdtContent>
      </w:sdt>
      <w:r w:rsidR="006D3D99">
        <w:t>.</w:t>
      </w:r>
      <w:r w:rsidR="001F4B9C">
        <w:t xml:space="preserve"> </w:t>
      </w:r>
      <w:r w:rsidR="006E40DD">
        <w:t xml:space="preserve">Die Erfolgswahrscheinlichkeit </w:t>
      </w:r>
      <w:r w:rsidR="00DD0042">
        <w:t xml:space="preserve">für ein Produkt </w:t>
      </w:r>
      <w:r w:rsidR="006E40DD">
        <w:t>steigt mit der Anzahl der gesammelten Ideen, da nur ca. 9% davon als Produkt verwirklicht werden und diese zu knapp 70% scheitern und nur zu ca. 6%</w:t>
      </w:r>
      <w:r w:rsidR="00DD0042">
        <w:t xml:space="preserve"> richtig</w:t>
      </w:r>
      <w:r w:rsidR="006E40DD">
        <w:t xml:space="preserve"> erfolgreich werden</w:t>
      </w:r>
      <w:sdt>
        <w:sdtPr>
          <w:id w:val="128138837"/>
          <w:citation/>
        </w:sdtPr>
        <w:sdtContent>
          <w:r w:rsidR="006E40DD">
            <w:fldChar w:fldCharType="begin"/>
          </w:r>
          <w:r w:rsidR="006E40DD">
            <w:instrText xml:space="preserve">CITATION Aum09 \p "S. 326" \l 1031 </w:instrText>
          </w:r>
          <w:r w:rsidR="006E40DD">
            <w:fldChar w:fldCharType="separate"/>
          </w:r>
          <w:r w:rsidR="006E40DD">
            <w:rPr>
              <w:noProof/>
            </w:rPr>
            <w:t xml:space="preserve"> (Aumayr 2009, S. 326)</w:t>
          </w:r>
          <w:r w:rsidR="006E40DD">
            <w:fldChar w:fldCharType="end"/>
          </w:r>
        </w:sdtContent>
      </w:sdt>
      <w:r w:rsidR="00DD0042">
        <w:t>. Die w</w:t>
      </w:r>
      <w:r w:rsidR="006E40DD">
        <w:t>ichtigste</w:t>
      </w:r>
      <w:r w:rsidR="00DD0042">
        <w:t>n</w:t>
      </w:r>
      <w:r w:rsidR="006E40DD">
        <w:t xml:space="preserve"> Aspekt</w:t>
      </w:r>
      <w:r w:rsidR="00DD0042">
        <w:t>e sind</w:t>
      </w:r>
      <w:r w:rsidR="006E40DD">
        <w:t xml:space="preserve"> jedoch nach wie vor die Time </w:t>
      </w:r>
      <w:proofErr w:type="spellStart"/>
      <w:r w:rsidR="006E40DD">
        <w:t>to</w:t>
      </w:r>
      <w:proofErr w:type="spellEnd"/>
      <w:r w:rsidR="006E40DD">
        <w:t xml:space="preserve"> Market sowie der richtige Zeitpunkt der Veröffentlichung (vgl. Kapitel </w:t>
      </w:r>
      <w:r w:rsidR="006E40DD">
        <w:fldChar w:fldCharType="begin"/>
      </w:r>
      <w:r w:rsidR="006E40DD">
        <w:instrText xml:space="preserve"> REF _Ref445029358 \r \h </w:instrText>
      </w:r>
      <w:r w:rsidR="006E40DD">
        <w:fldChar w:fldCharType="separate"/>
      </w:r>
      <w:r w:rsidR="006E40DD">
        <w:t>2.1</w:t>
      </w:r>
      <w:r w:rsidR="006E40DD">
        <w:fldChar w:fldCharType="end"/>
      </w:r>
      <w:r w:rsidR="006E40DD">
        <w:t>).</w:t>
      </w:r>
      <w:r w:rsidR="0031173A">
        <w:t xml:space="preserve"> Um den richtigen Zeitpunkt festzahlten, eignet sich eine Release</w:t>
      </w:r>
      <w:r w:rsidR="00E5365C">
        <w:t>-P</w:t>
      </w:r>
      <w:r w:rsidR="0031173A">
        <w:t>lanung, welche außerdem noch ein gewisses Budgetziel und einen Funktionsumfang definiert</w:t>
      </w:r>
      <w:sdt>
        <w:sdtPr>
          <w:id w:val="-1397346552"/>
          <w:citation/>
        </w:sdtPr>
        <w:sdtContent>
          <w:r w:rsidR="0031173A">
            <w:fldChar w:fldCharType="begin"/>
          </w:r>
          <w:r w:rsidR="0031173A">
            <w:instrText xml:space="preserve">CITATION Pic14 \p "S. 88" \l 1031 </w:instrText>
          </w:r>
          <w:r w:rsidR="0031173A">
            <w:fldChar w:fldCharType="separate"/>
          </w:r>
          <w:r w:rsidR="0031173A">
            <w:rPr>
              <w:noProof/>
            </w:rPr>
            <w:t xml:space="preserve"> (Pichler 2014, S. 88)</w:t>
          </w:r>
          <w:r w:rsidR="0031173A">
            <w:fldChar w:fldCharType="end"/>
          </w:r>
        </w:sdtContent>
      </w:sdt>
      <w:r w:rsidR="0031173A">
        <w:t>. Entscheidend ist dabei, dass weder die Zeit noch die Qualität flexibel sind, sondern nur der Funktionsumfang</w:t>
      </w:r>
      <w:sdt>
        <w:sdtPr>
          <w:id w:val="1119111644"/>
          <w:citation/>
        </w:sdtPr>
        <w:sdtContent>
          <w:r w:rsidR="0031173A">
            <w:fldChar w:fldCharType="begin"/>
          </w:r>
          <w:r w:rsidR="0031173A">
            <w:instrText xml:space="preserve">CITATION Pic14 \p "S. 88" \l 1031 </w:instrText>
          </w:r>
          <w:r w:rsidR="0031173A">
            <w:fldChar w:fldCharType="separate"/>
          </w:r>
          <w:r w:rsidR="0031173A">
            <w:rPr>
              <w:noProof/>
            </w:rPr>
            <w:t xml:space="preserve"> (Pichler 2014, S. 88)</w:t>
          </w:r>
          <w:r w:rsidR="0031173A">
            <w:fldChar w:fldCharType="end"/>
          </w:r>
        </w:sdtContent>
      </w:sdt>
      <w:r w:rsidR="0031173A">
        <w:t>. Denn ohne eine hohe Qualität ist ein schnelle</w:t>
      </w:r>
      <w:r w:rsidR="00E5365C">
        <w:t>s und regelmäßiges a</w:t>
      </w:r>
      <w:r w:rsidR="0031173A">
        <w:t>usliefern</w:t>
      </w:r>
      <w:r w:rsidR="00E5365C">
        <w:t xml:space="preserve"> von Releases</w:t>
      </w:r>
      <w:r w:rsidR="0031173A">
        <w:t xml:space="preserve"> nicht effektiv</w:t>
      </w:r>
      <w:sdt>
        <w:sdtPr>
          <w:id w:val="2080640896"/>
          <w:citation/>
        </w:sdt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regelmäßigen Ausliefern wäre ein sogenanntes Big-Bang-Release, d. h. viel Funktionalität auf einmal, welches hohe Kosten sowie eine lange Projektlaufzeit und damit ein hohes Investitionsrisiko bedeutet </w:t>
      </w:r>
      <w:sdt>
        <w:sdtPr>
          <w:id w:val="676466588"/>
          <w:citation/>
        </w:sdtPr>
        <w:sdtContent>
          <w:r w:rsidR="00E5365C">
            <w:fldChar w:fldCharType="begin"/>
          </w:r>
          <w:r w:rsidR="00E5365C">
            <w:instrText xml:space="preserve">CITATION Pic14 \p "S. 107" \l 1031 </w:instrText>
          </w:r>
          <w:r w:rsidR="00E5365C">
            <w:fldChar w:fldCharType="separate"/>
          </w:r>
          <w:r w:rsidR="00E5365C">
            <w:rPr>
              <w:noProof/>
            </w:rPr>
            <w:t>(Pichler 2014, S. 107)</w:t>
          </w:r>
          <w:r w:rsidR="00E5365C">
            <w:fldChar w:fldCharType="end"/>
          </w:r>
        </w:sdtContent>
      </w:sdt>
      <w:r w:rsidR="00E5365C">
        <w:t>.</w:t>
      </w:r>
    </w:p>
    <w:p w14:paraId="1753A01F" w14:textId="5507701D" w:rsidR="00461FAA" w:rsidRDefault="00461FAA" w:rsidP="00E67FF7">
      <w:pPr>
        <w:pStyle w:val="berschrift2"/>
      </w:pPr>
      <w:bookmarkStart w:id="58" w:name="_Toc450314465"/>
      <w:r>
        <w:t>Einführung</w:t>
      </w:r>
      <w:bookmarkEnd w:id="58"/>
    </w:p>
    <w:p w14:paraId="513C6AF3" w14:textId="19664F97" w:rsidR="0077677F" w:rsidRPr="0077677F" w:rsidRDefault="00B64583" w:rsidP="0077677F">
      <w:r>
        <w:t>In dieser Lebenszyklusphase erfolgt</w:t>
      </w:r>
      <w:r w:rsidR="002B0861">
        <w:t xml:space="preserve"> der Markteintritt des Produkts und somit der eigentliche Lebenszyklus </w:t>
      </w:r>
      <w:sdt>
        <w:sdtPr>
          <w:id w:val="886916588"/>
          <w:citation/>
        </w:sdt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Ziele dieser Phase sind vor allem die Bekanntmachung auf dem Markt</w:t>
      </w:r>
      <w:r w:rsidR="001974AD">
        <w:t xml:space="preserve">, </w:t>
      </w:r>
      <w:r w:rsidR="00021C04">
        <w:t xml:space="preserve">die </w:t>
      </w:r>
      <w:r w:rsidR="001974AD">
        <w:t>Referenzkundengewinnung</w:t>
      </w:r>
      <w:r>
        <w:t xml:space="preserve"> sowie die Beseitigung von Fehlern</w:t>
      </w:r>
      <w:sdt>
        <w:sdtPr>
          <w:id w:val="2124264449"/>
          <w:citation/>
        </w:sdtPr>
        <w:sdtContent>
          <w:r>
            <w:fldChar w:fldCharType="begin"/>
          </w:r>
          <w:r w:rsidR="001974AD">
            <w:instrText xml:space="preserve">CITATION Kai04 \p "S. 62" \m Aum09 \p "S. 304 f." \l 1031 </w:instrText>
          </w:r>
          <w:r>
            <w:fldChar w:fldCharType="separate"/>
          </w:r>
          <w:r w:rsidR="001974AD">
            <w:rPr>
              <w:noProof/>
            </w:rPr>
            <w:t xml:space="preserve"> (Kairies 2004, S. 62, Aumayr 2009, S. 304 f.)</w:t>
          </w:r>
          <w:r>
            <w:fldChar w:fldCharType="end"/>
          </w:r>
        </w:sdtContent>
      </w:sdt>
      <w:r>
        <w:t>.</w:t>
      </w:r>
      <w:r w:rsidR="002B0861">
        <w:t xml:space="preserve"> Aufgrund der hohen Einführungskosten und des typischerweise geringen Absatz, ist der Deckungsbeitrag in dieser Phase gering oder negativ</w:t>
      </w:r>
      <w:sdt>
        <w:sdtPr>
          <w:id w:val="-321962978"/>
          <w:citation/>
        </w:sdt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1974AD">
        <w:t>Kundenzielgruppe sind die Innovatoren, welche aufgrund des hohen Betreuungsbedarfs durch den Vertrieb kostenintensiv sind</w:t>
      </w:r>
      <w:sdt>
        <w:sdtPr>
          <w:id w:val="1747371355"/>
          <w:citation/>
        </w:sdt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Anhand deren Adoption</w:t>
      </w:r>
      <w:r w:rsidR="002B0861">
        <w:t xml:space="preserve"> entscheidet sich die zukünftige Entwicklung des Produkts auf dem Markt</w:t>
      </w:r>
      <w:r w:rsidR="001974AD">
        <w:t>, da die große Mehrheit diesen Referenzen folgt und es somit ent</w:t>
      </w:r>
      <w:r w:rsidR="001974AD">
        <w:lastRenderedPageBreak/>
        <w:t>weder</w:t>
      </w:r>
      <w:r w:rsidR="002B0861">
        <w:t xml:space="preserve"> angenommen oder ein Flop</w:t>
      </w:r>
      <w:r w:rsidR="001974AD">
        <w:t xml:space="preserve"> wird</w:t>
      </w:r>
      <w:sdt>
        <w:sdtPr>
          <w:id w:val="519051795"/>
          <w:citation/>
        </w:sdt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Um das Feedback der Kunden so zeitig wie möglich zu erhalten und entsprechend reagieren zu können, ist analog der der Entwicklungsphase eine hohe Flexibilität nötig</w:t>
      </w:r>
      <w:sdt>
        <w:sdtPr>
          <w:id w:val="-1032268117"/>
          <w:citation/>
        </w:sdt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xml:space="preserve">. Besonders hervorzuheben ist hierbei die Rolle der Prozesse, Dienste und Werkzeuge die für die schnelle Freigabe von neuen Versionen (Releases) notwendig sind </w:t>
      </w:r>
      <w:sdt>
        <w:sdtPr>
          <w:id w:val="-1824422974"/>
          <w:citation/>
        </w:sdt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1974AD">
        <w:t>Typischerweise herrscht in dieser Phase auch kein großer Konkurrenzdruck</w:t>
      </w:r>
      <w:sdt>
        <w:sdtPr>
          <w:id w:val="-1624066719"/>
          <w:citation/>
        </w:sdt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Dies ist allerdings auch abhängig vom Marktlebenszyklus, welcher den Lebenszyklus der gesamten Produktgruppe auf dem Markt darstellt und demnach vom Stadium des einzelnen Produkts abweichen kann</w:t>
      </w:r>
      <w:sdt>
        <w:sdtPr>
          <w:id w:val="229976954"/>
          <w:citation/>
        </w:sdt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13257C">
        <w:t xml:space="preserve"> Die Produkteinführungsphase endet bei Erreichung des 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xml:space="preserve">), d. h. wenn die Erlöse die Kosten übersteigen </w:t>
      </w:r>
      <w:sdt>
        <w:sdtPr>
          <w:id w:val="781925154"/>
          <w:citation/>
        </w:sdt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p>
    <w:p w14:paraId="54892F99" w14:textId="4C99463E" w:rsidR="004A2561" w:rsidRPr="00B64583" w:rsidRDefault="004A2561" w:rsidP="00E8229F">
      <w:pPr>
        <w:rPr>
          <w:highlight w:val="yellow"/>
        </w:rPr>
      </w:pPr>
      <w:r w:rsidRPr="00B64583">
        <w:rPr>
          <w:highlight w:val="yellow"/>
        </w:rPr>
        <w:t xml:space="preserve">„85% der Produktlebens- und Entsorgungskosten entstehen in Produktentstehungsphase“ </w:t>
      </w:r>
      <w:sdt>
        <w:sdtPr>
          <w:rPr>
            <w:highlight w:val="yellow"/>
          </w:rPr>
          <w:id w:val="291486828"/>
          <w:citation/>
        </w:sdtPr>
        <w:sdtContent>
          <w:r w:rsidRPr="00B64583">
            <w:rPr>
              <w:highlight w:val="yellow"/>
            </w:rPr>
            <w:fldChar w:fldCharType="begin"/>
          </w:r>
          <w:r w:rsidRPr="00B64583">
            <w:rPr>
              <w:highlight w:val="yellow"/>
            </w:rPr>
            <w:instrText xml:space="preserve">CITATION Len06 \p "S. 7" \l 1031 </w:instrText>
          </w:r>
          <w:r w:rsidRPr="00B64583">
            <w:rPr>
              <w:highlight w:val="yellow"/>
            </w:rPr>
            <w:fldChar w:fldCharType="separate"/>
          </w:r>
          <w:r w:rsidRPr="00B64583">
            <w:rPr>
              <w:noProof/>
              <w:highlight w:val="yellow"/>
            </w:rPr>
            <w:t>(Lennertz 2006, S. 7)</w:t>
          </w:r>
          <w:r w:rsidRPr="00B64583">
            <w:rPr>
              <w:highlight w:val="yellow"/>
            </w:rPr>
            <w:fldChar w:fldCharType="end"/>
          </w:r>
        </w:sdtContent>
      </w:sdt>
    </w:p>
    <w:p w14:paraId="7B5A430E" w14:textId="26D0A1F1" w:rsidR="00E8229F" w:rsidRPr="00B64583" w:rsidRDefault="00E8229F" w:rsidP="00E8229F">
      <w:pPr>
        <w:rPr>
          <w:highlight w:val="yellow"/>
        </w:rPr>
      </w:pPr>
      <w:r w:rsidRPr="00B64583">
        <w:rPr>
          <w:highlight w:val="yellow"/>
        </w:rPr>
        <w:t>Risiko: zu spät</w:t>
      </w:r>
    </w:p>
    <w:p w14:paraId="5FAE1856" w14:textId="5653479E" w:rsidR="00E8229F" w:rsidRPr="00B64583" w:rsidRDefault="00E8229F" w:rsidP="00E8229F">
      <w:pPr>
        <w:rPr>
          <w:highlight w:val="yellow"/>
        </w:rPr>
      </w:pPr>
      <w:r w:rsidRPr="00B64583">
        <w:rPr>
          <w:highlight w:val="yellow"/>
        </w:rPr>
        <w:t xml:space="preserve">Risiko: zu teuer -&gt; </w:t>
      </w:r>
      <w:proofErr w:type="spellStart"/>
      <w:r w:rsidRPr="00B64583">
        <w:rPr>
          <w:highlight w:val="yellow"/>
        </w:rPr>
        <w:t>minimum</w:t>
      </w:r>
      <w:proofErr w:type="spellEnd"/>
      <w:r w:rsidRPr="00B64583">
        <w:rPr>
          <w:highlight w:val="yellow"/>
        </w:rPr>
        <w:t xml:space="preserve"> </w:t>
      </w:r>
      <w:proofErr w:type="spellStart"/>
      <w:r w:rsidRPr="00B64583">
        <w:rPr>
          <w:highlight w:val="yellow"/>
        </w:rPr>
        <w:t>viable</w:t>
      </w:r>
      <w:proofErr w:type="spellEnd"/>
      <w:r w:rsidRPr="00B64583">
        <w:rPr>
          <w:highlight w:val="yellow"/>
        </w:rPr>
        <w:t xml:space="preserve"> </w:t>
      </w:r>
      <w:proofErr w:type="spellStart"/>
      <w:r w:rsidRPr="00B64583">
        <w:rPr>
          <w:highlight w:val="yellow"/>
        </w:rPr>
        <w:t>product</w:t>
      </w:r>
      <w:proofErr w:type="spellEnd"/>
    </w:p>
    <w:p w14:paraId="50CB6AE5" w14:textId="2CE170B8" w:rsidR="00E8229F" w:rsidRPr="00E8229F" w:rsidRDefault="00E8229F" w:rsidP="00E8229F">
      <w:r w:rsidRPr="00B64583">
        <w:rPr>
          <w:highlight w:val="yellow"/>
        </w:rPr>
        <w:t xml:space="preserve">Risiko: das falsche -&gt; A/B </w:t>
      </w:r>
      <w:proofErr w:type="spellStart"/>
      <w:r w:rsidRPr="00B64583">
        <w:rPr>
          <w:highlight w:val="yellow"/>
        </w:rPr>
        <w:t>Testing</w:t>
      </w:r>
      <w:proofErr w:type="spellEnd"/>
      <w:r w:rsidRPr="00B64583">
        <w:rPr>
          <w:highlight w:val="yellow"/>
        </w:rPr>
        <w:t>, schneller Feedbackzyklus</w:t>
      </w:r>
    </w:p>
    <w:p w14:paraId="7E3271D7" w14:textId="305F59DE" w:rsidR="00461FAA" w:rsidRDefault="00461FAA" w:rsidP="00E67FF7">
      <w:pPr>
        <w:pStyle w:val="berschrift2"/>
      </w:pPr>
      <w:bookmarkStart w:id="59" w:name="_Toc450314466"/>
      <w:r>
        <w:t>Wachstum</w:t>
      </w:r>
      <w:bookmarkEnd w:id="59"/>
    </w:p>
    <w:p w14:paraId="617E76E6" w14:textId="075019E9" w:rsidR="002B0861" w:rsidRP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daran, da</w:t>
      </w:r>
      <w:r w:rsidR="0081285F">
        <w:t>ss</w:t>
      </w:r>
      <w:r w:rsidR="00496AA8">
        <w:t xml:space="preserve"> die Aufbaukosten geringer als die Einführungskosten sind und neben den Innovatoren auch die frühe Mehrheit als Kundengruppe gewonnen werden kann</w:t>
      </w:r>
      <w:sdt>
        <w:sdtPr>
          <w:id w:val="-886112623"/>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81285F">
        <w:t xml:space="preserve">Die Aufbaukosten fallen an, da in dieser Phase die Ergänzung und Modifikation des Produkts sowie die Veröffentlichungen von unterschiedlichen Produktoptionen </w:t>
      </w:r>
      <w:r w:rsidR="00F74F2B">
        <w:t>notwendig wird, um das Z</w:t>
      </w:r>
      <w:r w:rsidR="0081285F">
        <w:t>iel der Marktanteilgewinnung zu erreichen</w:t>
      </w:r>
      <w:sdt>
        <w:sdtPr>
          <w:id w:val="1292715724"/>
          <w:citation/>
        </w:sdt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der Wettbewerbsdruck entsprechend</w:t>
      </w:r>
      <w:sdt>
        <w:sdtPr>
          <w:id w:val="-32952881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81285F">
        <w:t>Am Ende der Phase sollten die Voraussetzungen für</w:t>
      </w:r>
      <w:r w:rsidR="00F74F2B">
        <w:t xml:space="preserve"> ein Nachfolgeprodukt geschaffen sein</w:t>
      </w:r>
      <w:sdt>
        <w:sdtPr>
          <w:id w:val="1510791048"/>
          <w:citation/>
        </w:sdtPr>
        <w:sdtContent>
          <w:r w:rsidR="00F74F2B">
            <w:fldChar w:fldCharType="begin"/>
          </w:r>
          <w:r w:rsidR="00F74F2B">
            <w:instrText xml:space="preserve">CITATION Kai04 \p "S. 62" \l 1031 </w:instrText>
          </w:r>
          <w:r w:rsidR="00F74F2B">
            <w:fldChar w:fldCharType="separate"/>
          </w:r>
          <w:r w:rsidR="00F74F2B">
            <w:rPr>
              <w:noProof/>
            </w:rPr>
            <w:t xml:space="preserve"> (Kairies 2004, S. 62)</w:t>
          </w:r>
          <w:r w:rsidR="00F74F2B">
            <w:fldChar w:fldCharType="end"/>
          </w:r>
        </w:sdtContent>
      </w:sdt>
      <w:r w:rsidR="00090467">
        <w:t xml:space="preserve">, da das Umsatzwachstum seinen Höhepunkt hat </w:t>
      </w:r>
      <w:sdt>
        <w:sdtPr>
          <w:id w:val="-1724506621"/>
          <w:citation/>
        </w:sdtPr>
        <w:sdtContent>
          <w:r w:rsidR="00090467">
            <w:fldChar w:fldCharType="begin"/>
          </w:r>
          <w:r w:rsidR="00090467">
            <w:instrText xml:space="preserve">CITATION Len06 \p "S. 20" \l 1031 </w:instrText>
          </w:r>
          <w:r w:rsidR="00090467">
            <w:fldChar w:fldCharType="separate"/>
          </w:r>
          <w:r w:rsidR="00090467">
            <w:rPr>
              <w:noProof/>
            </w:rPr>
            <w:t>(Lennertz 2006, S. 20)</w:t>
          </w:r>
          <w:r w:rsidR="00090467">
            <w:fldChar w:fldCharType="end"/>
          </w:r>
        </w:sdtContent>
      </w:sdt>
      <w:r w:rsidR="00F74F2B">
        <w:t>.</w:t>
      </w:r>
    </w:p>
    <w:p w14:paraId="6B95A6EF" w14:textId="06286089" w:rsidR="00BC71A2" w:rsidRPr="002B0861" w:rsidRDefault="00BC71A2" w:rsidP="00BC71A2">
      <w:pPr>
        <w:rPr>
          <w:highlight w:val="yellow"/>
        </w:rPr>
      </w:pPr>
      <w:r w:rsidRPr="002B0861">
        <w:rPr>
          <w:highlight w:val="yellow"/>
        </w:rPr>
        <w:t>Risiko: Anpassung zu langsam</w:t>
      </w:r>
    </w:p>
    <w:p w14:paraId="67320CF7" w14:textId="48EBC3E6" w:rsidR="00BC71A2" w:rsidRPr="00BC71A2" w:rsidRDefault="00BC71A2" w:rsidP="00BC71A2">
      <w:r w:rsidRPr="002B0861">
        <w:rPr>
          <w:highlight w:val="yellow"/>
        </w:rPr>
        <w:t>Generell ähnlich zu Einführung</w:t>
      </w:r>
    </w:p>
    <w:p w14:paraId="534DD47A" w14:textId="3B30F4AB" w:rsidR="00461FAA" w:rsidRDefault="00921A03" w:rsidP="00E67FF7">
      <w:pPr>
        <w:pStyle w:val="berschrift2"/>
      </w:pPr>
      <w:bookmarkStart w:id="60" w:name="_Toc450314467"/>
      <w:r>
        <w:lastRenderedPageBreak/>
        <w:t>Reife</w:t>
      </w:r>
      <w:bookmarkEnd w:id="60"/>
    </w:p>
    <w:p w14:paraId="565008ED" w14:textId="444F59DD" w:rsidR="00A95269" w:rsidRPr="00A95269" w:rsidRDefault="00A95269" w:rsidP="00A95269">
      <w:r>
        <w:t xml:space="preserve">Die Reife zeigt sich durch die zunehmende Marktsättigung und damit über </w:t>
      </w:r>
      <w:r w:rsidR="00702287">
        <w:t xml:space="preserve">stagnierende und sogar </w:t>
      </w:r>
      <w:r>
        <w:t>rückläufige Wachstumsraten und Deckungsbeiträge</w:t>
      </w:r>
      <w:sdt>
        <w:sdtPr>
          <w:id w:val="-810252064"/>
          <w:citation/>
        </w:sdtPr>
        <w:sdtContent>
          <w:r>
            <w:fldChar w:fldCharType="begin"/>
          </w:r>
          <w:r w:rsidR="00090467">
            <w:instrText xml:space="preserve">CITATION Aum09 \p "S. 295" \m Kai04 \p "S. 62" \m Len06 \p "S. 20" \l 1031 </w:instrText>
          </w:r>
          <w:r>
            <w:fldChar w:fldCharType="separate"/>
          </w:r>
          <w:r w:rsidR="00090467">
            <w:rPr>
              <w:noProof/>
            </w:rPr>
            <w:t xml:space="preserve"> (Aumayr 2009, S. 295, Kairies 2004, S. 62, Lennertz 2006, S. 20)</w:t>
          </w:r>
          <w:r>
            <w:fldChar w:fldCharType="end"/>
          </w:r>
        </w:sdtContent>
      </w:sdt>
      <w:r>
        <w:t>.</w:t>
      </w:r>
      <w:r w:rsidR="00702287">
        <w:t xml:space="preserve"> Nach und nach konnte auch die späte Mehrheit als Kundengruppe gewonnen werden und die Erhaltungskosten sollten geringer ausfallen </w:t>
      </w:r>
      <w:sdt>
        <w:sdtPr>
          <w:id w:val="-497654895"/>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Der Wettbewerb bleibt stabil</w:t>
      </w:r>
      <w:sdt>
        <w:sdtPr>
          <w:id w:val="-1855262618"/>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1852CF">
        <w:t xml:space="preserve"> Der Veränderungsbedarf des Produkts sinkt nun im Vergleich zur Entwicklung und Einführungsphase</w:t>
      </w:r>
      <w:sdt>
        <w:sdtPr>
          <w:id w:val="1534081829"/>
          <w:citation/>
        </w:sdtPr>
        <w:sdtContent>
          <w:r w:rsidR="001852CF">
            <w:fldChar w:fldCharType="begin"/>
          </w:r>
          <w:r w:rsidR="001852CF">
            <w:instrText xml:space="preserve">CITATION Pic14 \p "S. 55" \l 1031 </w:instrText>
          </w:r>
          <w:r w:rsidR="001852CF">
            <w:fldChar w:fldCharType="separate"/>
          </w:r>
          <w:r w:rsidR="001852CF">
            <w:rPr>
              <w:noProof/>
            </w:rPr>
            <w:t xml:space="preserve"> (Pichler 2014, S. 55)</w:t>
          </w:r>
          <w:r w:rsidR="001852CF">
            <w:fldChar w:fldCharType="end"/>
          </w:r>
        </w:sdtContent>
      </w:sdt>
      <w:r w:rsidR="001852CF">
        <w:t>.</w:t>
      </w:r>
      <w:r w:rsidR="00702287">
        <w:t xml:space="preserve"> </w:t>
      </w:r>
      <w:r w:rsidR="006D3D99">
        <w:t xml:space="preserve">Aufgrund </w:t>
      </w:r>
      <w:r w:rsidR="001852CF">
        <w:t>der</w:t>
      </w:r>
      <w:r w:rsidR="006D3D99">
        <w:t xml:space="preserve"> vorhersagbaren Marktentwicklung </w:t>
      </w:r>
      <w:r w:rsidR="001852CF">
        <w:t xml:space="preserve">und des geringen Veränderungsbedarfs </w:t>
      </w:r>
      <w:r w:rsidR="006D3D99">
        <w:t>unterliegen Anpassungsoptimierungen einem geringeren Risiko als bei der Erstentwicklung</w:t>
      </w:r>
      <w:sdt>
        <w:sdtPr>
          <w:id w:val="-2142189657"/>
          <w:citation/>
        </w:sdtPr>
        <w:sdtContent>
          <w:r w:rsidR="006D3D99">
            <w:fldChar w:fldCharType="begin"/>
          </w:r>
          <w:r w:rsidR="006D3D99">
            <w:instrText xml:space="preserve">CITATION Pic14 \p "S. 39" \l 1031 </w:instrText>
          </w:r>
          <w:r w:rsidR="006D3D99">
            <w:fldChar w:fldCharType="separate"/>
          </w:r>
          <w:r w:rsidR="006D3D99">
            <w:rPr>
              <w:noProof/>
            </w:rPr>
            <w:t xml:space="preserve"> (Pichler 2014, S. 39)</w:t>
          </w:r>
          <w:r w:rsidR="006D3D99">
            <w:fldChar w:fldCharType="end"/>
          </w:r>
        </w:sdtContent>
      </w:sdt>
      <w:r w:rsidR="006D3D99">
        <w:t xml:space="preserve">. </w:t>
      </w:r>
      <w:r w:rsidR="00702287">
        <w:t>Ziele sind die Sicherung der Marktanteile sowie die Gewinnoptimierung</w:t>
      </w:r>
      <w:sdt>
        <w:sdtPr>
          <w:id w:val="-67689019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mittels der Argumentation von Alleinstellungsmerkmalen (oder auch USP – </w:t>
      </w:r>
      <w:proofErr w:type="spellStart"/>
      <w:r w:rsidR="00F74F2B">
        <w:t>unique</w:t>
      </w:r>
      <w:proofErr w:type="spellEnd"/>
      <w:r w:rsidR="00F74F2B">
        <w:t xml:space="preserve"> </w:t>
      </w:r>
      <w:proofErr w:type="spellStart"/>
      <w:r w:rsidR="00F74F2B">
        <w:t>selling</w:t>
      </w:r>
      <w:proofErr w:type="spellEnd"/>
      <w:r w:rsidR="00F74F2B">
        <w:t xml:space="preserve"> </w:t>
      </w:r>
      <w:proofErr w:type="spellStart"/>
      <w:r w:rsidR="00F74F2B">
        <w:t>point</w:t>
      </w:r>
      <w:proofErr w:type="spellEnd"/>
      <w:r w:rsidR="00F74F2B">
        <w:t>) entscheidend</w:t>
      </w:r>
      <w:sdt>
        <w:sdtPr>
          <w:id w:val="580027713"/>
          <w:citation/>
        </w:sdtPr>
        <w:sdtContent>
          <w:r w:rsidR="00F74F2B">
            <w:fldChar w:fldCharType="begin"/>
          </w:r>
          <w:r w:rsidR="00F74F2B">
            <w:instrText xml:space="preserve">CITATION Kai04 \p "S. 63" \l 1031 </w:instrText>
          </w:r>
          <w:r w:rsidR="00F74F2B">
            <w:fldChar w:fldCharType="separate"/>
          </w:r>
          <w:r w:rsidR="00F74F2B">
            <w:rPr>
              <w:noProof/>
            </w:rPr>
            <w:t xml:space="preserve"> (Kairies 2004, S. 63)</w:t>
          </w:r>
          <w:r w:rsidR="00F74F2B">
            <w:fldChar w:fldCharType="end"/>
          </w:r>
        </w:sdtContent>
      </w:sdt>
      <w:r w:rsidR="00F74F2B">
        <w:t xml:space="preserve">. Mit Erreichen der Sättigung sollte das Nachfolgeprodukt </w:t>
      </w:r>
      <w:r w:rsidR="00EC4946">
        <w:t>fertig entwickelt sein und ersten Kunden verkündet werden</w:t>
      </w:r>
      <w:sdt>
        <w:sdtPr>
          <w:id w:val="1573384343"/>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53EF5742" w14:textId="5563DE71" w:rsidR="00E8229F" w:rsidRPr="002B0861" w:rsidRDefault="00E8229F" w:rsidP="00E8229F">
      <w:pPr>
        <w:rPr>
          <w:highlight w:val="yellow"/>
        </w:rPr>
      </w:pPr>
      <w:r w:rsidRPr="002B0861">
        <w:rPr>
          <w:highlight w:val="yellow"/>
        </w:rPr>
        <w:t>Risiko: Ausfall oder andere Qualitätsmängel -&gt; Kundenverlust</w:t>
      </w:r>
    </w:p>
    <w:p w14:paraId="1FF3572B" w14:textId="73597C60" w:rsidR="00E8229F" w:rsidRPr="00E8229F" w:rsidRDefault="00E8229F" w:rsidP="00E8229F">
      <w:r w:rsidRPr="002B0861">
        <w:rPr>
          <w:highlight w:val="yellow"/>
        </w:rPr>
        <w:t>Risiko: Anpassung an Umwelt</w:t>
      </w:r>
    </w:p>
    <w:p w14:paraId="6BDD2C73" w14:textId="38BD2F4C" w:rsidR="00461FAA" w:rsidRDefault="000F467E" w:rsidP="00E67FF7">
      <w:pPr>
        <w:pStyle w:val="berschrift2"/>
      </w:pPr>
      <w:bookmarkStart w:id="61" w:name="_Toc450314468"/>
      <w:r>
        <w:t>Entsorgung</w:t>
      </w:r>
      <w:bookmarkEnd w:id="61"/>
    </w:p>
    <w:p w14:paraId="3FBCD77B" w14:textId="7E3C74D6" w:rsidR="004E5A20" w:rsidRPr="004E5A20" w:rsidRDefault="00BF202D" w:rsidP="004E5A20">
      <w:r>
        <w:t xml:space="preserve">Die Entsorgungsphase ist die letzte Phase im Produktlebenszyklus. Sie weist typischerweise </w:t>
      </w:r>
      <w:r w:rsidR="00702287">
        <w:t>einen negativen Deckungsbeitrag</w:t>
      </w:r>
      <w:r>
        <w:t xml:space="preserve"> aufg</w:t>
      </w:r>
      <w:r w:rsidR="00702287">
        <w:t>rund der rückläufigen Nachfrage</w:t>
      </w:r>
      <w:r>
        <w:t xml:space="preserve"> auf</w:t>
      </w:r>
      <w:sdt>
        <w:sdtPr>
          <w:id w:val="1249075949"/>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Ziel ist der Abbau des Produkts und die Kostensenkung, da nur noch Nachzügler als Kunden gewonnen werden können</w:t>
      </w:r>
      <w:r w:rsidR="00EC4946">
        <w:t>, da es nicht mehr konkurrenzfähig ist</w:t>
      </w:r>
      <w:sdt>
        <w:sdtPr>
          <w:id w:val="673537305"/>
          <w:citation/>
        </w:sdt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Das bestehende Produkt wird eliminiert</w:t>
      </w:r>
      <w:sdt>
        <w:sdtPr>
          <w:id w:val="-984315928"/>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0EF13657" w14:textId="6EF1117E" w:rsidR="00BC71A2" w:rsidRDefault="00E8229F" w:rsidP="00E8229F">
      <w:r w:rsidRPr="00A95269">
        <w:rPr>
          <w:highlight w:val="yellow"/>
        </w:rPr>
        <w:t>Risiko: Aufwand für Änderungen -&gt; Tests</w:t>
      </w:r>
    </w:p>
    <w:p w14:paraId="516F60D8" w14:textId="06664DCA" w:rsidR="00175F2D" w:rsidRDefault="00175F2D" w:rsidP="00E67FF7">
      <w:pPr>
        <w:pStyle w:val="berschrift2"/>
      </w:pPr>
      <w:bookmarkStart w:id="62" w:name="_Toc450314469"/>
      <w:r>
        <w:lastRenderedPageBreak/>
        <w:t>Zusammenfassung der Risiken der einzelnen Phasen</w:t>
      </w:r>
      <w:bookmarkEnd w:id="62"/>
    </w:p>
    <w:p w14:paraId="59F7BBD9" w14:textId="77777777" w:rsidR="00E67FF7" w:rsidRPr="003A709F" w:rsidRDefault="00E67FF7" w:rsidP="00E67FF7">
      <w:pPr>
        <w:rPr>
          <w:highlight w:val="yellow"/>
        </w:rPr>
      </w:pPr>
      <w:r w:rsidRPr="003A709F">
        <w:rPr>
          <w:highlight w:val="yellow"/>
        </w:rPr>
        <w:t>Kategorisierung der Risiken z. B. auf Zeit, Qualität, Kosten</w:t>
      </w:r>
    </w:p>
    <w:p w14:paraId="2F433381" w14:textId="0FEE5312" w:rsidR="00E67FF7" w:rsidRDefault="00E67FF7" w:rsidP="00175F2D">
      <w:pPr>
        <w:rPr>
          <w:highlight w:val="yellow"/>
        </w:rPr>
      </w:pPr>
      <w:r>
        <w:rPr>
          <w:highlight w:val="yellow"/>
        </w:rPr>
        <w:t>Zuordnung Risikoprofil pro Phase</w:t>
      </w:r>
    </w:p>
    <w:p w14:paraId="0E26ED32" w14:textId="5B144DC7" w:rsidR="00175F2D" w:rsidRPr="003A709F" w:rsidRDefault="00175F2D" w:rsidP="00175F2D">
      <w:pPr>
        <w:rPr>
          <w:highlight w:val="yellow"/>
        </w:rPr>
      </w:pPr>
      <w:r w:rsidRPr="003A709F">
        <w:rPr>
          <w:highlight w:val="yellow"/>
        </w:rPr>
        <w:t>Zusammenfassung Phasen auf</w:t>
      </w:r>
      <w:r w:rsidR="00E67FF7">
        <w:rPr>
          <w:highlight w:val="yellow"/>
        </w:rPr>
        <w:t>grund gleicher/ähnlicher Risikoprofile</w:t>
      </w:r>
    </w:p>
    <w:p w14:paraId="521E4F68" w14:textId="3D1558F2" w:rsidR="003A709F" w:rsidRPr="003A709F" w:rsidRDefault="003A709F" w:rsidP="003A709F">
      <w:pPr>
        <w:pStyle w:val="Listenabsatz"/>
        <w:numPr>
          <w:ilvl w:val="0"/>
          <w:numId w:val="25"/>
        </w:numPr>
        <w:rPr>
          <w:highlight w:val="yellow"/>
        </w:rPr>
      </w:pPr>
      <w:r w:rsidRPr="003A709F">
        <w:rPr>
          <w:highlight w:val="yellow"/>
        </w:rPr>
        <w:t xml:space="preserve">Entwicklung+ Entsorgung -&gt; </w:t>
      </w:r>
      <w:proofErr w:type="spellStart"/>
      <w:r w:rsidRPr="003A709F">
        <w:rPr>
          <w:highlight w:val="yellow"/>
        </w:rPr>
        <w:t>DevOps</w:t>
      </w:r>
      <w:proofErr w:type="spellEnd"/>
      <w:r w:rsidR="00E67FF7">
        <w:rPr>
          <w:highlight w:val="yellow"/>
        </w:rPr>
        <w:t>, da Risiko für Zeit und Qualität hoch, Kosten niedrig?</w:t>
      </w:r>
    </w:p>
    <w:p w14:paraId="0EC016CE" w14:textId="6114789C" w:rsidR="003A709F" w:rsidRPr="003A709F" w:rsidRDefault="003A709F" w:rsidP="003A709F">
      <w:pPr>
        <w:pStyle w:val="Listenabsatz"/>
        <w:numPr>
          <w:ilvl w:val="0"/>
          <w:numId w:val="25"/>
        </w:numPr>
        <w:rPr>
          <w:highlight w:val="yellow"/>
        </w:rPr>
      </w:pPr>
      <w:r w:rsidRPr="003A709F">
        <w:rPr>
          <w:highlight w:val="yellow"/>
        </w:rPr>
        <w:t>...</w:t>
      </w:r>
    </w:p>
    <w:p w14:paraId="1EFF39B5" w14:textId="22391D40" w:rsidR="00461FAA" w:rsidRDefault="00BE5B1B" w:rsidP="00E67FF7">
      <w:pPr>
        <w:pStyle w:val="berschrift1"/>
      </w:pPr>
      <w:bookmarkStart w:id="63" w:name="_Toc450314470"/>
      <w:r>
        <w:lastRenderedPageBreak/>
        <w:t>Prozesse</w:t>
      </w:r>
      <w:r w:rsidR="00461FAA">
        <w:t xml:space="preserve"> des </w:t>
      </w:r>
      <w:r w:rsidR="00803CAA">
        <w:t>Release-Management</w:t>
      </w:r>
      <w:r w:rsidR="00461FAA">
        <w:t>s zum Umgang mit Risiken</w:t>
      </w:r>
      <w:bookmarkEnd w:id="63"/>
    </w:p>
    <w:p w14:paraId="67B3684E" w14:textId="136832C9"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hinsichtlich der Möglichkeiten zur Risikobehandlung zu untersuchen.</w:t>
      </w:r>
      <w:r w:rsidR="00425DD7">
        <w:t xml:space="preserve"> Hierfür werden als Basis die Prozesse der ITIL Service Transition betrachtet und um Aspekte aus der </w:t>
      </w:r>
      <w:commentRangeStart w:id="64"/>
      <w:r w:rsidR="00425DD7">
        <w:t>ISO/IEC 20000 Norm sowie aus dem IT-Referenzmodell COBIT ergänzt</w:t>
      </w:r>
      <w:commentRangeEnd w:id="64"/>
      <w:r w:rsidR="00FB6DF4">
        <w:rPr>
          <w:rStyle w:val="Kommentarzeichen"/>
        </w:rPr>
        <w:commentReference w:id="64"/>
      </w:r>
      <w:r w:rsidR="00425DD7">
        <w:t xml:space="preserve">. </w:t>
      </w:r>
      <w:bookmarkStart w:id="65" w:name="_Ref446516759"/>
      <w:r w:rsidR="00BE5B1B" w:rsidRPr="001F2F30">
        <w:t>D</w:t>
      </w:r>
      <w:r w:rsidR="00BE5B1B">
        <w:t>azu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w:t>
      </w:r>
      <w:r w:rsidR="0053310C">
        <w:t>en</w:t>
      </w:r>
      <w:r w:rsidR="00BE5B1B">
        <w:t xml:space="preserve"> Prozesse hinsichtlich dem Zweck, den Zielen, dem Mehrwert sowie den Grundgedanken beschrieben.</w:t>
      </w:r>
      <w:r w:rsidR="00C24124">
        <w:t xml:space="preserve"> Daraufhin erfolgt eine Betrachtung der Prozesse auf Ausgestaltungsmerkmale, die je nach Risikosituation unterschiedlich definiert werden müssen.</w:t>
      </w:r>
      <w:r w:rsidR="00BE5B1B">
        <w:t xml:space="preserve"> </w:t>
      </w:r>
      <w:r w:rsidR="00E67FF7">
        <w:t xml:space="preserve">Die Risikosituationen beziehen sich dabei auf die Erkenntnisse aus dem vorhergehenden Kapitel.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p>
    <w:p w14:paraId="51D3E5F0" w14:textId="594FAE47" w:rsidR="00461FAA" w:rsidRDefault="00BE5B1B" w:rsidP="00E67FF7">
      <w:pPr>
        <w:pStyle w:val="berschrift2"/>
      </w:pPr>
      <w:bookmarkStart w:id="66" w:name="_Ref446517322"/>
      <w:bookmarkStart w:id="67" w:name="_Toc450314471"/>
      <w:bookmarkEnd w:id="65"/>
      <w:r>
        <w:t>T</w:t>
      </w:r>
      <w:r w:rsidR="00425DD7">
        <w:t>r</w:t>
      </w:r>
      <w:r>
        <w:t xml:space="preserve">ansition </w:t>
      </w:r>
      <w:proofErr w:type="spellStart"/>
      <w:r>
        <w:t>Planning</w:t>
      </w:r>
      <w:proofErr w:type="spellEnd"/>
      <w:r>
        <w:t xml:space="preserve"> </w:t>
      </w:r>
      <w:proofErr w:type="spellStart"/>
      <w:r>
        <w:t>and</w:t>
      </w:r>
      <w:proofErr w:type="spellEnd"/>
      <w:r>
        <w:t xml:space="preserve"> Support</w:t>
      </w:r>
      <w:bookmarkEnd w:id="66"/>
      <w:bookmarkEnd w:id="67"/>
      <w:r>
        <w:rPr>
          <w:rStyle w:val="Kommentarzeichen"/>
          <w:b w:val="0"/>
          <w:kern w:val="0"/>
        </w:rPr>
        <w:t xml:space="preserve"> </w:t>
      </w:r>
    </w:p>
    <w:p w14:paraId="717C6F43" w14:textId="77777777" w:rsidR="009344EF" w:rsidRDefault="00666621" w:rsidP="00461FAA">
      <w:r>
        <w:t xml:space="preserve">Der Prozess </w:t>
      </w:r>
      <w:r w:rsidRPr="00BE5B1B">
        <w:t xml:space="preserve">Transition </w:t>
      </w:r>
      <w:proofErr w:type="spellStart"/>
      <w:r w:rsidRPr="00BE5B1B">
        <w:t>Planning</w:t>
      </w:r>
      <w:proofErr w:type="spellEnd"/>
      <w:r w:rsidRPr="00BE5B1B">
        <w:t xml:space="preserve"> </w:t>
      </w:r>
      <w:proofErr w:type="spellStart"/>
      <w:r w:rsidRPr="00BE5B1B">
        <w:t>and</w:t>
      </w:r>
      <w:proofErr w:type="spellEnd"/>
      <w:r w:rsidRPr="00BE5B1B">
        <w:t xml:space="preserve"> Support (TPS)</w:t>
      </w:r>
      <w:r w:rsidR="00BE5B1B">
        <w:t xml:space="preserve"> </w:t>
      </w:r>
      <w:r>
        <w:t>dient der übergreifenden Planung und Koordination des Veränderungsvorhabens</w:t>
      </w:r>
      <w:r w:rsidR="009344EF">
        <w:t xml:space="preserve"> sowie der nötigen Ressourcen</w:t>
      </w:r>
      <w:sdt>
        <w:sdtPr>
          <w:id w:val="558301663"/>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 Ziel ist es unter anderem die Veränderung innerhalb der geplanten Vorgaben hinsichtlich Kosten, Zeit und Qualität durchzuführen</w:t>
      </w:r>
      <w:sdt>
        <w:sdtPr>
          <w:id w:val="77105146"/>
          <w:citation/>
        </w:sdtPr>
        <w:sdtContent>
          <w:r>
            <w:fldChar w:fldCharType="begin"/>
          </w:r>
          <w:r>
            <w:instrText xml:space="preserve">CITATION AXE11 \p "S. 51" \l 1031 </w:instrText>
          </w:r>
          <w:r>
            <w:fldChar w:fldCharType="separate"/>
          </w:r>
          <w:r>
            <w:rPr>
              <w:noProof/>
            </w:rPr>
            <w:t xml:space="preserve"> (AXELOS 2011, S. 51)</w:t>
          </w:r>
          <w:r>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zu senken</w:t>
      </w:r>
      <w:sdt>
        <w:sdtPr>
          <w:id w:val="286321910"/>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Der Mehrwert des Services liegt in der Befähigung zur Bearbeitung einer großen Anzahl von Veränderungen unter Einhaltung der Vorgaben</w:t>
      </w:r>
      <w:r w:rsidR="009344EF">
        <w:t xml:space="preserve"> sowie der Ausrichtung des IT-Service-Managements anhand der Bedürfnisse der Stakeholder</w:t>
      </w:r>
      <w:sdt>
        <w:sdtPr>
          <w:id w:val="-1200167755"/>
          <w:citation/>
        </w:sdt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vereinbart, welche </w:t>
      </w:r>
      <w:r w:rsidR="009344EF">
        <w:t>folgende Aspekte betreffen</w:t>
      </w:r>
      <w:sdt>
        <w:sdtPr>
          <w:id w:val="167292728"/>
          <w:citation/>
        </w:sdtPr>
        <w:sdtContent>
          <w:r w:rsidR="005E2E45">
            <w:fldChar w:fldCharType="begin"/>
          </w:r>
          <w:r w:rsidR="005E2E45">
            <w:instrText xml:space="preserve">CITATION AXE11 \p "S. 53" \l 1031 </w:instrText>
          </w:r>
          <w:r w:rsidR="005E2E45">
            <w:fldChar w:fldCharType="separate"/>
          </w:r>
          <w:r w:rsidR="005E2E45">
            <w:rPr>
              <w:noProof/>
            </w:rPr>
            <w:t xml:space="preserve"> (AXELOS 2011, S. 53)</w:t>
          </w:r>
          <w:r w:rsidR="005E2E4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t>Nutzung von Medienbibliotheken</w:t>
      </w:r>
    </w:p>
    <w:p w14:paraId="4FED1EE6" w14:textId="6CA3A1EB" w:rsidR="003E0117" w:rsidRPr="004E72CB" w:rsidRDefault="003E0117" w:rsidP="003E0117">
      <w:pPr>
        <w:pStyle w:val="Listenabsatz"/>
        <w:numPr>
          <w:ilvl w:val="0"/>
          <w:numId w:val="28"/>
        </w:numPr>
      </w:pPr>
      <w:r w:rsidRPr="004E72CB">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proofErr w:type="spellStart"/>
      <w:r w:rsidRPr="004E72CB">
        <w:lastRenderedPageBreak/>
        <w:t>Versionierung</w:t>
      </w:r>
      <w:proofErr w:type="spellEnd"/>
      <w:r w:rsidRPr="004E72CB">
        <w:t xml:space="preserve">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Pr="004E72CB" w:rsidRDefault="003E0117" w:rsidP="003E0117">
      <w:pPr>
        <w:pStyle w:val="Listenabsatz"/>
        <w:numPr>
          <w:ilvl w:val="0"/>
          <w:numId w:val="28"/>
        </w:numPr>
      </w:pPr>
      <w:r w:rsidRPr="004E72CB">
        <w:t>Kriterien für den Abschluss der Beobachtungsphase</w:t>
      </w:r>
    </w:p>
    <w:p w14:paraId="007F1F16" w14:textId="649CF452" w:rsidR="003E0117" w:rsidRDefault="002A14CE" w:rsidP="003E0117">
      <w:commentRangeStart w:id="68"/>
      <w:r>
        <w:t>Einige dieser Aspekte sind relevant für die Konstruktion der Standardtypen, da sie je nach Produktlebenszyklusphase anders gestaltet werden sollten</w:t>
      </w:r>
      <w:commentRangeEnd w:id="68"/>
      <w:r w:rsidR="00213BF6">
        <w:rPr>
          <w:rStyle w:val="Kommentarzeichen"/>
        </w:rPr>
        <w:commentReference w:id="68"/>
      </w:r>
      <w:r>
        <w:t xml:space="preserve">. Von zentraler Bedeutung ist die Festlegung des </w:t>
      </w:r>
      <w:r w:rsidRPr="00EA2F6B">
        <w:rPr>
          <w:b/>
        </w:rPr>
        <w:t>Release-Zyklus</w:t>
      </w:r>
      <w:r>
        <w:t>. Je größer der Abstand zwischen den Releases wi</w:t>
      </w:r>
      <w:r w:rsidR="008D3E9B">
        <w:t>rd, desto umfangreicher wird ein</w:t>
      </w:r>
      <w:r>
        <w:t xml:space="preserve"> </w:t>
      </w:r>
      <w:r w:rsidR="008D3E9B">
        <w:t xml:space="preserve">einzelnes </w:t>
      </w:r>
      <w:r>
        <w:t>Release hinsichtlich der umgesetzten Anforderungen und desto später kann das Feedback der Endkunden eingeholten werden</w:t>
      </w:r>
      <w:r w:rsidR="00D83F8A">
        <w:t xml:space="preserve"> – das Risiko einer Fehlentwicklung steigt</w:t>
      </w:r>
      <w:r>
        <w:t xml:space="preserve"> (vgl. Kapitel 2.1).</w:t>
      </w:r>
      <w:r w:rsidR="00D83F8A">
        <w:t xml:space="preserve"> </w:t>
      </w:r>
      <w:r w:rsidR="008D3E9B">
        <w:t xml:space="preserve">Auch die Dauer bis eine notwendige Fehlerbehebung zur Verfügung gestellt werden kann </w:t>
      </w:r>
      <w:r w:rsidR="007610A0">
        <w:t>steigt und je nach Fehlerauswirkung sinkt die Kundenzufriedenheit bzw. entstehen erhöhte Prozesskosten. Der Testaufwand steigt aufgrund der größeren Komplexität ebenfalls sowie das Risiko einen Fehler zu übersehen und der Aufwand die Fehlerursache zu beheben</w:t>
      </w:r>
      <w:r w:rsidR="008D3E9B">
        <w:t xml:space="preserve">. Negativ </w:t>
      </w:r>
      <w:r w:rsidR="00EA2F6B">
        <w:t>auf den zeitlichen Faktor wirkt</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 in den einzelnen Phasen</w:t>
      </w:r>
      <w:r w:rsidR="008D3E9B">
        <w:t>. Mit der Anzahl der beteiligten Personen an den Prüfungen und Freigaben steigt die Dauer bis zur Freigabe aufgrund von Wartezeiten, in denen niemand aktiv daran arbeitet</w:t>
      </w:r>
      <w:r w:rsidR="00EA2F6B">
        <w:t xml:space="preserve">. </w:t>
      </w:r>
      <w:commentRangeStart w:id="69"/>
      <w:r w:rsidR="00EA2F6B">
        <w:t>Typischerweise bedeutet</w:t>
      </w:r>
      <w:r w:rsidR="006A6B63">
        <w:t xml:space="preserve"> eine Aufteilung</w:t>
      </w:r>
      <w:r w:rsidR="00EA2F6B">
        <w:t xml:space="preserve"> der Verantwortung</w:t>
      </w:r>
      <w:r w:rsidR="006A6B63">
        <w:t>, dass eine einzelne</w:t>
      </w:r>
      <w:r w:rsidR="00EA2F6B">
        <w:t xml:space="preserve"> Person eine größere Anzahl von</w:t>
      </w:r>
      <w:r w:rsidR="006A6B63">
        <w:t xml:space="preserve"> Services betreuen muss, da sie nur für einen kleineren Verantwortungsbereich</w:t>
      </w:r>
      <w:r w:rsidR="00EA2F6B">
        <w:t xml:space="preserve"> pro Service</w:t>
      </w:r>
      <w:r w:rsidR="006A6B63">
        <w:t xml:space="preserve"> zuständig ist.</w:t>
      </w:r>
      <w:r w:rsidR="008D3E9B">
        <w:t xml:space="preserve"> </w:t>
      </w:r>
      <w:r w:rsidR="006A6B63">
        <w:t>Dies führt bei jedem Aufgabenwechsel zu höheren</w:t>
      </w:r>
      <w:r w:rsidR="008D3E9B">
        <w:t xml:space="preserve"> Einarbeitungszeiten.</w:t>
      </w:r>
      <w:r w:rsidR="00645DA8">
        <w:t xml:space="preserve"> Verstärkt wird dieser Effekt durch Verständnisprobleme</w:t>
      </w:r>
      <w:r w:rsidR="00EA2F6B">
        <w:t xml:space="preserve"> und eine geringe Bindung zum Produkt</w:t>
      </w:r>
      <w:r w:rsidR="00645DA8">
        <w:t>, welche in einer Ablehnung resultieren</w:t>
      </w:r>
      <w:r w:rsidR="00EA2F6B">
        <w:t xml:space="preserve"> und zu geringer Motivation führen</w:t>
      </w:r>
      <w:r w:rsidR="00645DA8">
        <w:t xml:space="preserve"> können</w:t>
      </w:r>
      <w:r w:rsidR="00EA2F6B">
        <w:t>.</w:t>
      </w:r>
      <w:r w:rsidR="00645DA8">
        <w:t xml:space="preserve"> </w:t>
      </w:r>
      <w:commentRangeEnd w:id="69"/>
      <w:r w:rsidR="00EA2F6B">
        <w:rPr>
          <w:rStyle w:val="Kommentarzeichen"/>
        </w:rPr>
        <w:commentReference w:id="69"/>
      </w:r>
      <w:r w:rsidR="00EA2F6B">
        <w:t>Der Faktor der</w:t>
      </w:r>
      <w:r w:rsidR="006A6B63">
        <w:t xml:space="preserve"> </w:t>
      </w:r>
      <w:commentRangeStart w:id="70"/>
      <w:r w:rsidR="00EA2F6B" w:rsidRPr="00EA2F6B">
        <w:rPr>
          <w:b/>
        </w:rPr>
        <w:t>Kriterien</w:t>
      </w:r>
      <w:commentRangeEnd w:id="70"/>
      <w:r w:rsidR="007610A0">
        <w:rPr>
          <w:rStyle w:val="Kommentarzeichen"/>
        </w:rPr>
        <w:commentReference w:id="70"/>
      </w:r>
      <w:r w:rsidR="00EA2F6B" w:rsidRPr="00EA2F6B">
        <w:rPr>
          <w:b/>
        </w:rPr>
        <w:t xml:space="preserve"> und </w:t>
      </w:r>
      <w:r w:rsidR="006A6B63" w:rsidRPr="00EA2F6B">
        <w:rPr>
          <w:b/>
        </w:rPr>
        <w:t>Berechtigungen zur Freigabe</w:t>
      </w:r>
      <w:r w:rsidR="006A6B63">
        <w:t xml:space="preserve"> </w:t>
      </w:r>
      <w:r w:rsidR="00EA2F6B">
        <w:t>ist</w:t>
      </w:r>
      <w:r w:rsidR="006A6B63">
        <w:t xml:space="preserve"> </w:t>
      </w:r>
      <w:r w:rsidR="00EA2F6B">
        <w:t xml:space="preserve">direkt </w:t>
      </w:r>
      <w:r w:rsidR="006A6B63">
        <w:t>abhängig von den entsprechenden Rollen</w:t>
      </w:r>
      <w:r w:rsidR="00EA2F6B">
        <w:t xml:space="preserve"> und wird somit nicht gesondert betrachtet. </w:t>
      </w:r>
      <w:r w:rsidR="00645DA8">
        <w:t xml:space="preserve">Ein positiver Aspekt der die Durchlaufzeit begünstigt ist die </w:t>
      </w:r>
      <w:r w:rsidR="00645DA8" w:rsidRPr="00EA2F6B">
        <w:rPr>
          <w:b/>
        </w:rPr>
        <w:t>Automatisierung</w:t>
      </w:r>
      <w:r w:rsidR="00645DA8">
        <w:t xml:space="preserve"> von</w:t>
      </w:r>
      <w:r w:rsidR="00EA2F6B">
        <w:t xml:space="preserve"> Tätigkeiten. Dieser steht </w:t>
      </w:r>
      <w:r w:rsidR="00645DA8">
        <w:t>eng mit dem Release-Zyklus in Verbindung, denn bei einer kurzen Durchlaufzeit und häufiger Wiederholung ist eine Automation unabdingba</w:t>
      </w:r>
      <w:r w:rsidR="007610A0">
        <w:t>r. Bei wenigen Releases mit</w:t>
      </w:r>
      <w:r w:rsidR="00645DA8">
        <w:t xml:space="preserve"> größerem Veränderungsumfang und daraus resultierenden größeren Anpassungsbedarfen der Automatisierung ist diese </w:t>
      </w:r>
      <w:r w:rsidR="006A6B63">
        <w:t xml:space="preserve">wiederum </w:t>
      </w:r>
      <w:r w:rsidR="00645DA8">
        <w:t>zu überdenken.</w:t>
      </w:r>
      <w:r w:rsidR="006A6B63">
        <w:t xml:space="preserve"> Daher wird die Automatisierung nich</w:t>
      </w:r>
      <w:r w:rsidR="00EA2F6B">
        <w:t xml:space="preserve">t als einzelner Faktor, sondern </w:t>
      </w:r>
      <w:r w:rsidR="006A6B63">
        <w:t>in Abhängigkeit vom Release-Zyklus gewertet.</w:t>
      </w:r>
      <w:r w:rsidR="00E13F2F">
        <w:t xml:space="preserve"> Zusammenfassend </w:t>
      </w:r>
      <w:r w:rsidR="00EA2F6B">
        <w:t>sind für den TPS-Prozess</w:t>
      </w:r>
      <w:r w:rsidR="00E13F2F">
        <w:t xml:space="preserve"> die Aspekte des </w:t>
      </w:r>
      <w:r w:rsidR="00E13F2F" w:rsidRPr="00E13F2F">
        <w:rPr>
          <w:b/>
        </w:rPr>
        <w:t>Release-Zyklus</w:t>
      </w:r>
      <w:r w:rsidR="00E13F2F">
        <w:t xml:space="preserve"> sowie der </w:t>
      </w:r>
      <w:r w:rsidR="00E13F2F" w:rsidRPr="00E13F2F">
        <w:rPr>
          <w:b/>
        </w:rPr>
        <w:t>Freigabe</w:t>
      </w:r>
      <w:r w:rsidR="00EA2F6B">
        <w:rPr>
          <w:b/>
        </w:rPr>
        <w:t>rollen</w:t>
      </w:r>
      <w:r w:rsidR="00E13F2F">
        <w:t xml:space="preserve"> in Abhängigkeit von den Bedürfnissen zu definieren.</w:t>
      </w:r>
    </w:p>
    <w:p w14:paraId="55BF5BD1" w14:textId="6BC0B899" w:rsidR="00B47F0C" w:rsidRDefault="005E2E45" w:rsidP="00E67FF7">
      <w:pPr>
        <w:pStyle w:val="berschrift2"/>
      </w:pPr>
      <w:bookmarkStart w:id="71" w:name="_Toc450314472"/>
      <w:bookmarkStart w:id="72" w:name="_Ref450406185"/>
      <w:bookmarkStart w:id="73" w:name="_Ref450406361"/>
      <w:bookmarkStart w:id="74" w:name="_Ref450406746"/>
      <w:r w:rsidRPr="005E2E45">
        <w:lastRenderedPageBreak/>
        <w:t>Change Management</w:t>
      </w:r>
      <w:bookmarkEnd w:id="71"/>
      <w:bookmarkEnd w:id="72"/>
      <w:bookmarkEnd w:id="73"/>
      <w:bookmarkEnd w:id="74"/>
    </w:p>
    <w:p w14:paraId="1F0E1533" w14:textId="2E7909DC" w:rsidR="00EA2F6B" w:rsidRDefault="00867E7F" w:rsidP="00EA2F6B">
      <w:r>
        <w:t xml:space="preserve">Der Change Management </w:t>
      </w:r>
      <w:r w:rsidR="00865469">
        <w:t xml:space="preserve">(CHM) </w:t>
      </w:r>
      <w:r>
        <w:t>Prozess dient der Steuerung des Lebenszyklus aller Veränderungen zur minimalen Beeinflussung der produktiven Services</w:t>
      </w:r>
      <w:sdt>
        <w:sdtPr>
          <w:id w:val="489761824"/>
          <w:citation/>
        </w:sdtPr>
        <w:sdtContent>
          <w:r>
            <w:fldChar w:fldCharType="begin"/>
          </w:r>
          <w:r>
            <w:instrText xml:space="preserve">CITATION AXE11 \p "S. 61" \l 1031 </w:instrText>
          </w:r>
          <w:r>
            <w:fldChar w:fldCharType="separate"/>
          </w:r>
          <w:r>
            <w:rPr>
              <w:noProof/>
            </w:rPr>
            <w:t xml:space="preserve"> (AXELOS 2011, S. 61)</w:t>
          </w:r>
          <w:r>
            <w:fldChar w:fldCharType="end"/>
          </w:r>
        </w:sdtContent>
      </w:sdt>
      <w:r>
        <w:t>.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Weiterhin lassen sich durch einen gut</w:t>
      </w:r>
      <w:r w:rsidR="007610A0">
        <w:t xml:space="preserve"> </w:t>
      </w:r>
      <w:r w:rsidR="008608B3">
        <w:t>strukturierten Change Management Prozess erhebliche Kosteneinsparungen realisieren</w:t>
      </w:r>
      <w:sdt>
        <w:sdtPr>
          <w:id w:val="-130377801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Für den CHM-Prozess werden folgende spezifische Regelungen empfohlen</w:t>
      </w:r>
      <w:sdt>
        <w:sdtPr>
          <w:id w:val="1856995364"/>
          <w:citation/>
        </w:sdt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6491BEB4" w:rsidR="008608B3" w:rsidRDefault="008608B3" w:rsidP="008608B3">
      <w:pPr>
        <w:pStyle w:val="Listenabsatz"/>
        <w:numPr>
          <w:ilvl w:val="0"/>
          <w:numId w:val="29"/>
        </w:numPr>
      </w:pPr>
      <w:r>
        <w:t>Ausrichtung d</w:t>
      </w:r>
      <w:r w:rsidR="0064096F">
        <w:t>es Change Management</w:t>
      </w:r>
      <w:r>
        <w:t xml:space="preserve"> an die Stakeholder</w:t>
      </w:r>
    </w:p>
    <w:p w14:paraId="247DE470" w14:textId="1CCED1D7" w:rsidR="008608B3" w:rsidRDefault="008608B3" w:rsidP="008608B3">
      <w:pPr>
        <w:pStyle w:val="Listenabsatz"/>
        <w:numPr>
          <w:ilvl w:val="0"/>
          <w:numId w:val="29"/>
        </w:numPr>
      </w:pPr>
      <w:r>
        <w:t xml:space="preserve">Messen der Mehrwerte von </w:t>
      </w:r>
      <w:proofErr w:type="spellStart"/>
      <w:r>
        <w:t>Changes</w:t>
      </w:r>
      <w:proofErr w:type="spellEnd"/>
    </w:p>
    <w:p w14:paraId="31F4F103" w14:textId="0DCE0090" w:rsidR="008608B3" w:rsidRPr="00FC0D49" w:rsidRDefault="0064096F" w:rsidP="008608B3">
      <w:pPr>
        <w:pStyle w:val="Listenabsatz"/>
        <w:numPr>
          <w:ilvl w:val="0"/>
          <w:numId w:val="29"/>
        </w:numPr>
      </w:pPr>
      <w:r w:rsidRPr="00FC0D49">
        <w:t xml:space="preserve">Priorisierung von </w:t>
      </w:r>
      <w:proofErr w:type="spellStart"/>
      <w:r w:rsidRPr="00FC0D49">
        <w:t>Changes</w:t>
      </w:r>
      <w:proofErr w:type="spellEnd"/>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 xml:space="preserve">Nachverfolgbarkeit von </w:t>
      </w:r>
      <w:proofErr w:type="spellStart"/>
      <w:r w:rsidRPr="00FC0D49">
        <w:t>Changes</w:t>
      </w:r>
      <w:proofErr w:type="spellEnd"/>
      <w:r w:rsidRPr="00FC0D49">
        <w:t xml:space="preserve">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 xml:space="preserve">Leistungs- und Risikobewertung aller </w:t>
      </w:r>
      <w:proofErr w:type="spellStart"/>
      <w:r w:rsidRPr="004E72CB">
        <w:t>Changes</w:t>
      </w:r>
      <w:proofErr w:type="spellEnd"/>
    </w:p>
    <w:p w14:paraId="0431F4D3" w14:textId="489FAB8C" w:rsidR="0064096F" w:rsidRPr="004E72CB" w:rsidRDefault="0064096F" w:rsidP="008608B3">
      <w:pPr>
        <w:pStyle w:val="Listenabsatz"/>
        <w:numPr>
          <w:ilvl w:val="0"/>
          <w:numId w:val="29"/>
        </w:numPr>
      </w:pPr>
      <w:r w:rsidRPr="004E72CB">
        <w:t xml:space="preserve">Messung der Effizienz und Effektivität von </w:t>
      </w:r>
      <w:proofErr w:type="spellStart"/>
      <w:r w:rsidRPr="004E72CB">
        <w:t>Changes</w:t>
      </w:r>
      <w:proofErr w:type="spellEnd"/>
    </w:p>
    <w:p w14:paraId="6851B41D" w14:textId="2FA36193"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 zu erreichen und sicherzustellen, dass eine Risikobewertung erfolg</w:t>
      </w:r>
      <w:r w:rsidR="00C24124">
        <w:t xml:space="preserve">t. Ein Change-Prozess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Content>
          <w:r w:rsidR="004E72CB">
            <w:fldChar w:fldCharType="begin"/>
          </w:r>
          <w:r w:rsidR="004E72CB">
            <w:instrText xml:space="preserve">CITATION AXE11 \p "S. 89" \l 1031 </w:instrText>
          </w:r>
          <w:r w:rsidR="004E72CB">
            <w:fldChar w:fldCharType="separate"/>
          </w:r>
          <w:r w:rsidR="004E72CB">
            <w:rPr>
              <w:noProof/>
            </w:rPr>
            <w:t xml:space="preserve"> (AXELOS 2011, S. 89)</w:t>
          </w:r>
          <w:r w:rsidR="004E72CB">
            <w:fldChar w:fldCharType="end"/>
          </w:r>
        </w:sdtContent>
      </w:sdt>
      <w:r w:rsidR="00C24124">
        <w:t xml:space="preserve">. </w:t>
      </w:r>
      <w:r w:rsidR="007233B5">
        <w:t>Mit der richtigen kulturellen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7233B5">
        <w:t xml:space="preserve"> Veränderung sinnvoll ist, nur weil ein Service bestimmte Mer</w:t>
      </w:r>
      <w:r w:rsidR="004B4F7B">
        <w:t xml:space="preserve">kmale aufweist. Abhängig </w:t>
      </w:r>
      <w:r w:rsidR="007233B5">
        <w:t>von der Mehrwertbemes</w:t>
      </w:r>
      <w:r w:rsidR="007233B5">
        <w:lastRenderedPageBreak/>
        <w:t xml:space="preserve">sung ist die </w:t>
      </w:r>
      <w:r w:rsidR="007233B5" w:rsidRPr="00FC0D49">
        <w:rPr>
          <w:b/>
        </w:rPr>
        <w:t>Priorität</w:t>
      </w:r>
      <w:r w:rsidR="007233B5">
        <w:t xml:space="preserve"> einer Veränderung. Je höher der Nutzen, desto eher sollte die Veränderung herbeigeführt werden ergo desto </w:t>
      </w:r>
      <w:r w:rsidR="004B4F7B">
        <w:t>höher sollte die Priorität eingestuft</w:t>
      </w:r>
      <w:r w:rsidR="007233B5">
        <w:t xml:space="preserve"> </w:t>
      </w:r>
      <w:r w:rsidR="004B4F7B">
        <w:t>werden</w:t>
      </w:r>
      <w:r w:rsidR="007233B5">
        <w:t xml:space="preserve">. </w:t>
      </w:r>
      <w:r w:rsidR="004B4F7B">
        <w:t xml:space="preserve">Potentiell sind Veränderungen von </w:t>
      </w:r>
      <w:r w:rsidR="007233B5">
        <w:t xml:space="preserve">Services mit hohem Geschäftsnutzen oder strategischer Bedeutung </w:t>
      </w:r>
      <w:r w:rsidR="004B4F7B">
        <w:t>zwar wichtiger, da aber der Mehrwert nicht pauschal für alle Änderungen definiert werden kann, ist auch die Priorität nicht pauschal hoch oder niedrig</w:t>
      </w:r>
      <w:r w:rsidR="007233B5">
        <w:t>.</w:t>
      </w:r>
      <w:r w:rsidR="00FC0D49">
        <w:t xml:space="preserve"> </w:t>
      </w:r>
      <w:r w:rsidR="004E72CB">
        <w:t xml:space="preserve">Zu beachten ist dafür auch bei jedem Change das entsprechende Risiko, so dass die Durchführung von </w:t>
      </w:r>
      <w:r w:rsidR="004E72CB" w:rsidRPr="004E72CB">
        <w:rPr>
          <w:b/>
        </w:rPr>
        <w:t>Leistungs- und Risikobewertungen</w:t>
      </w:r>
      <w:r w:rsidR="004E72CB">
        <w:t xml:space="preserve"> ebenfalls jederzeit zu erfolgen hat. </w:t>
      </w:r>
      <w:r w:rsidR="00FC0D49">
        <w:t>Sehr 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Generell muss es für jeden Service eine Verantwortungsdefinition geben, damit bei Entscheidungen klar ist, welche Kompetenzlage vorherrscht. Die Auftrennung der Verantwortung kann jedoch bei jedem Service anders sein, da unterschiedliche Personen in unterschiedlichen Rollen mit individuellen Fähigkeiten miteinander arbeiten. Neben der individuellen Fähigkeit der handel</w:t>
      </w:r>
      <w:r w:rsidR="00C56BC2">
        <w:t>nd</w:t>
      </w:r>
      <w:r w:rsidR="00523BB3">
        <w:t>en Personen, können aber auch übergreifende Regelungen, wie z. B. ein generelles vier-Augen-Prinzip oder Budgetverantwortung eine Rolle spielen</w:t>
      </w:r>
      <w:r w:rsidR="003362A0">
        <w:t xml:space="preserve"> </w:t>
      </w:r>
      <w:sdt>
        <w:sdtPr>
          <w:id w:val="-535050389"/>
          <w:citation/>
        </w:sdtPr>
        <w:sdtContent>
          <w:r w:rsidR="003362A0">
            <w:fldChar w:fldCharType="begin"/>
          </w:r>
          <w:r w:rsidR="003362A0">
            <w:instrText xml:space="preserve">CITATION AXE11 \p "S. 68" \l 1031 </w:instrText>
          </w:r>
          <w:r w:rsidR="003362A0">
            <w:fldChar w:fldCharType="separate"/>
          </w:r>
          <w:r w:rsidR="003362A0">
            <w:rPr>
              <w:noProof/>
            </w:rPr>
            <w:t>(AXELOS 2011, S. 68)</w:t>
          </w:r>
          <w:r w:rsidR="003362A0">
            <w:fldChar w:fldCharType="end"/>
          </w:r>
        </w:sdtContent>
      </w:sdt>
      <w:r w:rsidR="00523BB3">
        <w:t>. Um unnötige Verzögerungen zu vermeiden, sollten aber die Verantwortlichkeiten nicht zu stark verteilt werden.</w:t>
      </w:r>
      <w:r w:rsidR="000C10DE">
        <w:t xml:space="preserve"> Verzögerungen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zeitlichen Kritikalität</w:t>
      </w:r>
      <w:r w:rsidR="00FC0D49">
        <w:t xml:space="preserve"> die Verantwortungsdefinition zu gestalten.</w:t>
      </w:r>
      <w:r w:rsidR="006510BC">
        <w:t xml:space="preserve"> Die gleiche Argumentation gilt auch für den Faktor der </w:t>
      </w:r>
      <w:r w:rsidR="006510BC">
        <w:rPr>
          <w:b/>
        </w:rPr>
        <w:t>Zugriffsbeschränkung</w:t>
      </w:r>
      <w:r w:rsidR="006510BC">
        <w:t>, da diese von der jeweiligen Verantwortung der Personen abhängig sind. Prinzipiell sollten für alle Services derartige Beschränkungen festgelegt werden.</w:t>
      </w:r>
      <w:r w:rsidR="00FC0D49">
        <w:t xml:space="preserve"> Ein </w:t>
      </w:r>
      <w:r w:rsidR="00FC0D49" w:rsidRPr="00FC0D49">
        <w:rPr>
          <w:b/>
        </w:rPr>
        <w:t>zentraler Anlaufpunkt</w:t>
      </w:r>
      <w:r w:rsidR="00FC0D49">
        <w:t xml:space="preserve"> für alle Veränderungen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Content>
          <w:r w:rsidR="00ED0C47">
            <w:fldChar w:fldCharType="begin"/>
          </w:r>
          <w:r w:rsidR="00ED0C47">
            <w:instrText xml:space="preserve">CITATION AXE11 \p "S. 80" \l 1031 </w:instrText>
          </w:r>
          <w:r w:rsidR="00ED0C47">
            <w:fldChar w:fldCharType="separate"/>
          </w:r>
          <w:r w:rsidR="00ED0C47">
            <w:rPr>
              <w:noProof/>
            </w:rPr>
            <w:t>(AXELOS 2011, S. 80)</w:t>
          </w:r>
          <w:r w:rsidR="00ED0C47">
            <w:fldChar w:fldCharType="end"/>
          </w:r>
        </w:sdtContent>
      </w:sdt>
      <w:r w:rsidR="00EA0FFE">
        <w:t>. Es prüft alle Veränderungen und gibt diese frei bzw. lehnt sie</w:t>
      </w:r>
      <w:r w:rsidR="003362A0">
        <w:t xml:space="preserve"> mit Hinweisen zur Verbesserung</w:t>
      </w:r>
      <w:r w:rsidR="00EA0FFE">
        <w:t xml:space="preserve"> ab</w:t>
      </w:r>
      <w:sdt>
        <w:sdtPr>
          <w:id w:val="-1084692606"/>
          <w:citation/>
        </w:sdtPr>
        <w:sdtContent>
          <w:r w:rsidR="00ED0C47">
            <w:fldChar w:fldCharType="begin"/>
          </w:r>
          <w:r w:rsidR="003362A0">
            <w:instrText xml:space="preserve">CITATION AXE11 \p "S. 67, 80" \l 1031 </w:instrText>
          </w:r>
          <w:r w:rsidR="00ED0C47">
            <w:fldChar w:fldCharType="separate"/>
          </w:r>
          <w:r w:rsidR="003362A0">
            <w:rPr>
              <w:noProof/>
            </w:rPr>
            <w:t xml:space="preserve"> (AXELOS 2011, S. 67, 80)</w:t>
          </w:r>
          <w:r w:rsidR="00ED0C47">
            <w:fldChar w:fldCharType="end"/>
          </w:r>
        </w:sdtContent>
      </w:sdt>
      <w:r w:rsidR="00EA0FFE">
        <w:t xml:space="preserve">. </w:t>
      </w:r>
      <w:r w:rsidR="003362A0">
        <w:t>Diese Funktion ist gerade dann wichtig, wenn verschiedene Veränderungsvorhaben in einer Dimension, z. B. hinsichtlich der benötigten personellen Ressourcen im Konflikt stehen oder andere Services von der Veränderung betroffen sind</w:t>
      </w:r>
      <w:sdt>
        <w:sdtPr>
          <w:id w:val="-1230612652"/>
          <w:citation/>
        </w:sdtPr>
        <w:sdtContent>
          <w:r w:rsidR="003362A0">
            <w:fldChar w:fldCharType="begin"/>
          </w:r>
          <w:r w:rsidR="003362A0">
            <w:instrText xml:space="preserve">CITATION AXE11 \p "S. 64" \l 1031 </w:instrText>
          </w:r>
          <w:r w:rsidR="003362A0">
            <w:fldChar w:fldCharType="separate"/>
          </w:r>
          <w:r w:rsidR="003362A0">
            <w:rPr>
              <w:noProof/>
            </w:rPr>
            <w:t xml:space="preserve"> (AXELOS 2011, S. 64)</w:t>
          </w:r>
          <w:r w:rsidR="003362A0">
            <w:fldChar w:fldCharType="end"/>
          </w:r>
        </w:sdtContent>
      </w:sdt>
      <w:r w:rsidR="003362A0">
        <w:t>. U</w:t>
      </w:r>
      <w:r w:rsidR="00ED0C47">
        <w:t>m den</w:t>
      </w:r>
      <w:r w:rsidR="00EA0FFE">
        <w:t xml:space="preserve"> verschiedenen Priorisierung gerecht zu werden</w:t>
      </w:r>
      <w:r w:rsidR="003362A0">
        <w:t>, werden mehrere Change-Typen unterschieden</w:t>
      </w:r>
      <w:r w:rsidR="007218A4">
        <w:t xml:space="preserve"> </w:t>
      </w:r>
      <w:sdt>
        <w:sdtPr>
          <w:id w:val="1188721109"/>
          <w:citation/>
        </w:sdtPr>
        <w:sdtContent>
          <w:r w:rsidR="007218A4">
            <w:fldChar w:fldCharType="begin"/>
          </w:r>
          <w:r w:rsidR="007218A4">
            <w:instrText xml:space="preserve">CITATION AXE11 \p "S. 65" \l 1031 </w:instrText>
          </w:r>
          <w:r w:rsidR="007218A4">
            <w:fldChar w:fldCharType="separate"/>
          </w:r>
          <w:r w:rsidR="007218A4">
            <w:rPr>
              <w:noProof/>
            </w:rPr>
            <w:t>(AXELOS 2011, S. 65)</w:t>
          </w:r>
          <w:r w:rsidR="007218A4">
            <w:fldChar w:fldCharType="end"/>
          </w:r>
        </w:sdtContent>
      </w:sdt>
      <w:r w:rsidR="00EA0FFE">
        <w:t>. Emergency</w:t>
      </w:r>
      <w:r w:rsidR="008C01EF">
        <w:t xml:space="preserve"> </w:t>
      </w:r>
      <w:proofErr w:type="spellStart"/>
      <w:r w:rsidR="008C01EF">
        <w:t>Changes</w:t>
      </w:r>
      <w:proofErr w:type="spellEnd"/>
      <w:r w:rsidR="007218A4">
        <w:t xml:space="preserve"> sind Veränderungen die so schnell wie möglich durchgeführt werden müssen, um einen schweren Fehler zu beheben oder um ein Sicherheitsupdate einzuspielen</w:t>
      </w:r>
      <w:sdt>
        <w:sdtPr>
          <w:id w:val="33203333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7218A4">
        <w:t xml:space="preserve">. Standard </w:t>
      </w:r>
      <w:proofErr w:type="spellStart"/>
      <w:r w:rsidR="007218A4">
        <w:t>Changes</w:t>
      </w:r>
      <w:proofErr w:type="spellEnd"/>
      <w:r w:rsidR="007218A4">
        <w:t xml:space="preserve"> dagegen sind Veränderungen mit geringem Risiko, welche oft durchgeführt werden und als Routinetätigkeit angesehen werden können</w:t>
      </w:r>
      <w:r w:rsidR="003362A0">
        <w:t xml:space="preserve"> und demnach bevorzugt durchzuführen sind</w:t>
      </w:r>
      <w:sdt>
        <w:sdtPr>
          <w:id w:val="-1542744645"/>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w:t>
          </w:r>
          <w:r w:rsidR="007218A4">
            <w:rPr>
              <w:noProof/>
            </w:rPr>
            <w:lastRenderedPageBreak/>
            <w:t>S. 65)</w:t>
          </w:r>
          <w:r w:rsidR="007218A4">
            <w:fldChar w:fldCharType="end"/>
          </w:r>
        </w:sdtContent>
      </w:sdt>
      <w:r w:rsidR="003362A0">
        <w:t xml:space="preserve">. </w:t>
      </w:r>
      <w:r w:rsidR="007218A4">
        <w:t xml:space="preserve">Alle anderen Veränderungen werden als Normal </w:t>
      </w:r>
      <w:proofErr w:type="spellStart"/>
      <w:r w:rsidR="007218A4">
        <w:t>Changes</w:t>
      </w:r>
      <w:proofErr w:type="spellEnd"/>
      <w:r w:rsidR="007218A4">
        <w:t xml:space="preserve"> bezeichnet</w:t>
      </w:r>
      <w:sdt>
        <w:sdtPr>
          <w:id w:val="-1378552887"/>
          <w:citation/>
        </w:sdt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7218A4">
        <w:t>Veränderung</w:t>
      </w:r>
      <w:r w:rsidR="00FC0D49">
        <w:t xml:space="preserve"> </w:t>
      </w:r>
      <w:r w:rsidR="00ED0C47">
        <w:t>aktiv werden muss</w:t>
      </w:r>
      <w:sdt>
        <w:sdtPr>
          <w:id w:val="-585225557"/>
          <w:citation/>
        </w:sdtPr>
        <w:sdtContent>
          <w:r w:rsidR="00ED0C47">
            <w:fldChar w:fldCharType="begin"/>
          </w:r>
          <w:r w:rsidR="00ED0C47">
            <w:instrText xml:space="preserve">CITATION AXE11 \p "S. 80" \l 1031 </w:instrText>
          </w:r>
          <w:r w:rsidR="00ED0C47">
            <w:fldChar w:fldCharType="separate"/>
          </w:r>
          <w:r w:rsidR="00ED0C47">
            <w:rPr>
              <w:noProof/>
            </w:rPr>
            <w:t xml:space="preserve"> (AXELOS 2011, S. 80)</w:t>
          </w:r>
          <w:r w:rsidR="00ED0C47">
            <w:fldChar w:fldCharType="end"/>
          </w:r>
        </w:sdtContent>
      </w:sdt>
      <w:r w:rsidR="00FC0D49">
        <w:t xml:space="preserve">. </w:t>
      </w:r>
      <w:r w:rsidR="008E73D9">
        <w:t>Über das Standard Change Konstrukt ist es möglich, die Freigabe für Veränderungen</w:t>
      </w:r>
      <w:r w:rsidR="003362A0">
        <w:t>, wie z. B. Releases,</w:t>
      </w:r>
      <w:r w:rsidR="008E73D9">
        <w:t xml:space="preserve"> im Voraus zu erhalten, wenn dafür eine zuvor abgestimmtes Verfahren eingehalten wird</w:t>
      </w:r>
      <w:sdt>
        <w:sdtPr>
          <w:id w:val="-990401516"/>
          <w:citation/>
        </w:sdtPr>
        <w:sdtContent>
          <w:r w:rsidR="003362A0">
            <w:fldChar w:fldCharType="begin"/>
          </w:r>
          <w:r w:rsidR="003362A0">
            <w:instrText xml:space="preserve">CITATION AXE11 \p "S. 69" \l 1031 </w:instrText>
          </w:r>
          <w:r w:rsidR="003362A0">
            <w:fldChar w:fldCharType="separate"/>
          </w:r>
          <w:r w:rsidR="003362A0">
            <w:rPr>
              <w:noProof/>
            </w:rPr>
            <w:t xml:space="preserve"> (AXELOS 2011, S. 69)</w:t>
          </w:r>
          <w:r w:rsidR="003362A0">
            <w:fldChar w:fldCharType="end"/>
          </w:r>
        </w:sdtContent>
      </w:sdt>
      <w:r w:rsidR="008E73D9">
        <w:t>.</w:t>
      </w:r>
      <w:r w:rsidR="00AF3E28">
        <w:t xml:space="preserve"> Demnach sollte bei zeitkritischen Services das Verfahren für die Veröffe</w:t>
      </w:r>
      <w:r w:rsidR="00EF3AB7">
        <w:t xml:space="preserve">ntlichung von Releases </w:t>
      </w:r>
      <w:r w:rsidR="00AF3E28">
        <w:t xml:space="preserve">standardisiert </w:t>
      </w:r>
      <w:r w:rsidR="00EF3AB7">
        <w:t>und als Standard Change registriert werden</w:t>
      </w:r>
      <w:r w:rsidR="00AF3E28">
        <w:t>.</w:t>
      </w:r>
      <w:r w:rsidR="008E73D9">
        <w:t xml:space="preserve"> </w:t>
      </w:r>
      <w:r w:rsidR="00EF3AB7">
        <w:t>Wie die Veröffentlichung prozessual und technisch</w:t>
      </w:r>
      <w:r w:rsidR="00AF3E28">
        <w:t xml:space="preserve"> konkret erfolgt, ist im Release </w:t>
      </w:r>
      <w:proofErr w:type="spellStart"/>
      <w:r w:rsidR="00AF3E28">
        <w:t>and</w:t>
      </w:r>
      <w:proofErr w:type="spellEnd"/>
      <w:r w:rsidR="00AF3E28">
        <w:t xml:space="preserve"> </w:t>
      </w:r>
      <w:proofErr w:type="spellStart"/>
      <w:r w:rsidR="00AF3E28">
        <w:t>Deployment</w:t>
      </w:r>
      <w:proofErr w:type="spellEnd"/>
      <w:r w:rsidR="00AF3E28">
        <w:t xml:space="preserve"> Management zu definieren (vgl. Kapitel </w:t>
      </w:r>
      <w:r w:rsidR="00AF3E28">
        <w:fldChar w:fldCharType="begin"/>
      </w:r>
      <w:r w:rsidR="00AF3E28">
        <w:instrText xml:space="preserve"> REF _Ref449366923 \r \h </w:instrText>
      </w:r>
      <w:r w:rsidR="00AF3E28">
        <w:fldChar w:fldCharType="separate"/>
      </w:r>
      <w:r w:rsidR="00E67FF7">
        <w:t>4.4</w:t>
      </w:r>
      <w:r w:rsidR="00AF3E28">
        <w:fldChar w:fldCharType="end"/>
      </w:r>
      <w:r w:rsidR="00AF3E28">
        <w:t>)</w:t>
      </w:r>
      <w:sdt>
        <w:sdtPr>
          <w:id w:val="1109315551"/>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AF3E28">
        <w:t>.</w:t>
      </w:r>
      <w:r w:rsidR="001047A0">
        <w:t xml:space="preserve"> </w:t>
      </w:r>
      <w:r w:rsidR="00AF3E28">
        <w:t>Das</w:t>
      </w:r>
      <w:r w:rsidR="001047A0">
        <w:t xml:space="preserve"> CAB als zentrale Anlaufstelle </w:t>
      </w:r>
      <w:r w:rsidR="00AF3E28">
        <w:t>dient weiterhin auch</w:t>
      </w:r>
      <w:r w:rsidR="001047A0">
        <w:t xml:space="preserve"> der </w:t>
      </w:r>
      <w:r w:rsidR="001047A0" w:rsidRPr="001047A0">
        <w:rPr>
          <w:b/>
        </w:rPr>
        <w:t>Nachvollziehbarkeit</w:t>
      </w:r>
      <w:r w:rsidR="001047A0">
        <w:t xml:space="preserve"> </w:t>
      </w:r>
      <w:r w:rsidR="00AF3E28">
        <w:t>aller</w:t>
      </w:r>
      <w:r w:rsidR="001047A0">
        <w:t xml:space="preserve"> </w:t>
      </w:r>
      <w:proofErr w:type="spellStart"/>
      <w:r w:rsidR="001047A0">
        <w:t>Changes</w:t>
      </w:r>
      <w:proofErr w:type="spellEnd"/>
      <w:r w:rsidR="001047A0">
        <w:t xml:space="preserve">, da dort alle </w:t>
      </w:r>
      <w:r w:rsidR="00AF3E28">
        <w:t xml:space="preserve">Veränderungen </w:t>
      </w:r>
      <w:r w:rsidR="001047A0">
        <w:t>geprüft bzw. zumindest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weiterhin generell sinnvoll die </w:t>
      </w:r>
      <w:r w:rsidR="004E72CB" w:rsidRPr="004E72CB">
        <w:rPr>
          <w:b/>
        </w:rPr>
        <w:t>Effizienz und Effektivität</w:t>
      </w:r>
      <w:r w:rsidR="004E72CB">
        <w:t xml:space="preserve"> der </w:t>
      </w:r>
      <w:proofErr w:type="spellStart"/>
      <w:r w:rsidR="004E72CB">
        <w:t>Changes</w:t>
      </w:r>
      <w:proofErr w:type="spellEnd"/>
      <w:r w:rsidR="004E72CB">
        <w:t xml:space="preserve"> zu betrachten. Der Aspekt des definierten </w:t>
      </w:r>
      <w:r w:rsidR="004E72CB" w:rsidRPr="004E72CB">
        <w:rPr>
          <w:b/>
        </w:rPr>
        <w:t>Wartungsfenster</w:t>
      </w:r>
      <w:r w:rsidR="004E72CB">
        <w:rPr>
          <w:b/>
        </w:rPr>
        <w:t>s</w:t>
      </w:r>
      <w:r w:rsidR="004E72CB">
        <w:t xml:space="preserve">, d. h. der feste Zeitraum und Zyklus in dem Änderungen an produktiven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510BC">
        <w:t xml:space="preserve"> Andererseits ist bei den Wartungsfenstern darauf zu achten, dass je nach Änderungsverfahren eine Serviceunterbrechung in die Folge ist, welche entweder zu geschäftsarmer Zeit erfolgen sollte, oder über entsprechende Verfahren ganz zu vermeiden ist</w:t>
      </w:r>
      <w:sdt>
        <w:sdtPr>
          <w:id w:val="-385104418"/>
          <w:citation/>
        </w:sdt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6510BC">
        <w:t>.</w:t>
      </w:r>
    </w:p>
    <w:p w14:paraId="65D5B3DC" w14:textId="4F95F15C" w:rsidR="004B4F7B" w:rsidRPr="00EA2F6B" w:rsidRDefault="004B4F7B" w:rsidP="0064096F">
      <w:r>
        <w:t xml:space="preserve">Relevant für die Standardtypkonstruktion im Sinne des Change Management </w:t>
      </w:r>
      <w:r w:rsidR="0053310C">
        <w:t>ist damit der Change-Typ</w:t>
      </w:r>
      <w:r w:rsidR="004E72CB">
        <w:t xml:space="preserve"> und die spezifische Definition von Wartungsfenstern</w:t>
      </w:r>
      <w:r>
        <w:t>.</w:t>
      </w:r>
    </w:p>
    <w:p w14:paraId="3BE2D251" w14:textId="3F5D5BDD" w:rsidR="00BE5B1B" w:rsidRDefault="00BE5B1B" w:rsidP="00E67FF7">
      <w:pPr>
        <w:pStyle w:val="berschrift2"/>
      </w:pPr>
      <w:bookmarkStart w:id="75" w:name="_Toc450314473"/>
      <w:r>
        <w:t xml:space="preserve">Service Asset </w:t>
      </w:r>
      <w:proofErr w:type="spellStart"/>
      <w:r>
        <w:t>And</w:t>
      </w:r>
      <w:proofErr w:type="spellEnd"/>
      <w:r>
        <w:t xml:space="preserve"> </w:t>
      </w:r>
      <w:proofErr w:type="spellStart"/>
      <w:r>
        <w:t>Configuration</w:t>
      </w:r>
      <w:proofErr w:type="spellEnd"/>
      <w:r w:rsidR="008E73D9">
        <w:t xml:space="preserve"> Management</w:t>
      </w:r>
      <w:bookmarkEnd w:id="75"/>
    </w:p>
    <w:p w14:paraId="5650935D" w14:textId="2926FDAF" w:rsidR="00A7469D" w:rsidRPr="00865469" w:rsidRDefault="00865469" w:rsidP="00935238">
      <w:r>
        <w:t xml:space="preserve">Mittels dem Service Asset </w:t>
      </w:r>
      <w:proofErr w:type="spellStart"/>
      <w:r>
        <w:t>And</w:t>
      </w:r>
      <w:proofErr w:type="spellEnd"/>
      <w:r>
        <w:t xml:space="preserve"> </w:t>
      </w:r>
      <w:proofErr w:type="spellStart"/>
      <w:r>
        <w:t>Configuration</w:t>
      </w:r>
      <w:proofErr w:type="spellEnd"/>
      <w:r>
        <w:t xml:space="preserve">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Content>
          <w:r w:rsidR="006A752B">
            <w:fldChar w:fldCharType="begin"/>
          </w:r>
          <w:r w:rsidR="0009663E">
            <w:instrText xml:space="preserve">CITATION AXE11 \p "S. 89 f." \l 1031 </w:instrText>
          </w:r>
          <w:r w:rsidR="006A752B">
            <w:fldChar w:fldCharType="separate"/>
          </w:r>
          <w:r w:rsidR="0009663E">
            <w:rPr>
              <w:noProof/>
            </w:rPr>
            <w:t>(AXELOS 2011, S. 89 f.)</w:t>
          </w:r>
          <w:r w:rsidR="006A752B">
            <w:fldChar w:fldCharType="end"/>
          </w:r>
        </w:sdtContent>
      </w:sdt>
      <w:r w:rsidR="006A752B">
        <w:t>. Diese Informationen umfassen einerseits spezifische Details der Elemente sowie deren Beziehungen zueinander</w:t>
      </w:r>
      <w:sdt>
        <w:sdtPr>
          <w:id w:val="1484280900"/>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Das Hauptziel des SACM ist somit die Sicherstellung, dass alle Elemente über den kompletten Lebenszyklus ordnungsgemäß identifiziert und gepflegt sind</w:t>
      </w:r>
      <w:sdt>
        <w:sdtPr>
          <w:id w:val="1793484191"/>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Dazu wird ein </w:t>
      </w:r>
      <w:proofErr w:type="spellStart"/>
      <w:r w:rsidR="006A752B">
        <w:t>Configuration</w:t>
      </w:r>
      <w:proofErr w:type="spellEnd"/>
      <w:r w:rsidR="006A752B">
        <w:t xml:space="preserve"> Ma</w:t>
      </w:r>
      <w:r w:rsidR="006A752B">
        <w:lastRenderedPageBreak/>
        <w:t>nagement System (CMS) benötigt, welches alle diese Informationen speichert und anderen ITIL-Prozessen zur Verfügung stellt</w:t>
      </w:r>
      <w:sdt>
        <w:sdtPr>
          <w:id w:val="-431973309"/>
          <w:citation/>
        </w:sdt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 xml:space="preserve">Mehrkosten und Strafzahlungen </w:t>
      </w:r>
      <w:r w:rsidR="00A7469D">
        <w:t>führt</w:t>
      </w:r>
      <w:sdt>
        <w:sdtPr>
          <w:id w:val="-457267026"/>
          <w:citation/>
        </w:sdtPr>
        <w:sdtContent>
          <w:r w:rsidR="00A7469D">
            <w:fldChar w:fldCharType="begin"/>
          </w:r>
          <w:r w:rsidR="00A7469D">
            <w:instrText xml:space="preserve">CITATION AXE11 \p "S. 90" \l 1031 </w:instrText>
          </w:r>
          <w:r w:rsidR="00A7469D">
            <w:fldChar w:fldCharType="separate"/>
          </w:r>
          <w:r w:rsidR="00A7469D">
            <w:rPr>
              <w:noProof/>
            </w:rPr>
            <w:t xml:space="preserve"> (AXELOS 2011, S. 90)</w:t>
          </w:r>
          <w:r w:rsidR="00A7469D">
            <w:fldChar w:fldCharType="end"/>
          </w:r>
        </w:sdtContent>
      </w:sdt>
      <w:r w:rsidR="00A7469D">
        <w:t xml:space="preserve">. Weiterhin führt diese Transparenz zu einer besseren Planbarkeit von Veränderungen sowie zu einer höheren Erfolgsquote bei deren </w:t>
      </w:r>
      <w:r w:rsidR="00A7469D" w:rsidRPr="00A52FAF">
        <w:t>Durchführung</w:t>
      </w:r>
      <w:sdt>
        <w:sdtPr>
          <w:id w:val="-216049081"/>
          <w:citation/>
        </w:sdtPr>
        <w:sdtContent>
          <w:r w:rsidR="00A7469D" w:rsidRPr="00A52FAF">
            <w:fldChar w:fldCharType="begin"/>
          </w:r>
          <w:r w:rsidR="00A7469D" w:rsidRPr="00A52FAF">
            <w:instrText xml:space="preserve">CITATION AXE11 \p "S. 91" \l 1031 </w:instrText>
          </w:r>
          <w:r w:rsidR="00A7469D" w:rsidRPr="00A52FAF">
            <w:fldChar w:fldCharType="separate"/>
          </w:r>
          <w:r w:rsidR="00A7469D" w:rsidRPr="00A52FAF">
            <w:rPr>
              <w:noProof/>
            </w:rPr>
            <w:t xml:space="preserve"> (AXELOS 2011, S. 91)</w:t>
          </w:r>
          <w:r w:rsidR="00A7469D" w:rsidRPr="00A52FAF">
            <w:fldChar w:fldCharType="end"/>
          </w:r>
        </w:sdtContent>
      </w:sdt>
      <w:r w:rsidR="00A7469D" w:rsidRPr="00A52FAF">
        <w:t>. Zudem</w:t>
      </w:r>
      <w:r w:rsidR="00A7469D">
        <w:t xml:space="preserve"> ermöglicht SACM die Nachverfolgbarkeit von Veränderungen von der Anforderungserhebung bis zum veröffentlichten Release sowie die Kostenzuordnung auf Serviceebene</w:t>
      </w:r>
      <w:sdt>
        <w:sdtPr>
          <w:id w:val="-1345935312"/>
          <w:citation/>
        </w:sdtPr>
        <w:sdtContent>
          <w:r w:rsidR="00A7469D">
            <w:fldChar w:fldCharType="begin"/>
          </w:r>
          <w:r w:rsidR="00A7469D">
            <w:instrText xml:space="preserve">CITATION AXE11 \p "S. 91" \l 1031 </w:instrText>
          </w:r>
          <w:r w:rsidR="00A7469D">
            <w:fldChar w:fldCharType="separate"/>
          </w:r>
          <w:r w:rsidR="00A7469D">
            <w:rPr>
              <w:noProof/>
            </w:rPr>
            <w:t xml:space="preserve"> (AXELOS 2011, S. 91)</w:t>
          </w:r>
          <w:r w:rsidR="00A7469D">
            <w:fldChar w:fldCharType="end"/>
          </w:r>
        </w:sdtContent>
      </w:sdt>
      <w:r w:rsidR="00A7469D">
        <w:t xml:space="preserve">. </w:t>
      </w:r>
      <w:r w:rsidR="00935238">
        <w:t xml:space="preserve">Die Regularien für das SACM hängen stark von den CHM und Release </w:t>
      </w:r>
      <w:proofErr w:type="spellStart"/>
      <w:r w:rsidR="00935238">
        <w:t>And</w:t>
      </w:r>
      <w:proofErr w:type="spellEnd"/>
      <w:r w:rsidR="00935238">
        <w:t xml:space="preserve"> </w:t>
      </w:r>
      <w:proofErr w:type="spellStart"/>
      <w:r w:rsidR="00935238">
        <w:t>Deployment</w:t>
      </w:r>
      <w:proofErr w:type="spellEnd"/>
      <w:r w:rsidR="00935238">
        <w:t xml:space="preserve"> Management (RDM) Prozessen ab und lassen sich nicht unabhängig verallgemeinern</w:t>
      </w:r>
      <w:sdt>
        <w:sdtPr>
          <w:id w:val="1427466252"/>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 Aufgrund des hohen Aufwands für das SACM ist bei der Ausgestaltung darauf zu achten, welcher Bedarf dafür tatsächlich vorherrscht und ob dieser ggf. nur bestimmte Elementtypen oder Services betrifft</w:t>
      </w:r>
      <w:sdt>
        <w:sdtPr>
          <w:id w:val="-1504039830"/>
          <w:citation/>
        </w:sdt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w:t>
      </w:r>
      <w:r w:rsidR="00616200">
        <w:t xml:space="preserve"> Diese</w:t>
      </w:r>
      <w:r w:rsidR="00BE3C47">
        <w:t>r Bedarf</w:t>
      </w:r>
      <w:r w:rsidR="00616200">
        <w:t xml:space="preserve"> bezieht sich vorwiegend auf </w:t>
      </w:r>
      <w:r w:rsidR="00935238">
        <w:t xml:space="preserve">gesetzliche Regelungen in Abhängigkeit der jeweiligen Branche </w:t>
      </w:r>
      <w:r w:rsidR="00BE3C47">
        <w:t>bzw. des</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Content>
          <w:r w:rsidR="00935238">
            <w:fldChar w:fldCharType="begin"/>
          </w:r>
          <w:r w:rsidR="0009663E">
            <w:instrText xml:space="preserve">CITATION AXE11 \p "S. 90 f." \l 1031 </w:instrText>
          </w:r>
          <w:r w:rsidR="00935238">
            <w:fldChar w:fldCharType="separate"/>
          </w:r>
          <w:r w:rsidR="0009663E">
            <w:rPr>
              <w:noProof/>
            </w:rPr>
            <w:t>(AXELOS 2011, S. 90 f.)</w:t>
          </w:r>
          <w:r w:rsidR="00935238">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Produktlebenszyklus</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76" w:name="_Ref449366923"/>
      <w:bookmarkStart w:id="77" w:name="_Toc450314474"/>
      <w:r>
        <w:t xml:space="preserve">Release </w:t>
      </w:r>
      <w:proofErr w:type="spellStart"/>
      <w:r>
        <w:t>And</w:t>
      </w:r>
      <w:proofErr w:type="spellEnd"/>
      <w:r>
        <w:t xml:space="preserve"> </w:t>
      </w:r>
      <w:proofErr w:type="spellStart"/>
      <w:r>
        <w:t>Deployment</w:t>
      </w:r>
      <w:proofErr w:type="spellEnd"/>
      <w:r>
        <w:t xml:space="preserve"> Management</w:t>
      </w:r>
      <w:bookmarkEnd w:id="76"/>
      <w:bookmarkEnd w:id="77"/>
    </w:p>
    <w:p w14:paraId="702D5913" w14:textId="07E2743F" w:rsidR="00534679" w:rsidRDefault="00554883" w:rsidP="00534679">
      <w:r>
        <w:t xml:space="preserve">Das Release </w:t>
      </w:r>
      <w:proofErr w:type="spellStart"/>
      <w:r>
        <w:t>And</w:t>
      </w:r>
      <w:proofErr w:type="spellEnd"/>
      <w:r>
        <w:t xml:space="preserve"> </w:t>
      </w:r>
      <w:proofErr w:type="spellStart"/>
      <w:r>
        <w:t>Deploy</w:t>
      </w:r>
      <w:proofErr w:type="spellEnd"/>
      <w:r>
        <w:t xml:space="preserve"> Management ist für die Planung und Steuerung des Baus, des Tests und der Installation von Releases verantwortlich</w:t>
      </w:r>
      <w:sdt>
        <w:sdtPr>
          <w:id w:val="242840596"/>
          <w:citation/>
        </w:sdtPr>
        <w:sdtContent>
          <w:r>
            <w:fldChar w:fldCharType="begin"/>
          </w:r>
          <w:r>
            <w:instrText xml:space="preserve">CITATION AXE11 \p "S. 114" \l 1031 </w:instrText>
          </w:r>
          <w:r>
            <w:fldChar w:fldCharType="separate"/>
          </w:r>
          <w:r>
            <w:rPr>
              <w:noProof/>
            </w:rPr>
            <w:t xml:space="preserve"> (AXELOS 2011, S. 114)</w:t>
          </w:r>
          <w:r>
            <w:fldChar w:fldCharType="end"/>
          </w:r>
        </w:sdtContent>
      </w:sdt>
      <w:r>
        <w:t xml:space="preserve">. Es dient der Bereitstellung neuer Funktionalität gemäß der Geschäftsanforderungen, wobei die Integrität bestehender Services gesichert wird </w:t>
      </w:r>
      <w:sdt>
        <w:sdtPr>
          <w:id w:val="552587378"/>
          <w:citation/>
        </w:sdtPr>
        <w:sdtContent>
          <w:r>
            <w:fldChar w:fldCharType="begin"/>
          </w:r>
          <w:r>
            <w:instrText xml:space="preserve">CITATION AXE11 \p "S. 114" \l 1031 </w:instrText>
          </w:r>
          <w:r>
            <w:fldChar w:fldCharType="separate"/>
          </w:r>
          <w:r>
            <w:rPr>
              <w:noProof/>
            </w:rPr>
            <w:t>(AXELOS 2011, S. 114)</w:t>
          </w:r>
          <w:r>
            <w:fldChar w:fldCharType="end"/>
          </w:r>
        </w:sdtContent>
      </w:sdt>
      <w:r>
        <w:t xml:space="preserve"> Daher ist es von zentraler Bedeutung für die Standardtypen des Release-Managements. Zielstellungen sind die Abstimmung von Release-Plänen, die Bereitstellung und Lagerung getesteter Release-Pakete, die Veröffentlichung der Releases auf die Produktionsumgebung und die Befähigung der Organisation die neuen Services zu betreuen</w:t>
      </w:r>
      <w:sdt>
        <w:sdtPr>
          <w:id w:val="-1533641610"/>
          <w:citation/>
        </w:sdtPr>
        <w:sdtContent>
          <w:r>
            <w:fldChar w:fldCharType="begin"/>
          </w:r>
          <w:r w:rsidR="0009663E">
            <w:instrText xml:space="preserve">CITATION AXE11 \p "S. 114 f." \l 1031 </w:instrText>
          </w:r>
          <w:r>
            <w:fldChar w:fldCharType="separate"/>
          </w:r>
          <w:r w:rsidR="0009663E">
            <w:rPr>
              <w:noProof/>
            </w:rPr>
            <w:t xml:space="preserve"> (AXELOS 2011, S. 114 f.)</w:t>
          </w:r>
          <w:r>
            <w:fldChar w:fldCharType="end"/>
          </w:r>
        </w:sdtContent>
      </w:sdt>
      <w:r>
        <w:t xml:space="preserve">. Die eigentliche Testdurchführung wird hier sichergestellt, aber über den Service Validation </w:t>
      </w:r>
      <w:proofErr w:type="spellStart"/>
      <w:r>
        <w:t>And</w:t>
      </w:r>
      <w:proofErr w:type="spellEnd"/>
      <w:r>
        <w:t xml:space="preserve"> </w:t>
      </w:r>
      <w:proofErr w:type="spellStart"/>
      <w:r>
        <w:t>Testing</w:t>
      </w:r>
      <w:proofErr w:type="spellEnd"/>
      <w:r>
        <w:t xml:space="preserve"> (SVT) Prozess </w:t>
      </w:r>
      <w:r w:rsidR="00092A4A">
        <w:t>vorgenommen</w:t>
      </w:r>
      <w:sdt>
        <w:sdtPr>
          <w:id w:val="-2137333598"/>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t>.</w:t>
      </w:r>
      <w:r w:rsidR="00092A4A">
        <w:t xml:space="preserve"> Der Mehrwert liegt in der schnellen Bereitstellung von Änderungen unter optimierten Kosten und Risiken so</w:t>
      </w:r>
      <w:r w:rsidR="003362A0">
        <w:t>wie der Sicherstellung, dass dabei kein Schaden entsteht</w:t>
      </w:r>
      <w:sdt>
        <w:sdtPr>
          <w:id w:val="-2065783676"/>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Dabei ist zu beachten, dass eine ausgewogene Balance zwischen Kosten, Stabilität und Agilität eingehalten wird</w:t>
      </w:r>
      <w:sdt>
        <w:sdtPr>
          <w:id w:val="-1376155159"/>
          <w:citation/>
        </w:sdt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 xml:space="preserve">. </w:t>
      </w:r>
      <w:r w:rsidR="00F45654">
        <w:lastRenderedPageBreak/>
        <w:t>Für einen Service steht die Stabilität im Vordergrund für einen anderen</w:t>
      </w:r>
      <w:r w:rsidR="003362A0">
        <w:t xml:space="preserve"> Service</w:t>
      </w:r>
      <w:r w:rsidR="00F45654">
        <w:t xml:space="preserve"> dafür die Agilität</w:t>
      </w:r>
      <w:sdt>
        <w:sdtPr>
          <w:id w:val="778684412"/>
          <w:citation/>
        </w:sdt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w:t>
      </w:r>
      <w:r w:rsidR="005A3B04">
        <w:t xml:space="preserve"> Aufgrund der Individualität in Abhängigkeit zum konkreten Service werden in ITIL keine konkreten Regeln aber zwei Beispiele genannt</w:t>
      </w:r>
      <w:sdt>
        <w:sdtPr>
          <w:id w:val="-2015754635"/>
          <w:citation/>
        </w:sdtPr>
        <w:sdtContent>
          <w:r w:rsidR="005A3B04">
            <w:fldChar w:fldCharType="begin"/>
          </w:r>
          <w:r w:rsidR="005A3B04">
            <w:instrText xml:space="preserve">CITATION AXE11 \p "S. 115" \l 1031 </w:instrText>
          </w:r>
          <w:r w:rsidR="005A3B04">
            <w:fldChar w:fldCharType="separate"/>
          </w:r>
          <w:r w:rsidR="005A3B04">
            <w:rPr>
              <w:noProof/>
            </w:rPr>
            <w:t xml:space="preserve"> (AXELOS 2011, S. 115)</w:t>
          </w:r>
          <w:r w:rsidR="005A3B04">
            <w:fldChar w:fldCharType="end"/>
          </w:r>
        </w:sdtContent>
      </w:sdt>
      <w:r w:rsidR="005A3B04">
        <w:t>:</w:t>
      </w:r>
    </w:p>
    <w:p w14:paraId="082A8548" w14:textId="15924A50" w:rsidR="005A3B04" w:rsidRDefault="005A3B04" w:rsidP="005A3B04">
      <w:pPr>
        <w:pStyle w:val="Listenabsatz"/>
        <w:numPr>
          <w:ilvl w:val="0"/>
          <w:numId w:val="31"/>
        </w:numPr>
      </w:pPr>
      <w:r>
        <w:t>Alle Veränderungen und Releases müssen vor der Veröffentlichung auf ihre Belastbarkeit getestet werden</w:t>
      </w:r>
      <w:r w:rsidR="003362A0">
        <w:t>.</w:t>
      </w:r>
    </w:p>
    <w:p w14:paraId="2E12DDAF" w14:textId="2839A619" w:rsidR="005A3B04" w:rsidRDefault="005A3B04" w:rsidP="005A3B04">
      <w:pPr>
        <w:pStyle w:val="Listenabsatz"/>
        <w:numPr>
          <w:ilvl w:val="0"/>
          <w:numId w:val="31"/>
        </w:numPr>
      </w:pPr>
      <w:r>
        <w:t>Alle Veränderungen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Kriterien zur Freigabe eines Releases hinsichtlich der notwendigen Tests bzw. des konkreten Ziels (vgl. Kapitel </w:t>
      </w:r>
      <w:r>
        <w:fldChar w:fldCharType="begin"/>
      </w:r>
      <w:r>
        <w:instrText xml:space="preserve"> REF _Ref446517322 \r \h </w:instrText>
      </w:r>
      <w:r>
        <w:fldChar w:fldCharType="separate"/>
      </w:r>
      <w:r>
        <w:t>4.1</w:t>
      </w:r>
      <w:r>
        <w:fldChar w:fldCharType="end"/>
      </w:r>
      <w:r>
        <w:t xml:space="preserve">). Das zweite Beispiel greift zudem noch den Release-Zyklus auf (vgl. Kapitel </w:t>
      </w:r>
      <w:r>
        <w:fldChar w:fldCharType="begin"/>
      </w:r>
      <w:r>
        <w:instrText xml:space="preserve"> REF _Ref446517322 \r \h </w:instrText>
      </w:r>
      <w:r>
        <w:fldChar w:fldCharType="separate"/>
      </w:r>
      <w:r>
        <w:t>4.1</w:t>
      </w:r>
      <w:r>
        <w:fldChar w:fldCharType="end"/>
      </w:r>
      <w:r>
        <w:t xml:space="preserve">). </w:t>
      </w:r>
    </w:p>
    <w:p w14:paraId="511278C0" w14:textId="23072757" w:rsidR="005A3B04" w:rsidRDefault="005A3B04" w:rsidP="005A3B04">
      <w:r>
        <w:t>Neben diesen Beispielen werden bzgl. des RDM-Prozess noch weitere relevante Differenzierungsmerkmale vorgestellt, welche je nach Service un</w:t>
      </w:r>
      <w:r w:rsidR="003145DC">
        <w:t>terschiedlich zu gestalten sind. Dazu gehört die Definition einer Release-Einheit, welche immer im ganzen veröffentlicht werden muss</w:t>
      </w:r>
      <w:sdt>
        <w:sdtPr>
          <w:id w:val="1443486305"/>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Ein kritischer Service darf möglicherweise nur komplett verändert werden, damit keine internen Kompatibilitätsprobleme auftreten</w:t>
      </w:r>
      <w:sdt>
        <w:sdtPr>
          <w:id w:val="-1372461739"/>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Für einen Internetauftritt könnte dagegen jede einzelne Webseite eine Release-Einheit sein</w:t>
      </w:r>
      <w:sdt>
        <w:sdtPr>
          <w:id w:val="821393550"/>
          <w:citation/>
        </w:sdt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w:t>
      </w:r>
      <w:r w:rsidR="000E7FCA">
        <w:t>Neben der Release-Einheit werden für den RDM-Prozess zudem zwei unterschiedliche Veröffentlichungsansätze beschrieben</w:t>
      </w:r>
      <w:sdt>
        <w:sdtPr>
          <w:id w:val="825472191"/>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In der „Big bang“-Variante erfolgt die Veröffentlichung des Releases auf alle Bestandteile und Nutzer gleichzeitig, um </w:t>
      </w:r>
      <w:r w:rsidR="003362A0">
        <w:t>die</w:t>
      </w:r>
      <w:r w:rsidR="000E7FCA">
        <w:t xml:space="preserve"> Systemkonsistenz sicherzustellen</w:t>
      </w:r>
      <w:sdt>
        <w:sdtPr>
          <w:id w:val="2053104747"/>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Im Gegensatz dazu wird im Phasenansatz das Release stufenweise an die einzelnen User verteilt</w:t>
      </w:r>
      <w:sdt>
        <w:sdtPr>
          <w:id w:val="1856539764"/>
          <w:citation/>
        </w:sdt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Beide Ansätze haben </w:t>
      </w:r>
      <w:r w:rsidR="003362A0">
        <w:t>ihre</w:t>
      </w:r>
      <w:r w:rsidR="000E7FCA">
        <w:t xml:space="preserve"> individuelle</w:t>
      </w:r>
      <w:r w:rsidR="003362A0">
        <w:t>n</w:t>
      </w:r>
      <w:r w:rsidR="000E7FCA">
        <w:t xml:space="preserve"> Vor- und Nachteile. Das „Big bang“-Release vermeidet die parallele Unterstützung von mehreren Versionen, lässt sich je nach Änderungskomponente aber nicht immer realisieren und kann im Fehlerfall das komplette Unternehmen negativ beeinflussen</w:t>
      </w:r>
      <w:sdt>
        <w:sdtPr>
          <w:id w:val="-1674870206"/>
          <w:citation/>
        </w:sdtPr>
        <w:sdtContent>
          <w:r w:rsidR="000E7FCA">
            <w:fldChar w:fldCharType="begin"/>
          </w:r>
          <w:r w:rsidR="000E7FCA">
            <w:instrText xml:space="preserve">CITATION AXE11 \p "S. 120" \l 1031 </w:instrText>
          </w:r>
          <w:r w:rsidR="000E7FCA">
            <w:fldChar w:fldCharType="separate"/>
          </w:r>
          <w:r w:rsidR="000E7FCA">
            <w:rPr>
              <w:noProof/>
            </w:rPr>
            <w:t xml:space="preserve"> (AXELOS 2011, S. 120)</w:t>
          </w:r>
          <w:r w:rsidR="000E7FCA">
            <w:fldChar w:fldCharType="end"/>
          </w:r>
        </w:sdtContent>
      </w:sdt>
      <w:r w:rsidR="000E7FCA">
        <w:t xml:space="preserve">. </w:t>
      </w:r>
      <w:r w:rsidR="00E62117">
        <w:t>Über das stufenweise Verfahren würden Fehler nur einen Teil der Nutzer betreffen, jedoch dauert es bei diesem Ansatz auch entsprechend länger bis das Release vollständig verteilt wurde</w:t>
      </w:r>
      <w:sdt>
        <w:sdtPr>
          <w:id w:val="254864261"/>
          <w:citation/>
        </w:sdtPr>
        <w:sdtContent>
          <w:r w:rsidR="00E62117">
            <w:fldChar w:fldCharType="begin"/>
          </w:r>
          <w:r w:rsidR="00E62117">
            <w:instrText xml:space="preserve">CITATION AXE11 \p "S. 120" \l 1031 </w:instrText>
          </w:r>
          <w:r w:rsidR="00E62117">
            <w:fldChar w:fldCharType="separate"/>
          </w:r>
          <w:r w:rsidR="00E62117">
            <w:rPr>
              <w:noProof/>
            </w:rPr>
            <w:t xml:space="preserve"> (AXELOS 2011, S. 120)</w:t>
          </w:r>
          <w:r w:rsidR="00E62117">
            <w:fldChar w:fldCharType="end"/>
          </w:r>
        </w:sdtContent>
      </w:sdt>
      <w:r w:rsidR="00E62117">
        <w:t xml:space="preserve">. </w:t>
      </w:r>
      <w:r w:rsidR="003362A0">
        <w:t>Eine besondere Phase im stufenweisen Release stellt der Pilot dar</w:t>
      </w:r>
      <w:sdt>
        <w:sdtPr>
          <w:id w:val="1428769095"/>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In der Pilotphase wird das neue Release nur einen definierten kleinen Nutzerkreis verteilt, um den Echteinsatz zu testen</w:t>
      </w:r>
      <w:sdt>
        <w:sdtPr>
          <w:id w:val="1594739331"/>
          <w:citation/>
        </w:sdt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xml:space="preserve">. Prinzipiell eignet sich dieser Ansatz auch für den sogenannten A/B Test. Denn dabei werden Veränderungen, wie z. B. neue Funktionen oder eine neue Oberfläche, nur an einen Teil der </w:t>
      </w:r>
      <w:r w:rsidR="003362A0">
        <w:lastRenderedPageBreak/>
        <w:t>Endnutzer gegeben, um zu prüfen, wie die Veränderung von den unterschiedlichen Nutzern angenommen wird</w:t>
      </w:r>
      <w:sdt>
        <w:sdtPr>
          <w:id w:val="-830058257"/>
          <w:citation/>
        </w:sdtPr>
        <w:sdtContent>
          <w:r w:rsidR="003362A0">
            <w:fldChar w:fldCharType="begin"/>
          </w:r>
          <w:r w:rsidR="003362A0">
            <w:instrText xml:space="preserve">CITATION Koh \p "S. 4" \l 1031 </w:instrText>
          </w:r>
          <w:r w:rsidR="003362A0">
            <w:fldChar w:fldCharType="separate"/>
          </w:r>
          <w:r w:rsidR="003362A0">
            <w:rPr>
              <w:noProof/>
            </w:rPr>
            <w:t xml:space="preserve"> (Kohavi und Longbotham 2015, S. 4)</w:t>
          </w:r>
          <w:r w:rsidR="003362A0">
            <w:fldChar w:fldCharType="end"/>
          </w:r>
        </w:sdtContent>
      </w:sdt>
      <w:r w:rsidR="003362A0">
        <w:t xml:space="preserve">. </w:t>
      </w:r>
      <w:r w:rsidR="00E62117">
        <w:t>Das dritte Differenzierungsmerkmal für den RDM-Prozess ist der Automationsgrad der Veröffentlichung</w:t>
      </w:r>
      <w:sdt>
        <w:sdtPr>
          <w:id w:val="-1947153504"/>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Die Automatisierung stellt die Konsistenz und die Wiederholbarkeit einer Release-Veröffentlichung sicher, ist jedoch nicht immer möglich oder kosteneffizient</w:t>
      </w:r>
      <w:sdt>
        <w:sdtPr>
          <w:id w:val="-1707946761"/>
          <w:citation/>
        </w:sdt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Content>
          <w:r w:rsidR="0009663E">
            <w:fldChar w:fldCharType="begin"/>
          </w:r>
          <w:r w:rsidR="0009663E">
            <w:instrText xml:space="preserve">CITATION AXE11 \p "S. 121" \l 1031 </w:instrText>
          </w:r>
          <w:r w:rsidR="0009663E">
            <w:fldChar w:fldCharType="separate"/>
          </w:r>
          <w:r w:rsidR="0009663E">
            <w:rPr>
              <w:noProof/>
            </w:rPr>
            <w:t xml:space="preserve"> (AXELOS 2011, S. 121)</w:t>
          </w:r>
          <w:r w:rsidR="0009663E">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Aktivitäten unterstützen</w:t>
      </w:r>
      <w:sdt>
        <w:sdtPr>
          <w:id w:val="-825122476"/>
          <w:citation/>
        </w:sdtPr>
        <w:sdtContent>
          <w:r w:rsidR="0009663E">
            <w:fldChar w:fldCharType="begin"/>
          </w:r>
          <w:r w:rsidR="003362A0">
            <w:instrText xml:space="preserve">CITATION AXE11 \p "S. 121 f.; 133" \l 1031 </w:instrText>
          </w:r>
          <w:r w:rsidR="0009663E">
            <w:fldChar w:fldCharType="separate"/>
          </w:r>
          <w:r w:rsidR="003362A0">
            <w:rPr>
              <w:noProof/>
            </w:rPr>
            <w:t xml:space="preserve"> (AXELOS 2011, S. 121 f.; 133)</w:t>
          </w:r>
          <w:r w:rsidR="0009663E">
            <w:fldChar w:fldCharType="end"/>
          </w:r>
        </w:sdtContent>
      </w:sdt>
      <w:r w:rsidR="0009663E">
        <w:t>:</w:t>
      </w:r>
    </w:p>
    <w:p w14:paraId="07C6BC2F" w14:textId="298C1340" w:rsidR="0009663E" w:rsidRDefault="0009663E" w:rsidP="0009663E">
      <w:pPr>
        <w:pStyle w:val="Listenabsatz"/>
        <w:numPr>
          <w:ilvl w:val="0"/>
          <w:numId w:val="32"/>
        </w:numPr>
      </w:pPr>
      <w:r>
        <w:t>Übersichtsscans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20ED0735" w:rsidR="003362A0" w:rsidRDefault="003362A0" w:rsidP="003362A0">
      <w:r>
        <w:t xml:space="preserve">Neben den genannten Entwurfsaspekten für RDM werden in ITIL noch zwei weitere Faktoren beschrieben, die </w:t>
      </w:r>
      <w:proofErr w:type="spellStart"/>
      <w:r>
        <w:t>Remediation</w:t>
      </w:r>
      <w:proofErr w:type="spellEnd"/>
      <w:r>
        <w:t xml:space="preserve"> und der Early Life Support</w:t>
      </w:r>
      <w:sdt>
        <w:sdtPr>
          <w:id w:val="-83083378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Die </w:t>
      </w:r>
      <w:proofErr w:type="spellStart"/>
      <w:r>
        <w:t>Remediation</w:t>
      </w:r>
      <w:proofErr w:type="spellEnd"/>
      <w:r>
        <w:t xml:space="preserve"> dient dazu einen Service wieder in einen definierten Zustand zu überführen, nachdem ein Release fehlgeschlagen ist, weil z. B. ein Fehler aufgetreten ist</w:t>
      </w:r>
      <w:sdt>
        <w:sdtPr>
          <w:id w:val="-83585167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Typischerweise wird in solch einem Fall die Installation rückgängig gemacht, der sogenannte „back out“</w:t>
      </w:r>
      <w:sdt>
        <w:sdtPr>
          <w:id w:val="-821271033"/>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Die Entscheidung zwischen den beiden Richtungen ist von mehreren Faktoren abhängig. Einerseits führt der „back out“ zur Verzögerung in der Bereitstellung des Releases und damit zu einem zeitlichen Risiko, andererseits führt der Betrieb im Fehlerzustand zu einem Qualitätsrisiko. Je nachdem welches Risiko überwiegt, ist demnach eine Entscheidung zu treffen. Der zweite genannte Faktor, der Early Life Support, beschreibt eine zweistufige Überführung in den Wirkbetrieb</w:t>
      </w:r>
      <w:sdt>
        <w:sdtPr>
          <w:id w:val="1763182992"/>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In der ersten Stufe nach der Veröffentlichung erfolgt die Betreuung durch Spezialisten, z. B. die Entwickler des Releases und erst nach der Erreichung von definierten Kriterien erfolgt der Verantwortungsübergang an die Standardeinheiten</w:t>
      </w:r>
      <w:sdt>
        <w:sdtPr>
          <w:id w:val="1279837969"/>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Durch die Phasen ist sichergestellt, dass Fehler aufgrund des speziellen Wissens schneller behoben werden können und die Standardeinheiten nicht </w:t>
      </w:r>
      <w:r>
        <w:lastRenderedPageBreak/>
        <w:t>durch unerwartete Probleme überfordert werden</w:t>
      </w:r>
      <w:sdt>
        <w:sdtPr>
          <w:id w:val="1998996036"/>
          <w:citation/>
        </w:sdtPr>
        <w:sdtContent>
          <w:r>
            <w:fldChar w:fldCharType="begin"/>
          </w:r>
          <w:r>
            <w:instrText xml:space="preserve">CITATION AXE11 \p "S. 143" \l 1031 </w:instrText>
          </w:r>
          <w:r>
            <w:fldChar w:fldCharType="separate"/>
          </w:r>
          <w:r>
            <w:rPr>
              <w:noProof/>
            </w:rPr>
            <w:t xml:space="preserve"> (AXELOS 2011, S. 143)</w:t>
          </w:r>
          <w:r>
            <w:fldChar w:fldCharType="end"/>
          </w:r>
        </w:sdtContent>
      </w:sdt>
      <w:r>
        <w:t>. Der Einsatz der Speziallisten kann jedoch zu erhöhten Kosten gegenüber dem direkten Einsatz der Standardeinheiten führen, da diese möglicherweise einen höheren Stundensatz haben. Weiterhin werden Entwickler möglicherweise von der Bearbeitung neuer Releases abgehalten, da sie Fehler im alten Release beheben müssen. Der Einsatz und die Dauer des Early Life Supports muss demnach ebenfalls je nach Risikosituation abgewogen werden.</w:t>
      </w:r>
    </w:p>
    <w:p w14:paraId="403A4FF3" w14:textId="52672D7C" w:rsidR="003362A0" w:rsidRDefault="003362A0" w:rsidP="003362A0">
      <w:r>
        <w:t>Für die Standardtypkon</w:t>
      </w:r>
      <w:r w:rsidR="0053310C">
        <w:t>struktion im Kontex</w:t>
      </w:r>
      <w:r>
        <w:t xml:space="preserve">t des RDM sind demnach die Aspekte der Release-Einheit, der Release-Methode, des Automatisierungsgrads, der </w:t>
      </w:r>
      <w:proofErr w:type="spellStart"/>
      <w:r>
        <w:t>Remediation</w:t>
      </w:r>
      <w:proofErr w:type="spellEnd"/>
      <w:r>
        <w:t xml:space="preserve"> und des Early Life Supports relevant.</w:t>
      </w:r>
    </w:p>
    <w:p w14:paraId="004E07B3" w14:textId="5BE9BF38" w:rsidR="00BE5B1B" w:rsidRDefault="00BE5B1B" w:rsidP="00E67FF7">
      <w:pPr>
        <w:pStyle w:val="berschrift2"/>
      </w:pPr>
      <w:bookmarkStart w:id="78" w:name="_Toc450314475"/>
      <w:r>
        <w:t xml:space="preserve">Service Validation </w:t>
      </w:r>
      <w:proofErr w:type="spellStart"/>
      <w:r>
        <w:t>And</w:t>
      </w:r>
      <w:proofErr w:type="spellEnd"/>
      <w:r>
        <w:t xml:space="preserve"> </w:t>
      </w:r>
      <w:proofErr w:type="spellStart"/>
      <w:r>
        <w:t>Testing</w:t>
      </w:r>
      <w:bookmarkEnd w:id="78"/>
      <w:proofErr w:type="spellEnd"/>
    </w:p>
    <w:p w14:paraId="5B48D034" w14:textId="56B0555C" w:rsidR="0053310C" w:rsidRDefault="0053310C" w:rsidP="0053310C">
      <w:r>
        <w:t xml:space="preserve">Der Grundgedanke des Service Validation </w:t>
      </w:r>
      <w:proofErr w:type="spellStart"/>
      <w:r>
        <w:t>And</w:t>
      </w:r>
      <w:proofErr w:type="spellEnd"/>
      <w:r>
        <w:t xml:space="preserve"> </w:t>
      </w:r>
      <w:proofErr w:type="spellStart"/>
      <w:r>
        <w:t>Testing</w:t>
      </w:r>
      <w:proofErr w:type="spellEnd"/>
      <w:r>
        <w:t xml:space="preserve"> Prozesses ist die Qualitätssicherung</w:t>
      </w:r>
      <w:sdt>
        <w:sdtPr>
          <w:id w:val="639002904"/>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Durch die Testdurchführung soll sichergestellt werden, dass ein Release bereit für den produktiven Einsatz ist</w:t>
      </w:r>
      <w:sdt>
        <w:sdtPr>
          <w:id w:val="32624978"/>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Dies führt zur Reduktion von Fehlern und damit zur Vermeidung von Kosten</w:t>
      </w:r>
      <w:sdt>
        <w:sdtPr>
          <w:id w:val="216872196"/>
          <w:citation/>
        </w:sdtPr>
        <w:sdtContent>
          <w:r>
            <w:fldChar w:fldCharType="begin"/>
          </w:r>
          <w:r>
            <w:instrText xml:space="preserve">CITATION AXE11 \p "S. 150" \l 1031 </w:instrText>
          </w:r>
          <w:r>
            <w:fldChar w:fldCharType="separate"/>
          </w:r>
          <w:r>
            <w:rPr>
              <w:noProof/>
            </w:rPr>
            <w:t xml:space="preserve"> (AXELOS 2011, S. 150)</w:t>
          </w:r>
          <w:r>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Content>
          <w:r>
            <w:fldChar w:fldCharType="begin"/>
          </w:r>
          <w:r>
            <w:instrText xml:space="preserve">CITATION AXE11 \p "S. 151" \l 1031 </w:instrText>
          </w:r>
          <w:r>
            <w:fldChar w:fldCharType="separate"/>
          </w:r>
          <w:r>
            <w:rPr>
              <w:noProof/>
            </w:rPr>
            <w:t xml:space="preserve"> (AXELOS 2011, S. 151)</w:t>
          </w:r>
          <w:r>
            <w:fldChar w:fldCharType="end"/>
          </w:r>
        </w:sdtContent>
      </w:sdt>
      <w:r>
        <w:t>.</w:t>
      </w:r>
      <w:r w:rsidR="000A0593">
        <w:t xml:space="preserve"> Hinsichtlich des SVT-Prozess werden innerhalb von ITIL folgende Richtlinien vorgeschlagen</w:t>
      </w:r>
      <w:sdt>
        <w:sdtPr>
          <w:id w:val="329727403"/>
          <w:citation/>
        </w:sdtPr>
        <w:sdtContent>
          <w:r w:rsidR="000A0593">
            <w:fldChar w:fldCharType="begin"/>
          </w:r>
          <w:r w:rsidR="00327186">
            <w:instrText xml:space="preserve">CITATION AXE11 \p "S. 151 f." \l 1031 </w:instrText>
          </w:r>
          <w:r w:rsidR="000A0593">
            <w:fldChar w:fldCharType="separate"/>
          </w:r>
          <w:r w:rsidR="00327186">
            <w:rPr>
              <w:noProof/>
            </w:rPr>
            <w:t xml:space="preserve"> (AXELOS 2011, S. 151 f.)</w:t>
          </w:r>
          <w:r w:rsidR="000A0593">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1929BD5F" w:rsidR="000A0593" w:rsidRDefault="000A0593" w:rsidP="000A0593">
      <w:pPr>
        <w:pStyle w:val="Listenabsatz"/>
        <w:numPr>
          <w:ilvl w:val="0"/>
          <w:numId w:val="33"/>
        </w:numPr>
      </w:pPr>
      <w:r>
        <w:t>Alle Testartefakte sollten wiederverwendbar sein und wiederverwendet werden.</w:t>
      </w:r>
    </w:p>
    <w:p w14:paraId="71529A1C" w14:textId="3A527374" w:rsidR="000A0593" w:rsidRDefault="000A0593" w:rsidP="000A0593">
      <w:pPr>
        <w:pStyle w:val="Listenabsatz"/>
        <w:numPr>
          <w:ilvl w:val="0"/>
          <w:numId w:val="33"/>
        </w:numPr>
      </w:pPr>
      <w:r>
        <w:t>Die Testdurchführung soll so zeitig wie möglich und im Entwicklungsprojekt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beteiligt werden.</w:t>
      </w:r>
    </w:p>
    <w:p w14:paraId="25F5ECE0" w14:textId="4EC1CAB0" w:rsidR="00327186" w:rsidRDefault="00327186" w:rsidP="000A0593">
      <w:pPr>
        <w:pStyle w:val="Listenabsatz"/>
        <w:numPr>
          <w:ilvl w:val="0"/>
          <w:numId w:val="33"/>
        </w:numPr>
      </w:pPr>
      <w:r>
        <w:t>Mess- und Überwachungssysteme sollen zur Effizienz- und Effektivitätssteigerung eingesetzt werden.</w:t>
      </w:r>
    </w:p>
    <w:p w14:paraId="668D1DEC" w14:textId="2AA3D051" w:rsidR="00327186" w:rsidRDefault="00327186" w:rsidP="000A0593">
      <w:pPr>
        <w:pStyle w:val="Listenabsatz"/>
        <w:numPr>
          <w:ilvl w:val="0"/>
          <w:numId w:val="33"/>
        </w:numPr>
      </w:pPr>
      <w:r>
        <w:t>Automatisierung der notwendigen Tätigkeiten bei komplexen und kritischen Systemen sowie bei tendenziell zeitkritischen Releases.</w:t>
      </w:r>
    </w:p>
    <w:p w14:paraId="1901305C" w14:textId="268D7AAB" w:rsidR="00976B83" w:rsidRDefault="00976B83" w:rsidP="00327186">
      <w:r>
        <w:lastRenderedPageBreak/>
        <w:t xml:space="preserve">Die </w:t>
      </w:r>
      <w:r w:rsidRPr="00FA1CB6">
        <w:rPr>
          <w:b/>
        </w:rPr>
        <w:t>Trennung der Testaktivitäten von den Entwicklungsaktivitäten</w:t>
      </w:r>
      <w:r>
        <w:t xml:space="preserve"> wird zwar in ITIL als generelle Richtlinie beschrieben, ist aber individuell zu</w:t>
      </w:r>
      <w:r w:rsidR="00FA1CB6">
        <w:t xml:space="preserve"> betrachten, da es Einfluss auf die Dauer und Kosten eines Releases hat. Die Dauer steigt, da </w:t>
      </w:r>
      <w:r w:rsidR="008D56E1">
        <w:t>ein separater</w:t>
      </w:r>
      <w:r w:rsidR="00FA1CB6">
        <w:t xml:space="preserve"> Tester sich erst mit dem Release vertraut machen muss und dafür von den Entwicklern geschult werden muss. Weiterhin kann </w:t>
      </w:r>
      <w:r w:rsidR="007D5155">
        <w:t>d</w:t>
      </w:r>
      <w:r w:rsidR="00FA1CB6">
        <w:t>er</w:t>
      </w:r>
      <w:r w:rsidR="007D5155">
        <w:t xml:space="preserve"> Tester</w:t>
      </w:r>
      <w:r w:rsidR="00FA1CB6">
        <w:t xml:space="preserve"> Fehler nicht selbst beheben, so dass der Entwickler im Fehlerfall die Testdurchführung nachvollziehen können muss und sicher daher trotzdem mit den Tests beschäftigen muss. Da der Tester das System möglicherweise trotz intensiver Schulung nicht vollständig versteht, kann es zur fehlerhaften Testdurchführung kommen, deren Testergebnisse nicht valide sind. Dazu kommt der Kommunikationsmehraufwand aufgrund der höheren Anzahl der Beteiligten. Sollte ein Service eher einem zeitlichen Risiko unterliegen, kann es demnach sinnvoll sein die Tes</w:t>
      </w:r>
      <w:r w:rsidR="007D5155">
        <w:t>tdurchführung und Entwicklung nicht zu trennen</w:t>
      </w:r>
      <w:r w:rsidR="00FA1CB6">
        <w:t xml:space="preserve">. Die </w:t>
      </w:r>
      <w:r w:rsidR="00FA1CB6" w:rsidRPr="00B13BFE">
        <w:rPr>
          <w:b/>
        </w:rPr>
        <w:t>Festlegung der Testbewertungskriterien</w:t>
      </w:r>
      <w:r w:rsidR="00FA1CB6">
        <w:t xml:space="preserve"> vor der Testdurchführung ist unabhängig vom Service-Typ zu</w:t>
      </w:r>
      <w:r w:rsidR="00B13BFE">
        <w:t xml:space="preserve"> vollziehen, da ohne die</w:t>
      </w:r>
      <w:r w:rsidR="00FA1CB6">
        <w:t xml:space="preserve"> Definition </w:t>
      </w:r>
      <w:r w:rsidR="00B13BFE">
        <w:t xml:space="preserve">eines Solls und damit eines Ziels </w:t>
      </w:r>
      <w:r w:rsidR="00FA1CB6">
        <w:t xml:space="preserve">die Testaktivitäten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jedem Testlauf, da die Ergebnisse sonst nicht vergleichbar und nachvollziehbar sind. Die </w:t>
      </w:r>
      <w:r w:rsidR="00B13BFE" w:rsidRPr="00B13BFE">
        <w:rPr>
          <w:b/>
        </w:rPr>
        <w:t>Wiederverwendbarkeit von Testartefakten</w:t>
      </w:r>
      <w:r w:rsidR="00B13BFE">
        <w:rPr>
          <w:b/>
        </w:rPr>
        <w:t xml:space="preserve"> </w:t>
      </w:r>
      <w:r w:rsidR="00B13BFE">
        <w:t xml:space="preserve">steht in starker Abhängigkeit zum Release-Zyklus des TPS-Prozess (vgl. Kapitel </w:t>
      </w:r>
      <w:r w:rsidR="00B13BFE">
        <w:fldChar w:fldCharType="begin"/>
      </w:r>
      <w:r w:rsidR="00B13BFE">
        <w:instrText xml:space="preserve"> REF _Ref446517322 \r \h </w:instrText>
      </w:r>
      <w:r w:rsidR="00B13BFE">
        <w:fldChar w:fldCharType="separate"/>
      </w:r>
      <w:r w:rsidR="00B13BFE">
        <w:t>4.1</w:t>
      </w:r>
      <w:r w:rsidR="00B13BFE">
        <w:fldChar w:fldCharType="end"/>
      </w:r>
      <w:r w:rsidR="00B13BFE">
        <w:t>). Je kürzer der Release-Zyklus ist, desto geringer ist der Veränderungsgrad und desto eher können bestehende Testartefakte ohne Anpassung wiederverwendet werden</w:t>
      </w:r>
      <w:sdt>
        <w:sdtPr>
          <w:id w:val="895703798"/>
          <w:citation/>
        </w:sdtPr>
        <w:sdtContent>
          <w:r w:rsidR="00B13BFE">
            <w:fldChar w:fldCharType="begin"/>
          </w:r>
          <w:r w:rsidR="00B13BFE">
            <w:instrText xml:space="preserve">CITATION AXE11 \p "S. 152" \l 1031 </w:instrText>
          </w:r>
          <w:r w:rsidR="00B13BFE">
            <w:fldChar w:fldCharType="separate"/>
          </w:r>
          <w:r w:rsidR="00B13BFE">
            <w:rPr>
              <w:noProof/>
            </w:rPr>
            <w:t xml:space="preserve"> (AXELOS 2011, S. 152)</w:t>
          </w:r>
          <w:r w:rsidR="00B13BFE">
            <w:fldChar w:fldCharType="end"/>
          </w:r>
        </w:sdtContent>
      </w:sdt>
      <w:r w:rsidR="00B13BFE">
        <w:t>. Bei einem hohen Release-Zyklus kann es demnach sein, dass die alten Testartefakte, z. B. die Testfallbeschreibungen, gar nicht mehr passen, da sich der komplette Geschäftsprozess verändert hat. Würde man hierbei versuchen die Testartefakte trotzdem wiederverwendba</w:t>
      </w:r>
      <w:r w:rsidR="00DD62CA">
        <w:t xml:space="preserve">r zu gestalten, wäre der Aufwand entweder umsonst oder die Test wären so generisch, dass sie keine Aussagekraft besitzen. Das wäre z. B. der Fall, wenn im Test nur der Aufruf der Startseite eines Webshops erfolgen würde. Dieser ist zwar sicherlich auch für weitere Releases anwendbar, sagt aber über die Gesamtqualität wenig aus. Die Richtlinie zur frühzeitigen </w:t>
      </w:r>
      <w:r w:rsidR="00DD62CA" w:rsidRPr="00DD62CA">
        <w:rPr>
          <w:b/>
        </w:rPr>
        <w:t>Integration der Testaktivitäten in den Entwicklungsprozess</w:t>
      </w:r>
      <w:r w:rsidR="00DD62CA">
        <w:rPr>
          <w:b/>
        </w:rPr>
        <w:t xml:space="preserve"> </w:t>
      </w:r>
      <w:r w:rsidR="00DD62CA">
        <w:t>ist besonders bei Services mit einem hohen Qualitäts- und Zeitrisiko aber auch im Hinblick auf die Kosten relevant. Durch die frühzeitige Einbindung wird vermieden dass die Testaktivitäten, welche gewöhnlicher weise bei einem wasserfallmodellbasierten Projektvorgehen am Ende stehen, aufgrund von Verzögerungen in vorherigen Phasen reduziert werden oder ganz wegfallen</w:t>
      </w:r>
      <w:sdt>
        <w:sdtPr>
          <w:id w:val="1971474556"/>
          <w:citation/>
        </w:sdtPr>
        <w:sdtContent>
          <w:r w:rsidR="00587256">
            <w:fldChar w:fldCharType="begin"/>
          </w:r>
          <w:r w:rsidR="00587256">
            <w:instrText xml:space="preserve">CITATION AXE11 \p "S. 174" \l 1031 </w:instrText>
          </w:r>
          <w:r w:rsidR="00587256">
            <w:fldChar w:fldCharType="separate"/>
          </w:r>
          <w:r w:rsidR="00587256">
            <w:rPr>
              <w:noProof/>
            </w:rPr>
            <w:t xml:space="preserve"> (AXELOS 2011, S. 174)</w:t>
          </w:r>
          <w:r w:rsidR="00587256">
            <w:fldChar w:fldCharType="end"/>
          </w:r>
        </w:sdtContent>
      </w:sdt>
      <w:r w:rsidR="00DD62CA">
        <w:t xml:space="preserve">. </w:t>
      </w:r>
      <w:r w:rsidR="00C77A1A">
        <w:t xml:space="preserve">Dies kann sich dramatisch auf die Qualität auswirken, da der Endnutzer zum Tester des Releases wird. </w:t>
      </w:r>
      <w:r w:rsidR="00DD62CA">
        <w:t>Zeitlich ist die frühzeitige Integration dann wich</w:t>
      </w:r>
      <w:r w:rsidR="00DD62CA">
        <w:lastRenderedPageBreak/>
        <w:t>tig, falls in einer späten Phase im Projekt</w:t>
      </w:r>
      <w:r w:rsidR="00C77A1A">
        <w:t xml:space="preserve"> oder im Wirkbetrieb</w:t>
      </w:r>
      <w:r w:rsidR="00DD62CA">
        <w:t xml:space="preserve"> ein Fehler gefunden wurde, der zu Beginn des Projekts gemacht wurde und ggf. einen kompletten Neubeginn</w:t>
      </w:r>
      <w:r w:rsidR="0035383F">
        <w:t xml:space="preserve"> der Arbeiten</w:t>
      </w:r>
      <w:r w:rsidR="00DD62CA">
        <w:t xml:space="preserve"> erfordert. Solch eine Situation bedeutet dann natürlich auch erhöhte Kosten</w:t>
      </w:r>
      <w:sdt>
        <w:sdtPr>
          <w:id w:val="-396368903"/>
          <w:citation/>
        </w:sdtPr>
        <w:sdtContent>
          <w:r w:rsidR="0069750D">
            <w:fldChar w:fldCharType="begin"/>
          </w:r>
          <w:r w:rsidR="0069750D">
            <w:instrText xml:space="preserve">CITATION Len06 \p "S. 143 f." \l 1031 </w:instrText>
          </w:r>
          <w:r w:rsidR="0069750D">
            <w:fldChar w:fldCharType="separate"/>
          </w:r>
          <w:r w:rsidR="0069750D">
            <w:rPr>
              <w:noProof/>
            </w:rPr>
            <w:t xml:space="preserve"> (Lennertz 2006, S. 143 f.)</w:t>
          </w:r>
          <w:r w:rsidR="0069750D">
            <w:fldChar w:fldCharType="end"/>
          </w:r>
        </w:sdtContent>
      </w:sdt>
      <w:r w:rsidR="00DD62CA">
        <w:t>. Der Zusammenhang zwischen den Kosten zur Fehlerbehebung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CD6296">
        <w:t xml:space="preserve">Abbildung </w:t>
      </w:r>
      <w:r w:rsidR="00CD6296">
        <w:rPr>
          <w:noProof/>
        </w:rPr>
        <w:t>4</w:t>
      </w:r>
      <w:r w:rsidR="00CD6296">
        <w:t>.</w:t>
      </w:r>
      <w:r w:rsidR="00CD6296">
        <w:rPr>
          <w:noProof/>
        </w:rPr>
        <w:t>1</w:t>
      </w:r>
      <w:r w:rsidR="00CD6296">
        <w:fldChar w:fldCharType="end"/>
      </w:r>
      <w:r w:rsidR="00DD62CA">
        <w:t xml:space="preserve"> zur Verdeutlichung </w:t>
      </w:r>
      <w:r w:rsidR="00FA60D0">
        <w:t>dieses Sachverhalts dargestellt. In der Literatur gibt es jedoch auch kritische Stimmen, die diesen Zusammenhang aufgrund mangelhafter empirischer Nachweise</w:t>
      </w:r>
      <w:r w:rsidR="0069750D">
        <w:t xml:space="preserve"> in Frage stellen und als reine ideologische Auffassung bewerten</w:t>
      </w:r>
      <w:sdt>
        <w:sdtPr>
          <w:id w:val="-1757588865"/>
          <w:citation/>
        </w:sdtPr>
        <w:sdtContent>
          <w:r w:rsidR="0069750D">
            <w:fldChar w:fldCharType="begin"/>
          </w:r>
          <w:r w:rsidR="0069750D">
            <w:instrText xml:space="preserve">CITATION Bos15 \p "S. 87 ff." \l 1031 </w:instrText>
          </w:r>
          <w:r w:rsidR="0069750D">
            <w:fldChar w:fldCharType="separate"/>
          </w:r>
          <w:r w:rsidR="0069750D">
            <w:rPr>
              <w:noProof/>
            </w:rPr>
            <w:t xml:space="preserve"> (Bossavit 2015, S. 87 ff.)</w:t>
          </w:r>
          <w:r w:rsidR="0069750D">
            <w:fldChar w:fldCharType="end"/>
          </w:r>
        </w:sdtContent>
      </w:sdt>
      <w:r w:rsidR="0069750D">
        <w:t xml:space="preserve">. Unabhängig </w:t>
      </w:r>
      <w:r w:rsidR="004B0A4B">
        <w:t>von konkreten Verhältniswerten</w:t>
      </w:r>
      <w:r w:rsidR="0069750D">
        <w:t xml:space="preserve"> scheint der generelle Zusammenhang logisch, da die textuelle Fehlerbehebung durch eine Pr</w:t>
      </w:r>
      <w:r w:rsidR="007D5155">
        <w:t>üfung der Anforderungsdokumentation</w:t>
      </w:r>
      <w:r w:rsidR="0069750D">
        <w:t xml:space="preserve"> wesentlich kürzer scheint</w:t>
      </w:r>
      <w:r w:rsidR="004B0A4B">
        <w:t>,</w:t>
      </w:r>
      <w:r w:rsidR="0069750D">
        <w:t xml:space="preserve"> als die Fehlerbehebung im produktiven System, welche ggf. Architektur- oder Technologieveränderungen bedingt und alle durchgeführten </w:t>
      </w:r>
      <w:r w:rsidR="004B0A4B">
        <w:t xml:space="preserve">Aktivitäten wie z. B. </w:t>
      </w:r>
      <w:r w:rsidR="0069750D">
        <w:t>Tests erneut nach sich zieht</w:t>
      </w:r>
      <w:r w:rsidR="004B0A4B">
        <w:t xml:space="preserve"> sowie möglicherweise Umsatzverlust oder Entschädigungszahlungen bedeutet</w:t>
      </w:r>
      <w:r w:rsidR="0069750D">
        <w:t>.</w:t>
      </w:r>
    </w:p>
    <w:p w14:paraId="1B1E6797" w14:textId="77777777" w:rsidR="00CD6296" w:rsidRDefault="00CD6296" w:rsidP="00CD6296">
      <w:pPr>
        <w:keepNext/>
      </w:pPr>
      <w:r>
        <w:rPr>
          <w:noProof/>
        </w:rPr>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6">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79" w:name="_Ref450314400"/>
      <w:bookmarkStart w:id="80" w:name="_Toc450314441"/>
      <w:r>
        <w:t xml:space="preserve">Abbildung </w:t>
      </w:r>
      <w:fldSimple w:instr=" STYLEREF 1 \s ">
        <w:r>
          <w:rPr>
            <w:noProof/>
          </w:rPr>
          <w:t>4</w:t>
        </w:r>
      </w:fldSimple>
      <w:r>
        <w:t>.</w:t>
      </w:r>
      <w:fldSimple w:instr=" SEQ Abbildung \* ARABIC \s 1 ">
        <w:r>
          <w:rPr>
            <w:noProof/>
          </w:rPr>
          <w:t>1</w:t>
        </w:r>
      </w:fldSimple>
      <w:bookmarkEnd w:id="79"/>
      <w:r>
        <w:t>: Fehlerbehebungskosten</w:t>
      </w:r>
      <w:bookmarkEnd w:id="80"/>
    </w:p>
    <w:p w14:paraId="13562AD8" w14:textId="44CDFC73" w:rsidR="000611AF" w:rsidRDefault="004B0A4B" w:rsidP="00CD6296">
      <w:pPr>
        <w:jc w:val="center"/>
      </w:pPr>
      <w:r>
        <w:t xml:space="preserve">Quelle: </w:t>
      </w:r>
      <w:r w:rsidR="00B46DD5">
        <w:t>in Anlehnung an</w:t>
      </w:r>
      <w:r>
        <w:t xml:space="preserve"> </w:t>
      </w:r>
      <w:sdt>
        <w:sdtPr>
          <w:id w:val="1240291551"/>
          <w:citation/>
        </w:sdt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5A2060C5" w14:textId="08BC3D0A" w:rsidR="00EA3580" w:rsidRPr="00976B83" w:rsidRDefault="00C77A1A" w:rsidP="00EA3580">
      <w:r>
        <w:t xml:space="preserve">Die </w:t>
      </w:r>
      <w:r w:rsidRPr="00C77A1A">
        <w:rPr>
          <w:b/>
        </w:rPr>
        <w:t>risikobasierte Ausrichtung der Tests</w:t>
      </w:r>
      <w:r>
        <w:t xml:space="preserve"> ist prinzipiell eine generelle Richtlinie, welche für alle Services gilt, wobei natürlich jeder Service ein individuelles Risikoprofil vorweist. Diese Richtlinie unterstreicht zugleich den Bedarf von Standardtypen, da sie zu generisch ist, aber auch den Ansatz hinsichtlich der Risiken aus den Lebenszyklusphasen, da es risikobasiert erfolgen soll.</w:t>
      </w:r>
      <w:r w:rsidR="00A81AF6">
        <w:t xml:space="preserve"> Die </w:t>
      </w:r>
      <w:r w:rsidR="00A81AF6" w:rsidRPr="00A81AF6">
        <w:rPr>
          <w:b/>
        </w:rPr>
        <w:t>Teilnahme der Nutzer an den Tests</w:t>
      </w:r>
      <w:r w:rsidR="00A81AF6">
        <w:t xml:space="preserve"> dient der Tauglichkeitsbetrachtung des neuen Relea</w:t>
      </w:r>
      <w:r w:rsidR="00A81AF6">
        <w:lastRenderedPageBreak/>
        <w:t xml:space="preserve">ses. Einerseits bedeutet die Beteiligung weiterer Personen erhöhte Kosten, aufgrund des zeitlichen Aufwands, andererseits kann es eine höhere Qualität bringen, da die Nutzer möglicherweise eine andere Perspektive als z. B. ein Entwickler oder Tester haben. Zu beachten ist auf jeden Fall die zeitliche Dimension, da die Beteiligung weiterer </w:t>
      </w:r>
      <w:r w:rsidR="007D5155">
        <w:t xml:space="preserve">Personen </w:t>
      </w:r>
      <w:r w:rsidR="008D56E1">
        <w:t xml:space="preserve">sich auf die Dauer der Tests negativ auswirken kann, wenn sie nicht parallelisiert werden können. Der </w:t>
      </w:r>
      <w:r w:rsidR="008D56E1" w:rsidRPr="008D56E1">
        <w:rPr>
          <w:b/>
        </w:rPr>
        <w:t>Einsatz von Mess- und Überwachungssystemen</w:t>
      </w:r>
      <w:r w:rsidR="008D56E1">
        <w:t xml:space="preserve"> bei den Tests ist in </w:t>
      </w:r>
      <w:r w:rsidR="007D5155">
        <w:t>Ab</w:t>
      </w:r>
      <w:r w:rsidR="00EA3580">
        <w:t>hängigkeit vom konkreten Test</w:t>
      </w:r>
      <w:r w:rsidR="007D5155">
        <w:t xml:space="preserve"> </w:t>
      </w:r>
      <w:r w:rsidR="008D56E1">
        <w:t>vorzusehen</w:t>
      </w:r>
      <w:r w:rsidR="007D5155">
        <w:t>.</w:t>
      </w:r>
      <w:r w:rsidR="008D56E1">
        <w:t xml:space="preserve"> </w:t>
      </w:r>
      <w:r w:rsidR="007D5155">
        <w:t>B</w:t>
      </w:r>
      <w:r w:rsidR="008D56E1">
        <w:t xml:space="preserve">ei </w:t>
      </w:r>
      <w:r w:rsidR="00F417F5">
        <w:t>Lasttests</w:t>
      </w:r>
      <w:r w:rsidR="008D56E1">
        <w:t xml:space="preserve"> </w:t>
      </w:r>
      <w:r w:rsidR="007D5155">
        <w:t xml:space="preserve">ist die Nutzung für die Vergleichbarkeit von Testläufen </w:t>
      </w:r>
      <w:r w:rsidR="008D56E1">
        <w:t xml:space="preserve">entscheidend, </w:t>
      </w:r>
      <w:r w:rsidR="007D5155">
        <w:t>da</w:t>
      </w:r>
      <w:r w:rsidR="008D56E1">
        <w:t xml:space="preserve"> ohne Metriken, wie z. B. </w:t>
      </w:r>
      <w:r w:rsidR="00F417F5">
        <w:t>der Transaktionsdurchsatz</w:t>
      </w:r>
      <w:r w:rsidR="008D56E1">
        <w:t xml:space="preserve"> oder </w:t>
      </w:r>
      <w:r w:rsidR="00F417F5">
        <w:t>die Netzwerkauslastung</w:t>
      </w:r>
      <w:r w:rsidR="008D56E1">
        <w:t xml:space="preserve"> </w:t>
      </w:r>
      <w:r w:rsidR="007D5155">
        <w:t xml:space="preserve">die Ergebnisse nicht </w:t>
      </w:r>
      <w:r w:rsidR="008D56E1">
        <w:t>objektiv auswertbar wären</w:t>
      </w:r>
      <w:sdt>
        <w:sdtPr>
          <w:id w:val="-2099864856"/>
          <w:citation/>
        </w:sdtPr>
        <w:sdtContent>
          <w:r w:rsidR="00F417F5">
            <w:fldChar w:fldCharType="begin"/>
          </w:r>
          <w:r w:rsidR="00F417F5">
            <w:instrText xml:space="preserve">CITATION AXE11 \p "S. 164" \l 1031 </w:instrText>
          </w:r>
          <w:r w:rsidR="00F417F5">
            <w:fldChar w:fldCharType="separate"/>
          </w:r>
          <w:r w:rsidR="00F417F5">
            <w:rPr>
              <w:noProof/>
            </w:rPr>
            <w:t xml:space="preserve"> (AXELOS 2011, S. 164)</w:t>
          </w:r>
          <w:r w:rsidR="00F417F5">
            <w:fldChar w:fldCharType="end"/>
          </w:r>
        </w:sdtContent>
      </w:sdt>
      <w:r w:rsidR="008D56E1">
        <w:t>. Aber auch bei funktionalen Tests, welche nur die fachliche Korrektheit einer Transaktion prüfen, können Messwerte wie diese hilfreich sein, um zum Beispiel eine Fehlerbehebung mit negativen Auswirkungen auf die Antwortzeit aufzudecken.</w:t>
      </w:r>
      <w:r w:rsidR="007D5155">
        <w:t xml:space="preserve"> Die Einhaltung der Richtlinie ist demnach nur indirekt abhängig vom Service, da es direkt von </w:t>
      </w:r>
      <w:r w:rsidR="00EA3580">
        <w:t xml:space="preserve">den </w:t>
      </w:r>
      <w:r w:rsidR="007D5155">
        <w:t>durchzuführenden Tests abhängig ist, welche je nach Qualitätsverständnis</w:t>
      </w:r>
      <w:r w:rsidR="00EA3580">
        <w:t xml:space="preserve"> und Vorgaben aus dem Risiko-Management des Unternehmens abgeleitet werden</w:t>
      </w:r>
      <w:sdt>
        <w:sdtPr>
          <w:id w:val="-1455932487"/>
          <w:citation/>
        </w:sdtPr>
        <w:sdtContent>
          <w:r w:rsidR="00EA3580">
            <w:fldChar w:fldCharType="begin"/>
          </w:r>
          <w:r w:rsidR="00EA3580">
            <w:instrText xml:space="preserve">CITATION AXE11 \p "S. 152" \l 1031 </w:instrText>
          </w:r>
          <w:r w:rsidR="00EA3580">
            <w:fldChar w:fldCharType="separate"/>
          </w:r>
          <w:r w:rsidR="00EA3580">
            <w:rPr>
              <w:noProof/>
            </w:rPr>
            <w:t xml:space="preserve"> (AXELOS 2011, S. 152)</w:t>
          </w:r>
          <w:r w:rsidR="00EA3580">
            <w:fldChar w:fldCharType="end"/>
          </w:r>
        </w:sdtContent>
      </w:sdt>
      <w:r w:rsidR="00EA3580">
        <w:t>.</w:t>
      </w:r>
      <w:r w:rsidR="007D5155">
        <w:t xml:space="preserve"> Neben den bereits genannten Testverfahren werden in ITIL noch viele Andere genannt</w:t>
      </w:r>
      <w:sdt>
        <w:sdtPr>
          <w:id w:val="-978683289"/>
          <w:citation/>
        </w:sdtPr>
        <w:sdtContent>
          <w:r w:rsidR="007D5155">
            <w:fldChar w:fldCharType="begin"/>
          </w:r>
          <w:r w:rsidR="007D5155">
            <w:instrText xml:space="preserve">CITATION AXE11 \p "S. 161" \l 1031 </w:instrText>
          </w:r>
          <w:r w:rsidR="007D5155">
            <w:fldChar w:fldCharType="separate"/>
          </w:r>
          <w:r w:rsidR="007D5155">
            <w:rPr>
              <w:noProof/>
            </w:rPr>
            <w:t xml:space="preserve"> (AXELOS 2011, S. 161)</w:t>
          </w:r>
          <w:r w:rsidR="007D5155">
            <w:fldChar w:fldCharType="end"/>
          </w:r>
        </w:sdtContent>
      </w:sdt>
      <w:r w:rsidR="007D5155">
        <w:t xml:space="preserve">. Eine Vorstellung der Genannten oder der Weiteren ist an dieser Stelle nicht wertstiftend und würde den Umfang der Ausarbeitung überschreiten, daher wird auf die Fachliteratur verwiesen. </w:t>
      </w:r>
      <w:r w:rsidR="00EA3580">
        <w:t xml:space="preserve">Die Vorgabe hinsichtlich der </w:t>
      </w:r>
      <w:r w:rsidR="00EA3580" w:rsidRPr="00EA3580">
        <w:rPr>
          <w:b/>
        </w:rPr>
        <w:t>Automation der Testaktivitäten</w:t>
      </w:r>
      <w:r w:rsidR="00EA3580">
        <w:t xml:space="preserve"> wird in ITIL selbst schon spezifisch an konkrete Risiken gebunden</w:t>
      </w:r>
      <w:sdt>
        <w:sdtPr>
          <w:id w:val="-397293503"/>
          <w:citation/>
        </w:sdtPr>
        <w:sdtContent>
          <w:r w:rsidR="00EA3580">
            <w:fldChar w:fldCharType="begin"/>
          </w:r>
          <w:r w:rsidR="00EA3580">
            <w:instrText xml:space="preserve">CITATION AXE11 \p "S. 151" \l 1031 </w:instrText>
          </w:r>
          <w:r w:rsidR="00EA3580">
            <w:fldChar w:fldCharType="separate"/>
          </w:r>
          <w:r w:rsidR="00EA3580">
            <w:rPr>
              <w:noProof/>
            </w:rPr>
            <w:t xml:space="preserve"> (AXELOS 2011, S. 151)</w:t>
          </w:r>
          <w:r w:rsidR="00EA3580">
            <w:fldChar w:fldCharType="end"/>
          </w:r>
        </w:sdtContent>
      </w:sdt>
      <w:r w:rsidR="00EA3580">
        <w:t xml:space="preserve">. Demnach ist vor allem bei komplexen, geschäftskritischen oder bei zeitkritischen Services die </w:t>
      </w:r>
      <w:r w:rsidR="00F417F5">
        <w:t>Testa</w:t>
      </w:r>
      <w:r w:rsidR="00EA3580">
        <w:t>utomatisierung einzusetzen</w:t>
      </w:r>
      <w:sdt>
        <w:sdtPr>
          <w:id w:val="1706370055"/>
          <w:citation/>
        </w:sdtPr>
        <w:sdtContent>
          <w:r w:rsidR="00EA3580">
            <w:fldChar w:fldCharType="begin"/>
          </w:r>
          <w:r w:rsidR="00EA3580">
            <w:instrText xml:space="preserve">CITATION AXE11 \p "S. 151 f." \l 1031 </w:instrText>
          </w:r>
          <w:r w:rsidR="00EA3580">
            <w:fldChar w:fldCharType="separate"/>
          </w:r>
          <w:r w:rsidR="00EA3580">
            <w:rPr>
              <w:noProof/>
            </w:rPr>
            <w:t xml:space="preserve"> (AXELOS 2011, S. 151 f.)</w:t>
          </w:r>
          <w:r w:rsidR="00EA3580">
            <w:fldChar w:fldCharType="end"/>
          </w:r>
        </w:sdtContent>
      </w:sdt>
      <w:r w:rsidR="00EA3580">
        <w:t>.</w:t>
      </w:r>
      <w:r w:rsidR="00990770">
        <w:t xml:space="preserve"> Hinsichtlich der Testa</w:t>
      </w:r>
      <w:r w:rsidR="00F417F5">
        <w:t>utomatisierung gelten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990770">
        <w:t>4.4</w:t>
      </w:r>
      <w:r w:rsidR="00990770">
        <w:fldChar w:fldCharType="end"/>
      </w:r>
      <w:r w:rsidR="00990770">
        <w:t>).</w:t>
      </w:r>
    </w:p>
    <w:p w14:paraId="3B73BF97" w14:textId="487DB122" w:rsidR="00976B83" w:rsidRDefault="00853517" w:rsidP="00976B83">
      <w:pPr>
        <w:pStyle w:val="berschrift2"/>
      </w:pPr>
      <w:bookmarkStart w:id="81" w:name="_Toc450314476"/>
      <w:r>
        <w:t>Change Eva</w:t>
      </w:r>
      <w:r w:rsidR="00BE5B1B">
        <w:t>lu</w:t>
      </w:r>
      <w:r>
        <w:t>a</w:t>
      </w:r>
      <w:r w:rsidR="00BE5B1B">
        <w:t>tion</w:t>
      </w:r>
      <w:bookmarkEnd w:id="81"/>
    </w:p>
    <w:p w14:paraId="06D889C9" w14:textId="688738CA" w:rsidR="00FB6DF4" w:rsidRDefault="00FB6DF4" w:rsidP="00FB6DF4">
      <w:r>
        <w:t xml:space="preserve">Der Change Evaluation (CHE) Prozess dient der Bereitstellung eines konsistenten und standardisierten Verfahrens zur Bestimmung von potentiellen Auswirkungen sowie dem Abgleich mit den tatsächlichen Auswirkungen </w:t>
      </w:r>
      <w:r>
        <w:t>durch einen Change</w:t>
      </w:r>
      <w:sdt>
        <w:sdtPr>
          <w:id w:val="-2093608433"/>
          <w:citation/>
        </w:sdtPr>
        <w:sdtContent>
          <w:r>
            <w:fldChar w:fldCharType="begin"/>
          </w:r>
          <w:r>
            <w:instrText xml:space="preserve">CITATION AXE11 \p "S. 175" \l 1031 </w:instrText>
          </w:r>
          <w:r>
            <w:fldChar w:fldCharType="separate"/>
          </w:r>
          <w:r>
            <w:rPr>
              <w:noProof/>
            </w:rPr>
            <w:t xml:space="preserve"> (AXELOS 2011, S. 175)</w:t>
          </w:r>
          <w:r>
            <w:fldChar w:fldCharType="end"/>
          </w:r>
        </w:sdtContent>
      </w:sdt>
      <w:r>
        <w:t>. Die Zielstellung umfasst die Bereitstellung von</w:t>
      </w:r>
      <w:r w:rsidR="00192BB8">
        <w:t xml:space="preserve"> akkuraten Informationen an das Change Management sowie an andere Stakeholder zur Entscheidungsfindung</w:t>
      </w:r>
      <w:sdt>
        <w:sdtPr>
          <w:id w:val="145999504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Die Informationen entstehen durch die Evaluierung der gewünschten und ungewünschten Effekte bei der Durchführung der geplanten Veränderung</w:t>
      </w:r>
      <w:sdt>
        <w:sdtPr>
          <w:id w:val="-620914391"/>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Der Mehrwert </w:t>
      </w:r>
      <w:r w:rsidR="00192BB8">
        <w:lastRenderedPageBreak/>
        <w:t xml:space="preserve">liegt in der Beschaffung einer Entscheidungsgrundlage sowie der Erarbeitung von Ansätzen zur zukünftigen Verbesserung im Rahmen des ITIL </w:t>
      </w:r>
      <w:proofErr w:type="spellStart"/>
      <w:r w:rsidR="00192BB8">
        <w:t>Continual</w:t>
      </w:r>
      <w:proofErr w:type="spellEnd"/>
      <w:r w:rsidR="00192BB8">
        <w:t xml:space="preserve"> Service </w:t>
      </w:r>
      <w:proofErr w:type="spellStart"/>
      <w:r w:rsidR="00192BB8">
        <w:t>Improvement</w:t>
      </w:r>
      <w:proofErr w:type="spellEnd"/>
      <w:sdt>
        <w:sdtPr>
          <w:id w:val="870729709"/>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w:t>
      </w:r>
      <w:r w:rsidR="0043065E">
        <w:t>Die Richtlinienb</w:t>
      </w:r>
      <w:r w:rsidR="00192BB8">
        <w:t>eispiele für den CHE-Prozesse innerhalb von ITIL umfassen die folgenden vier Elemente</w:t>
      </w:r>
      <w:sdt>
        <w:sdtPr>
          <w:id w:val="-555169007"/>
          <w:citation/>
        </w:sdt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w:t>
      </w:r>
    </w:p>
    <w:p w14:paraId="44931C32" w14:textId="1F48AB50" w:rsidR="00192BB8" w:rsidRDefault="00192BB8" w:rsidP="00192BB8">
      <w:pPr>
        <w:pStyle w:val="Listenabsatz"/>
        <w:numPr>
          <w:ilvl w:val="0"/>
          <w:numId w:val="36"/>
        </w:numPr>
      </w:pPr>
      <w:r>
        <w:t>Jede Veränderung muss vor der Durchführung evaluiert werden</w:t>
      </w:r>
      <w:r w:rsidR="00A93451">
        <w:t>.</w:t>
      </w:r>
    </w:p>
    <w:p w14:paraId="798A1CF4" w14:textId="41E0E8F0" w:rsidR="00192BB8" w:rsidRDefault="00192BB8" w:rsidP="00192BB8">
      <w:pPr>
        <w:pStyle w:val="Listenabsatz"/>
        <w:numPr>
          <w:ilvl w:val="0"/>
          <w:numId w:val="36"/>
        </w:numPr>
      </w:pPr>
      <w:r>
        <w:t>Nur kritische Veränderungen müssen den formalen Prozess durchlaufen</w:t>
      </w:r>
      <w:r w:rsidR="00A93451">
        <w:t>.</w:t>
      </w:r>
    </w:p>
    <w:p w14:paraId="11850F3F" w14:textId="3CF1B20F" w:rsidR="00192BB8" w:rsidRDefault="00192BB8" w:rsidP="00192BB8">
      <w:pPr>
        <w:pStyle w:val="Listenabsatz"/>
        <w:numPr>
          <w:ilvl w:val="0"/>
          <w:numId w:val="36"/>
        </w:numPr>
      </w:pPr>
      <w:r>
        <w:t>Die Evaluierung umfasst auch</w:t>
      </w:r>
      <w:r w:rsidR="00A93451">
        <w:t xml:space="preserve"> andere von der Veränderung betroffene Services.</w:t>
      </w:r>
    </w:p>
    <w:p w14:paraId="6C5526F6" w14:textId="168988AB" w:rsidR="00A93451" w:rsidRDefault="00A93451" w:rsidP="00192BB8">
      <w:pPr>
        <w:pStyle w:val="Listenabsatz"/>
        <w:numPr>
          <w:ilvl w:val="0"/>
          <w:numId w:val="36"/>
        </w:numPr>
      </w:pPr>
      <w:r>
        <w:t>Sol</w:t>
      </w:r>
      <w:r w:rsidR="0043065E">
        <w:t xml:space="preserve">lte die erwarteten </w:t>
      </w:r>
      <w:r>
        <w:t>von den geplanten</w:t>
      </w:r>
      <w:r w:rsidR="0043065E">
        <w:t xml:space="preserve"> Auswirkungen abweichen,</w:t>
      </w:r>
    </w:p>
    <w:p w14:paraId="6C1C090B" w14:textId="5B5B530A" w:rsidR="00A93451" w:rsidRDefault="0043065E" w:rsidP="00A93451">
      <w:pPr>
        <w:pStyle w:val="Listenabsatz"/>
        <w:numPr>
          <w:ilvl w:val="1"/>
          <w:numId w:val="36"/>
        </w:numPr>
      </w:pPr>
      <w:r>
        <w:t>m</w:t>
      </w:r>
      <w:r w:rsidR="00A93451">
        <w:t>uss das der Kunde explizit akzeptieren.</w:t>
      </w:r>
    </w:p>
    <w:p w14:paraId="662EC6A8" w14:textId="244FD617" w:rsidR="00A93451" w:rsidRDefault="0043065E" w:rsidP="00A93451">
      <w:pPr>
        <w:pStyle w:val="Listenabsatz"/>
        <w:numPr>
          <w:ilvl w:val="1"/>
          <w:numId w:val="36"/>
        </w:numPr>
      </w:pPr>
      <w:r>
        <w:t>k</w:t>
      </w:r>
      <w:r w:rsidR="00A93451">
        <w:t>ann der Kunde den Change zurückweisen.</w:t>
      </w:r>
    </w:p>
    <w:p w14:paraId="50EC1B60" w14:textId="7360521C" w:rsidR="00A93451" w:rsidRDefault="0043065E" w:rsidP="00A93451">
      <w:pPr>
        <w:pStyle w:val="Listenabsatz"/>
        <w:numPr>
          <w:ilvl w:val="1"/>
          <w:numId w:val="36"/>
        </w:numPr>
      </w:pPr>
      <w:r>
        <w:t>k</w:t>
      </w:r>
      <w:r w:rsidR="00A93451">
        <w:t>ann der Kunde einen neuen und überarbeiteten Change anfordern.</w:t>
      </w:r>
    </w:p>
    <w:p w14:paraId="253EA8C3" w14:textId="14239A99" w:rsidR="00A93451" w:rsidRPr="00A93451" w:rsidRDefault="00A93451" w:rsidP="00A93451">
      <w:commentRangeStart w:id="82"/>
      <w:r>
        <w:t xml:space="preserve">Wie den bisherigen </w:t>
      </w:r>
      <w:r w:rsidR="0043065E">
        <w:t xml:space="preserve">Ausführungen </w:t>
      </w:r>
      <w:r>
        <w:t xml:space="preserve">entnommen werden kann, herrscht eine enge Verbindung zum CHM-Prozess (vgl. Kapitel </w:t>
      </w:r>
      <w:r>
        <w:fldChar w:fldCharType="begin"/>
      </w:r>
      <w:r>
        <w:instrText xml:space="preserve"> REF _Ref450406185 \r \h </w:instrText>
      </w:r>
      <w:r>
        <w:fldChar w:fldCharType="separate"/>
      </w:r>
      <w:r>
        <w:t>4.2</w:t>
      </w:r>
      <w:r>
        <w:fldChar w:fldCharType="end"/>
      </w:r>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 xml:space="preserve">sen, welche diese Evaluierung zur Risikobewertung benötigt (vgl. Kapitel </w:t>
      </w:r>
      <w:r>
        <w:fldChar w:fldCharType="begin"/>
      </w:r>
      <w:r>
        <w:instrText xml:space="preserve"> REF _Ref450406361 \r \h </w:instrText>
      </w:r>
      <w:r>
        <w:fldChar w:fldCharType="separate"/>
      </w:r>
      <w:r>
        <w:t>4.2</w:t>
      </w:r>
      <w:r>
        <w:fldChar w:fldCharType="end"/>
      </w:r>
      <w:r>
        <w:t xml:space="preserve">). Die Anwendung eines </w:t>
      </w:r>
      <w:r w:rsidRPr="0043065E">
        <w:rPr>
          <w:b/>
        </w:rPr>
        <w:t>formellen Prozess</w:t>
      </w:r>
      <w:r w:rsidR="0043065E" w:rsidRPr="0043065E">
        <w:rPr>
          <w:b/>
        </w:rPr>
        <w:t>es</w:t>
      </w:r>
      <w:r w:rsidRPr="0043065E">
        <w:rPr>
          <w:b/>
        </w:rPr>
        <w:t xml:space="preserve"> für kritische Veränderung</w:t>
      </w:r>
      <w:r w:rsidR="0043065E" w:rsidRPr="0043065E">
        <w:rPr>
          <w:b/>
        </w:rPr>
        <w:t>en</w:t>
      </w:r>
      <w:r>
        <w:t xml:space="preserve"> ist </w:t>
      </w:r>
      <w:r w:rsidR="0043065E">
        <w:t xml:space="preserve">ähnlich der Unterscheidung der Change-Typen, da auch hier je nach Kritikalität unterschiedliche Verfahrensweisen angewendet werden. Dass die </w:t>
      </w:r>
      <w:r w:rsidR="0043065E" w:rsidRPr="0043065E">
        <w:rPr>
          <w:b/>
        </w:rPr>
        <w:t>Evaluierung auch andere betroffene Services</w:t>
      </w:r>
      <w:r w:rsidR="0043065E">
        <w:t xml:space="preserve"> umfassen muss, ist hinsichtlich der Anforderung zur Risikobewertung aus dem Change Management ebenfalls nachvollziehbar (vgl. Kapitel </w:t>
      </w:r>
      <w:r w:rsidR="0043065E">
        <w:fldChar w:fldCharType="begin"/>
      </w:r>
      <w:r w:rsidR="0043065E">
        <w:instrText xml:space="preserve"> REF _Ref450406746 \r \h </w:instrText>
      </w:r>
      <w:r w:rsidR="0043065E">
        <w:fldChar w:fldCharType="separate"/>
      </w:r>
      <w:r w:rsidR="0043065E">
        <w:t>4.2</w:t>
      </w:r>
      <w:r w:rsidR="0043065E">
        <w:fldChar w:fldCharType="end"/>
      </w:r>
      <w:r w:rsidR="0043065E">
        <w:t>). Die vorgeschlagenen Maßnahmen bei einer Abweichung von den geplanten Auswirkungen sind sinnvoll, aber je nach Service zu beachten.</w:t>
      </w:r>
      <w:commentRangeEnd w:id="82"/>
      <w:r w:rsidR="0043065E">
        <w:rPr>
          <w:rStyle w:val="Kommentarzeichen"/>
        </w:rPr>
        <w:commentReference w:id="82"/>
      </w:r>
    </w:p>
    <w:p w14:paraId="452300E9" w14:textId="34570056" w:rsidR="00BE5B1B" w:rsidRDefault="00BE5B1B" w:rsidP="00E67FF7">
      <w:pPr>
        <w:pStyle w:val="berschrift2"/>
      </w:pPr>
      <w:bookmarkStart w:id="83" w:name="_Toc450314477"/>
      <w:r>
        <w:t>Knowledge Management</w:t>
      </w:r>
      <w:bookmarkEnd w:id="83"/>
    </w:p>
    <w:p w14:paraId="4F8EA6E7" w14:textId="2EA5B8DF" w:rsidR="00EE189C" w:rsidRDefault="00EE189C" w:rsidP="00EE189C">
      <w:pPr>
        <w:pStyle w:val="berschrift2"/>
      </w:pPr>
      <w:bookmarkStart w:id="84" w:name="_Toc450314478"/>
      <w:r>
        <w:t>Zusammenfassung der Release-Management Faktoren zur Risikobehandlung</w:t>
      </w:r>
      <w:bookmarkEnd w:id="84"/>
    </w:p>
    <w:tbl>
      <w:tblPr>
        <w:tblStyle w:val="Tabellenraster"/>
        <w:tblW w:w="0" w:type="auto"/>
        <w:tblLook w:val="04A0" w:firstRow="1" w:lastRow="0" w:firstColumn="1" w:lastColumn="0" w:noHBand="0" w:noVBand="1"/>
      </w:tblPr>
      <w:tblGrid>
        <w:gridCol w:w="2786"/>
        <w:gridCol w:w="1325"/>
        <w:gridCol w:w="4249"/>
      </w:tblGrid>
      <w:tr w:rsidR="00EE189C" w14:paraId="16ECC23C" w14:textId="77777777" w:rsidTr="00F417F5">
        <w:tc>
          <w:tcPr>
            <w:tcW w:w="2786" w:type="dxa"/>
          </w:tcPr>
          <w:p w14:paraId="4DA3B2A2" w14:textId="017FA4A2" w:rsidR="00EE189C" w:rsidRPr="00E40C6B" w:rsidRDefault="00EE189C" w:rsidP="00EE189C">
            <w:pPr>
              <w:rPr>
                <w:highlight w:val="yellow"/>
              </w:rPr>
            </w:pPr>
            <w:r w:rsidRPr="00E40C6B">
              <w:rPr>
                <w:highlight w:val="yellow"/>
              </w:rPr>
              <w:t>Prozess</w:t>
            </w:r>
          </w:p>
        </w:tc>
        <w:tc>
          <w:tcPr>
            <w:tcW w:w="1325" w:type="dxa"/>
          </w:tcPr>
          <w:p w14:paraId="1C08C05B" w14:textId="18DB802B" w:rsidR="00EE189C" w:rsidRPr="00E40C6B" w:rsidRDefault="00EE189C" w:rsidP="00EE189C">
            <w:pPr>
              <w:rPr>
                <w:highlight w:val="yellow"/>
              </w:rPr>
            </w:pPr>
            <w:r w:rsidRPr="00E40C6B">
              <w:rPr>
                <w:highlight w:val="yellow"/>
              </w:rPr>
              <w:t>Risiko</w:t>
            </w:r>
          </w:p>
        </w:tc>
        <w:tc>
          <w:tcPr>
            <w:tcW w:w="4249" w:type="dxa"/>
          </w:tcPr>
          <w:p w14:paraId="16C822D3" w14:textId="37D0B6A2" w:rsidR="00EE189C" w:rsidRPr="00E40C6B" w:rsidRDefault="00EE189C" w:rsidP="00EE189C">
            <w:pPr>
              <w:rPr>
                <w:highlight w:val="yellow"/>
              </w:rPr>
            </w:pPr>
            <w:r w:rsidRPr="00E40C6B">
              <w:rPr>
                <w:highlight w:val="yellow"/>
              </w:rPr>
              <w:t>Faktor</w:t>
            </w:r>
          </w:p>
        </w:tc>
      </w:tr>
      <w:tr w:rsidR="00EE189C" w14:paraId="60C64A7E" w14:textId="77777777" w:rsidTr="00F417F5">
        <w:tc>
          <w:tcPr>
            <w:tcW w:w="2786" w:type="dxa"/>
          </w:tcPr>
          <w:p w14:paraId="13E43983" w14:textId="5CFB2EFE" w:rsidR="00EE189C" w:rsidRPr="00E40C6B" w:rsidRDefault="00EE189C" w:rsidP="00EE189C">
            <w:pPr>
              <w:rPr>
                <w:highlight w:val="yellow"/>
              </w:rPr>
            </w:pPr>
            <w:commentRangeStart w:id="85"/>
            <w:r w:rsidRPr="00E40C6B">
              <w:rPr>
                <w:highlight w:val="yellow"/>
              </w:rPr>
              <w:t>TPS</w:t>
            </w:r>
          </w:p>
        </w:tc>
        <w:tc>
          <w:tcPr>
            <w:tcW w:w="1325" w:type="dxa"/>
          </w:tcPr>
          <w:p w14:paraId="357F1588" w14:textId="2B46A908" w:rsidR="00EE189C" w:rsidRPr="00E40C6B" w:rsidRDefault="00EE189C" w:rsidP="00EE189C">
            <w:pPr>
              <w:rPr>
                <w:highlight w:val="yellow"/>
              </w:rPr>
            </w:pPr>
            <w:r w:rsidRPr="00E40C6B">
              <w:rPr>
                <w:highlight w:val="yellow"/>
              </w:rPr>
              <w:t>Zeit</w:t>
            </w:r>
          </w:p>
        </w:tc>
        <w:tc>
          <w:tcPr>
            <w:tcW w:w="4249" w:type="dxa"/>
          </w:tcPr>
          <w:p w14:paraId="6769CC0F" w14:textId="08880F41" w:rsidR="00EE189C" w:rsidRPr="00E40C6B" w:rsidRDefault="00E40C6B" w:rsidP="00EE189C">
            <w:pPr>
              <w:rPr>
                <w:highlight w:val="yellow"/>
              </w:rPr>
            </w:pPr>
            <w:r w:rsidRPr="00E40C6B">
              <w:rPr>
                <w:highlight w:val="yellow"/>
              </w:rPr>
              <w:t>Release-Zyklus</w:t>
            </w:r>
            <w:commentRangeEnd w:id="85"/>
            <w:r w:rsidR="0053310C">
              <w:rPr>
                <w:rStyle w:val="Kommentarzeichen"/>
              </w:rPr>
              <w:commentReference w:id="85"/>
            </w:r>
          </w:p>
        </w:tc>
      </w:tr>
      <w:tr w:rsidR="003362A0" w14:paraId="3D3B3287" w14:textId="77777777" w:rsidTr="00F417F5">
        <w:tc>
          <w:tcPr>
            <w:tcW w:w="2786" w:type="dxa"/>
          </w:tcPr>
          <w:p w14:paraId="3AAADFDE" w14:textId="230E2F73" w:rsidR="003362A0" w:rsidRPr="00E40C6B" w:rsidRDefault="003362A0" w:rsidP="00EE189C">
            <w:pPr>
              <w:rPr>
                <w:highlight w:val="yellow"/>
              </w:rPr>
            </w:pPr>
            <w:r>
              <w:rPr>
                <w:highlight w:val="yellow"/>
              </w:rPr>
              <w:t>CHM</w:t>
            </w:r>
          </w:p>
        </w:tc>
        <w:tc>
          <w:tcPr>
            <w:tcW w:w="1325" w:type="dxa"/>
          </w:tcPr>
          <w:p w14:paraId="485B1161" w14:textId="77777777" w:rsidR="003362A0" w:rsidRPr="00E40C6B" w:rsidRDefault="003362A0" w:rsidP="00EE189C">
            <w:pPr>
              <w:rPr>
                <w:highlight w:val="yellow"/>
              </w:rPr>
            </w:pPr>
          </w:p>
        </w:tc>
        <w:tc>
          <w:tcPr>
            <w:tcW w:w="4249" w:type="dxa"/>
          </w:tcPr>
          <w:p w14:paraId="5645579F" w14:textId="77777777" w:rsidR="003362A0" w:rsidRDefault="0053310C" w:rsidP="00EE189C">
            <w:pPr>
              <w:rPr>
                <w:highlight w:val="yellow"/>
              </w:rPr>
            </w:pPr>
            <w:proofErr w:type="spellStart"/>
            <w:r>
              <w:rPr>
                <w:highlight w:val="yellow"/>
              </w:rPr>
              <w:t>Changetyp</w:t>
            </w:r>
            <w:proofErr w:type="spellEnd"/>
          </w:p>
          <w:p w14:paraId="68B685E3" w14:textId="43ADE121" w:rsidR="0053310C" w:rsidRPr="00E40C6B" w:rsidRDefault="0053310C" w:rsidP="00EE189C">
            <w:pPr>
              <w:rPr>
                <w:highlight w:val="yellow"/>
              </w:rPr>
            </w:pPr>
            <w:r>
              <w:rPr>
                <w:highlight w:val="yellow"/>
              </w:rPr>
              <w:t>Wartungsfenster</w:t>
            </w:r>
          </w:p>
        </w:tc>
      </w:tr>
      <w:tr w:rsidR="00EE189C" w14:paraId="73A4AB89" w14:textId="77777777" w:rsidTr="00F417F5">
        <w:tc>
          <w:tcPr>
            <w:tcW w:w="2786" w:type="dxa"/>
          </w:tcPr>
          <w:p w14:paraId="3224A4F5" w14:textId="3D3F6260" w:rsidR="00EE189C" w:rsidRPr="00E40C6B" w:rsidRDefault="00616200" w:rsidP="00EE189C">
            <w:pPr>
              <w:rPr>
                <w:highlight w:val="yellow"/>
              </w:rPr>
            </w:pPr>
            <w:r>
              <w:rPr>
                <w:highlight w:val="yellow"/>
              </w:rPr>
              <w:lastRenderedPageBreak/>
              <w:t>SACM</w:t>
            </w:r>
          </w:p>
        </w:tc>
        <w:tc>
          <w:tcPr>
            <w:tcW w:w="1325" w:type="dxa"/>
          </w:tcPr>
          <w:p w14:paraId="42D91509" w14:textId="54DCF2A9" w:rsidR="00EE189C" w:rsidRPr="00E40C6B" w:rsidRDefault="00616200" w:rsidP="00EE189C">
            <w:pPr>
              <w:rPr>
                <w:highlight w:val="yellow"/>
              </w:rPr>
            </w:pPr>
            <w:r>
              <w:rPr>
                <w:highlight w:val="yellow"/>
              </w:rPr>
              <w:t>-</w:t>
            </w:r>
          </w:p>
        </w:tc>
        <w:tc>
          <w:tcPr>
            <w:tcW w:w="4249" w:type="dxa"/>
          </w:tcPr>
          <w:p w14:paraId="1D08BF6E" w14:textId="3B561FA0" w:rsidR="00EE189C" w:rsidRPr="00E40C6B" w:rsidRDefault="00616200" w:rsidP="00EE189C">
            <w:pPr>
              <w:rPr>
                <w:highlight w:val="yellow"/>
              </w:rPr>
            </w:pPr>
            <w:r>
              <w:rPr>
                <w:highlight w:val="yellow"/>
              </w:rPr>
              <w:t>-</w:t>
            </w:r>
          </w:p>
        </w:tc>
      </w:tr>
      <w:tr w:rsidR="00EE189C" w14:paraId="615B2AA3" w14:textId="77777777" w:rsidTr="00F417F5">
        <w:tc>
          <w:tcPr>
            <w:tcW w:w="2786" w:type="dxa"/>
          </w:tcPr>
          <w:p w14:paraId="0F55990A" w14:textId="723F1069" w:rsidR="00EE189C" w:rsidRPr="00E40C6B" w:rsidRDefault="003362A0" w:rsidP="00EE189C">
            <w:pPr>
              <w:rPr>
                <w:highlight w:val="yellow"/>
              </w:rPr>
            </w:pPr>
            <w:r>
              <w:rPr>
                <w:highlight w:val="yellow"/>
              </w:rPr>
              <w:t>RDM</w:t>
            </w:r>
          </w:p>
        </w:tc>
        <w:tc>
          <w:tcPr>
            <w:tcW w:w="1325" w:type="dxa"/>
          </w:tcPr>
          <w:p w14:paraId="61DCC842" w14:textId="77777777" w:rsidR="00EE189C" w:rsidRPr="00E40C6B" w:rsidRDefault="00EE189C" w:rsidP="00EE189C">
            <w:pPr>
              <w:rPr>
                <w:highlight w:val="yellow"/>
              </w:rPr>
            </w:pPr>
          </w:p>
        </w:tc>
        <w:tc>
          <w:tcPr>
            <w:tcW w:w="4249" w:type="dxa"/>
          </w:tcPr>
          <w:p w14:paraId="786590D7" w14:textId="77777777" w:rsidR="00EE189C" w:rsidRDefault="003362A0" w:rsidP="00EE189C">
            <w:pPr>
              <w:rPr>
                <w:highlight w:val="yellow"/>
              </w:rPr>
            </w:pPr>
            <w:r>
              <w:rPr>
                <w:highlight w:val="yellow"/>
              </w:rPr>
              <w:t>Release-Einheit</w:t>
            </w:r>
          </w:p>
          <w:p w14:paraId="22182524" w14:textId="77777777" w:rsidR="003362A0" w:rsidRDefault="003362A0" w:rsidP="00EE189C">
            <w:pPr>
              <w:rPr>
                <w:highlight w:val="yellow"/>
              </w:rPr>
            </w:pPr>
            <w:r>
              <w:rPr>
                <w:highlight w:val="yellow"/>
              </w:rPr>
              <w:t>Release-Methode</w:t>
            </w:r>
          </w:p>
          <w:p w14:paraId="281EB4AF" w14:textId="77777777" w:rsidR="003362A0" w:rsidRDefault="003362A0" w:rsidP="00EE189C">
            <w:pPr>
              <w:rPr>
                <w:highlight w:val="yellow"/>
              </w:rPr>
            </w:pPr>
            <w:r>
              <w:rPr>
                <w:highlight w:val="yellow"/>
              </w:rPr>
              <w:t>Automationsgrad</w:t>
            </w:r>
          </w:p>
          <w:p w14:paraId="3D065C5D" w14:textId="77777777" w:rsidR="003362A0" w:rsidRDefault="003362A0" w:rsidP="00EE189C">
            <w:pPr>
              <w:rPr>
                <w:highlight w:val="yellow"/>
              </w:rPr>
            </w:pPr>
            <w:proofErr w:type="spellStart"/>
            <w:r>
              <w:rPr>
                <w:highlight w:val="yellow"/>
              </w:rPr>
              <w:t>Remediation</w:t>
            </w:r>
            <w:proofErr w:type="spellEnd"/>
          </w:p>
          <w:p w14:paraId="6DFB6B95" w14:textId="2EDC3E93" w:rsidR="003362A0" w:rsidRPr="00E40C6B" w:rsidRDefault="003362A0" w:rsidP="00EE189C">
            <w:pPr>
              <w:rPr>
                <w:highlight w:val="yellow"/>
              </w:rPr>
            </w:pPr>
            <w:r>
              <w:rPr>
                <w:highlight w:val="yellow"/>
              </w:rPr>
              <w:t>ELS</w:t>
            </w:r>
          </w:p>
        </w:tc>
      </w:tr>
      <w:tr w:rsidR="0053310C" w14:paraId="4AAAA5BF" w14:textId="77777777" w:rsidTr="00F417F5">
        <w:tc>
          <w:tcPr>
            <w:tcW w:w="2786" w:type="dxa"/>
          </w:tcPr>
          <w:p w14:paraId="3628B8C6" w14:textId="0FA55F4A" w:rsidR="0053310C" w:rsidRDefault="0053310C" w:rsidP="00EE189C">
            <w:pPr>
              <w:rPr>
                <w:highlight w:val="yellow"/>
              </w:rPr>
            </w:pPr>
            <w:r>
              <w:rPr>
                <w:highlight w:val="yellow"/>
              </w:rPr>
              <w:t>SVT</w:t>
            </w:r>
          </w:p>
        </w:tc>
        <w:tc>
          <w:tcPr>
            <w:tcW w:w="1325" w:type="dxa"/>
          </w:tcPr>
          <w:p w14:paraId="53454E8F" w14:textId="77777777" w:rsidR="0053310C" w:rsidRPr="00E40C6B" w:rsidRDefault="0053310C" w:rsidP="00EE189C">
            <w:pPr>
              <w:rPr>
                <w:highlight w:val="yellow"/>
              </w:rPr>
            </w:pPr>
          </w:p>
        </w:tc>
        <w:tc>
          <w:tcPr>
            <w:tcW w:w="4249" w:type="dxa"/>
          </w:tcPr>
          <w:p w14:paraId="6B223112" w14:textId="19C16153" w:rsidR="00F417F5" w:rsidRDefault="00F417F5" w:rsidP="00EE189C">
            <w:pPr>
              <w:rPr>
                <w:highlight w:val="yellow"/>
              </w:rPr>
            </w:pPr>
            <w:r>
              <w:rPr>
                <w:highlight w:val="yellow"/>
              </w:rPr>
              <w:t>Trennung Test/Entwicklung</w:t>
            </w:r>
          </w:p>
          <w:p w14:paraId="0DA3ED2E" w14:textId="64CEC32B" w:rsidR="00F417F5" w:rsidRDefault="00F417F5" w:rsidP="00EE189C">
            <w:pPr>
              <w:rPr>
                <w:highlight w:val="yellow"/>
              </w:rPr>
            </w:pPr>
            <w:r>
              <w:rPr>
                <w:highlight w:val="yellow"/>
              </w:rPr>
              <w:t>Wiederverwendbarkeit</w:t>
            </w:r>
          </w:p>
          <w:p w14:paraId="4277954E" w14:textId="670A3519" w:rsidR="00F417F5" w:rsidRDefault="00F417F5" w:rsidP="00EE189C">
            <w:pPr>
              <w:rPr>
                <w:highlight w:val="yellow"/>
              </w:rPr>
            </w:pPr>
            <w:r>
              <w:rPr>
                <w:highlight w:val="yellow"/>
              </w:rPr>
              <w:t>Frühzeitige Integration</w:t>
            </w:r>
          </w:p>
          <w:p w14:paraId="640E69EF" w14:textId="1802E77E" w:rsidR="00F417F5" w:rsidRDefault="00F417F5" w:rsidP="00EE189C">
            <w:pPr>
              <w:rPr>
                <w:highlight w:val="yellow"/>
              </w:rPr>
            </w:pPr>
            <w:r>
              <w:rPr>
                <w:highlight w:val="yellow"/>
              </w:rPr>
              <w:t>Endnutzertest</w:t>
            </w:r>
          </w:p>
          <w:p w14:paraId="24E39A7E" w14:textId="4BF07D94" w:rsidR="0053310C" w:rsidRDefault="00F417F5" w:rsidP="00EE189C">
            <w:pPr>
              <w:rPr>
                <w:highlight w:val="yellow"/>
              </w:rPr>
            </w:pPr>
            <w:r>
              <w:rPr>
                <w:highlight w:val="yellow"/>
              </w:rPr>
              <w:t>Testautomatisierung</w:t>
            </w:r>
          </w:p>
        </w:tc>
      </w:tr>
    </w:tbl>
    <w:p w14:paraId="51358DB3" w14:textId="38123DDE" w:rsidR="00EE189C" w:rsidRPr="00EE189C" w:rsidRDefault="00EE189C" w:rsidP="00EE189C"/>
    <w:p w14:paraId="69529776" w14:textId="584BCBB2" w:rsidR="00461FAA" w:rsidRDefault="00461FAA" w:rsidP="00461FAA">
      <w:pPr>
        <w:pStyle w:val="berschrift1"/>
      </w:pPr>
      <w:bookmarkStart w:id="86" w:name="_Ref442963953"/>
      <w:bookmarkStart w:id="87" w:name="_Toc450314479"/>
      <w:r>
        <w:lastRenderedPageBreak/>
        <w:t>Ko</w:t>
      </w:r>
      <w:r w:rsidR="00BC71A2">
        <w:t>nstruktion der Standardtypen zum Umgang mit den</w:t>
      </w:r>
      <w:r>
        <w:t xml:space="preserve"> Risiken der Produktlebenszyklusphasen</w:t>
      </w:r>
      <w:bookmarkEnd w:id="86"/>
      <w:bookmarkEnd w:id="87"/>
    </w:p>
    <w:p w14:paraId="48C18A00" w14:textId="17E200EA" w:rsidR="00386B1B" w:rsidRPr="00386B1B" w:rsidRDefault="00F3225E" w:rsidP="00386B1B">
      <w:r>
        <w:t>In Kapitel 3</w:t>
      </w:r>
      <w:r w:rsidR="00386B1B">
        <w:t xml:space="preserve"> erfolgte die Vorstellung der Risiken der einzelnen Produktlebenszyklusphasen und die Zusammenfassung zu unterschiedlichen Gruppen. Mögliche Risikobehandlungsmaßnahmen des Release-M</w:t>
      </w:r>
      <w:r>
        <w:t>anagements wurden in Kapitel 4</w:t>
      </w:r>
      <w:r w:rsidR="00386B1B">
        <w:t xml:space="preserve"> vorgestellt. Dieses Kapitel beschäftigt sich mit der Zuordnung der Release-Management-Prozesse zu den Produktlebenszyklusgruppen anhand der zu behandelten Risiken. Dazu werden die </w:t>
      </w:r>
      <w:r>
        <w:t>herausgearbeitet</w:t>
      </w:r>
      <w:r w:rsidR="003362A0">
        <w:t>en</w:t>
      </w:r>
      <w:r>
        <w:t xml:space="preserve"> </w:t>
      </w:r>
      <w:r w:rsidR="00386B1B">
        <w:t xml:space="preserve">Grundelemente der Release-Management-Prozesse je nach Bedingung </w:t>
      </w:r>
      <w:r>
        <w:t>konkretisiert und</w:t>
      </w:r>
      <w:r w:rsidR="00386B1B">
        <w:t xml:space="preserve"> beschrieben.</w:t>
      </w:r>
    </w:p>
    <w:p w14:paraId="07414298" w14:textId="77777777" w:rsidR="00386B1B" w:rsidRDefault="00461FAA" w:rsidP="00461FAA">
      <w:pPr>
        <w:pStyle w:val="berschrift2"/>
      </w:pPr>
      <w:bookmarkStart w:id="88" w:name="_Toc450314480"/>
      <w:proofErr w:type="spellStart"/>
      <w:r>
        <w:t>DevOps</w:t>
      </w:r>
      <w:bookmarkEnd w:id="88"/>
      <w:proofErr w:type="spellEnd"/>
    </w:p>
    <w:p w14:paraId="52CACDF6" w14:textId="6DA47A50" w:rsidR="00461FAA" w:rsidRPr="00853517" w:rsidRDefault="00386B1B" w:rsidP="00853517">
      <w:pPr>
        <w:rPr>
          <w:highlight w:val="yellow"/>
        </w:rPr>
      </w:pPr>
      <w:r w:rsidRPr="00853517">
        <w:rPr>
          <w:highlight w:val="yellow"/>
        </w:rPr>
        <w:t>(Entwicklung + Einführung)</w:t>
      </w:r>
    </w:p>
    <w:p w14:paraId="228077CD" w14:textId="3580AA8C" w:rsidR="00612429" w:rsidRPr="00612429" w:rsidRDefault="00612429" w:rsidP="00612429">
      <w:r w:rsidRPr="00853517">
        <w:rPr>
          <w:highlight w:val="yellow"/>
        </w:rPr>
        <w:t>Risiko hoch, Zeitdruck hoch</w:t>
      </w:r>
    </w:p>
    <w:p w14:paraId="2F8A9C82" w14:textId="77777777" w:rsidR="00386B1B" w:rsidRDefault="00461FAA" w:rsidP="00461FAA">
      <w:pPr>
        <w:pStyle w:val="berschrift2"/>
      </w:pPr>
      <w:bookmarkStart w:id="89" w:name="_Toc450314481"/>
      <w:r>
        <w:t>Formell</w:t>
      </w:r>
      <w:bookmarkEnd w:id="89"/>
    </w:p>
    <w:p w14:paraId="494C391F" w14:textId="73A2F227" w:rsidR="00461FAA" w:rsidRPr="00853517" w:rsidRDefault="00386B1B" w:rsidP="00853517">
      <w:pPr>
        <w:rPr>
          <w:highlight w:val="yellow"/>
        </w:rPr>
      </w:pPr>
      <w:r w:rsidRPr="00853517">
        <w:rPr>
          <w:highlight w:val="yellow"/>
        </w:rPr>
        <w:t>(Reife + Wachstum)</w:t>
      </w:r>
    </w:p>
    <w:p w14:paraId="57BC1BBB" w14:textId="73E87AA4" w:rsidR="00612429" w:rsidRPr="00612429" w:rsidRDefault="00612429" w:rsidP="00612429">
      <w:r w:rsidRPr="00853517">
        <w:rPr>
          <w:highlight w:val="yellow"/>
        </w:rPr>
        <w:t>Risiko hoch, Zeitdruck niedrig</w:t>
      </w:r>
    </w:p>
    <w:p w14:paraId="52848B21" w14:textId="77777777" w:rsidR="00C67860" w:rsidRDefault="00C67860" w:rsidP="00C67860">
      <w:pPr>
        <w:pStyle w:val="berschrift2"/>
      </w:pPr>
      <w:bookmarkStart w:id="90" w:name="_Toc450314482"/>
      <w:r>
        <w:t>Schlank</w:t>
      </w:r>
      <w:bookmarkEnd w:id="90"/>
    </w:p>
    <w:p w14:paraId="0C38438A" w14:textId="6E027DDC" w:rsidR="00461FAA" w:rsidRPr="00853517" w:rsidRDefault="00386B1B" w:rsidP="00853517">
      <w:pPr>
        <w:rPr>
          <w:highlight w:val="yellow"/>
        </w:rPr>
      </w:pPr>
      <w:r w:rsidRPr="00853517">
        <w:rPr>
          <w:highlight w:val="yellow"/>
        </w:rPr>
        <w:t>(Entsorgung)</w:t>
      </w:r>
    </w:p>
    <w:p w14:paraId="1F67837B" w14:textId="612BD8ED" w:rsidR="00612429" w:rsidRDefault="00612429" w:rsidP="00612429">
      <w:r w:rsidRPr="00853517">
        <w:rPr>
          <w:highlight w:val="yellow"/>
        </w:rPr>
        <w:t>Risiko niedrig, Zeitdruck niedrig</w:t>
      </w:r>
    </w:p>
    <w:p w14:paraId="0F308B21" w14:textId="3E868527" w:rsidR="00386B1B" w:rsidRDefault="00386B1B" w:rsidP="00386B1B">
      <w:pPr>
        <w:pStyle w:val="berschrift2"/>
      </w:pPr>
      <w:bookmarkStart w:id="91" w:name="_Toc450314483"/>
      <w:r>
        <w:t>Zusammenfassung der Standardtypen</w:t>
      </w:r>
      <w:bookmarkEnd w:id="91"/>
    </w:p>
    <w:tbl>
      <w:tblPr>
        <w:tblStyle w:val="Tabellenraster"/>
        <w:tblW w:w="0" w:type="auto"/>
        <w:tblLook w:val="04A0" w:firstRow="1" w:lastRow="0" w:firstColumn="1" w:lastColumn="0" w:noHBand="0" w:noVBand="1"/>
      </w:tblPr>
      <w:tblGrid>
        <w:gridCol w:w="1176"/>
        <w:gridCol w:w="1884"/>
        <w:gridCol w:w="1422"/>
        <w:gridCol w:w="1394"/>
        <w:gridCol w:w="1405"/>
      </w:tblGrid>
      <w:tr w:rsidR="00386B1B" w14:paraId="280AB32A" w14:textId="77777777" w:rsidTr="00386B1B">
        <w:tc>
          <w:tcPr>
            <w:tcW w:w="1176" w:type="dxa"/>
          </w:tcPr>
          <w:p w14:paraId="2527FFFB" w14:textId="57BD1511" w:rsidR="00386B1B" w:rsidRDefault="00386B1B" w:rsidP="00386B1B">
            <w:commentRangeStart w:id="92"/>
            <w:r>
              <w:t>Prozess</w:t>
            </w:r>
          </w:p>
        </w:tc>
        <w:tc>
          <w:tcPr>
            <w:tcW w:w="1393" w:type="dxa"/>
          </w:tcPr>
          <w:p w14:paraId="0A940C8A" w14:textId="13149E25" w:rsidR="00386B1B" w:rsidRDefault="00386B1B" w:rsidP="00386B1B">
            <w:r>
              <w:t>Element</w:t>
            </w:r>
          </w:p>
        </w:tc>
        <w:tc>
          <w:tcPr>
            <w:tcW w:w="1422" w:type="dxa"/>
          </w:tcPr>
          <w:p w14:paraId="6CB1C121" w14:textId="2E15BEF7" w:rsidR="00386B1B" w:rsidRDefault="00386B1B" w:rsidP="00386B1B">
            <w:proofErr w:type="spellStart"/>
            <w:r>
              <w:t>DevOps</w:t>
            </w:r>
            <w:proofErr w:type="spellEnd"/>
          </w:p>
        </w:tc>
        <w:tc>
          <w:tcPr>
            <w:tcW w:w="1394" w:type="dxa"/>
          </w:tcPr>
          <w:p w14:paraId="28B0094C" w14:textId="312B7913" w:rsidR="00386B1B" w:rsidRDefault="00386B1B" w:rsidP="00386B1B">
            <w:r>
              <w:t>Formell</w:t>
            </w:r>
          </w:p>
        </w:tc>
        <w:tc>
          <w:tcPr>
            <w:tcW w:w="1394" w:type="dxa"/>
          </w:tcPr>
          <w:p w14:paraId="04616920" w14:textId="25902477" w:rsidR="00386B1B" w:rsidRDefault="00C67860" w:rsidP="00386B1B">
            <w:r>
              <w:t>Schlank</w:t>
            </w:r>
          </w:p>
        </w:tc>
      </w:tr>
      <w:tr w:rsidR="00386B1B" w14:paraId="11C26F16" w14:textId="77777777" w:rsidTr="00386B1B">
        <w:tc>
          <w:tcPr>
            <w:tcW w:w="1176" w:type="dxa"/>
            <w:vMerge w:val="restart"/>
          </w:tcPr>
          <w:p w14:paraId="3D881120" w14:textId="0BDE1781" w:rsidR="00386B1B" w:rsidRDefault="00386B1B" w:rsidP="00386B1B">
            <w:r>
              <w:t>TPS</w:t>
            </w:r>
          </w:p>
        </w:tc>
        <w:tc>
          <w:tcPr>
            <w:tcW w:w="1393" w:type="dxa"/>
          </w:tcPr>
          <w:p w14:paraId="2805BB50" w14:textId="69587FD8" w:rsidR="00386B1B" w:rsidRDefault="00EA2F6B" w:rsidP="00386B1B">
            <w:r>
              <w:t>Release-</w:t>
            </w:r>
            <w:r w:rsidR="00386B1B">
              <w:t>Zyklus</w:t>
            </w:r>
          </w:p>
        </w:tc>
        <w:tc>
          <w:tcPr>
            <w:tcW w:w="1422" w:type="dxa"/>
          </w:tcPr>
          <w:p w14:paraId="7EEFB8DC" w14:textId="3A4BDDE7" w:rsidR="00386B1B" w:rsidRDefault="00386B1B" w:rsidP="00386B1B">
            <w:r>
              <w:t>ad-hoc</w:t>
            </w:r>
          </w:p>
        </w:tc>
        <w:tc>
          <w:tcPr>
            <w:tcW w:w="1394" w:type="dxa"/>
          </w:tcPr>
          <w:p w14:paraId="3BAF8145" w14:textId="6A4EA6C4" w:rsidR="00386B1B" w:rsidRDefault="00C67860" w:rsidP="00386B1B">
            <w:r>
              <w:t>monatlich</w:t>
            </w:r>
          </w:p>
        </w:tc>
        <w:tc>
          <w:tcPr>
            <w:tcW w:w="1394" w:type="dxa"/>
          </w:tcPr>
          <w:p w14:paraId="56FF0DD4" w14:textId="58BF1620" w:rsidR="00386B1B" w:rsidRDefault="00386B1B" w:rsidP="00386B1B">
            <w:r>
              <w:t>-</w:t>
            </w:r>
          </w:p>
        </w:tc>
      </w:tr>
      <w:tr w:rsidR="00386B1B" w14:paraId="56FA39DA" w14:textId="77777777" w:rsidTr="00386B1B">
        <w:tc>
          <w:tcPr>
            <w:tcW w:w="1176" w:type="dxa"/>
            <w:vMerge/>
          </w:tcPr>
          <w:p w14:paraId="16D20977" w14:textId="77777777" w:rsidR="00386B1B" w:rsidRDefault="00386B1B" w:rsidP="00386B1B"/>
        </w:tc>
        <w:tc>
          <w:tcPr>
            <w:tcW w:w="1393" w:type="dxa"/>
          </w:tcPr>
          <w:p w14:paraId="12C1DA4C" w14:textId="6108861E" w:rsidR="00386B1B" w:rsidRDefault="00386B1B" w:rsidP="00386B1B">
            <w:r>
              <w:t>Freigabe</w:t>
            </w:r>
            <w:r w:rsidR="00EA2F6B">
              <w:t>rollen</w:t>
            </w:r>
          </w:p>
        </w:tc>
        <w:tc>
          <w:tcPr>
            <w:tcW w:w="1422" w:type="dxa"/>
          </w:tcPr>
          <w:p w14:paraId="31E054B3" w14:textId="487E7B92" w:rsidR="00386B1B" w:rsidRDefault="00386B1B" w:rsidP="00386B1B">
            <w:r>
              <w:t>PO</w:t>
            </w:r>
          </w:p>
        </w:tc>
        <w:tc>
          <w:tcPr>
            <w:tcW w:w="1394" w:type="dxa"/>
          </w:tcPr>
          <w:p w14:paraId="4EEF4A33" w14:textId="56BEA3D9" w:rsidR="00386B1B" w:rsidRDefault="00386B1B" w:rsidP="00386B1B">
            <w:r>
              <w:t>PO+IT</w:t>
            </w:r>
          </w:p>
        </w:tc>
        <w:tc>
          <w:tcPr>
            <w:tcW w:w="1394" w:type="dxa"/>
          </w:tcPr>
          <w:p w14:paraId="4CFE6875" w14:textId="6AA0AE2C" w:rsidR="00386B1B" w:rsidRDefault="00386B1B" w:rsidP="00386B1B">
            <w:r>
              <w:t>IT</w:t>
            </w:r>
          </w:p>
        </w:tc>
      </w:tr>
      <w:tr w:rsidR="00386B1B" w14:paraId="341A34E7" w14:textId="77777777" w:rsidTr="00386B1B">
        <w:tc>
          <w:tcPr>
            <w:tcW w:w="1176" w:type="dxa"/>
          </w:tcPr>
          <w:p w14:paraId="6B2C5623" w14:textId="623859AC" w:rsidR="00386B1B" w:rsidRDefault="00386B1B" w:rsidP="00386B1B">
            <w:r>
              <w:t>CHM</w:t>
            </w:r>
          </w:p>
        </w:tc>
        <w:tc>
          <w:tcPr>
            <w:tcW w:w="1393" w:type="dxa"/>
          </w:tcPr>
          <w:p w14:paraId="1EF170EE" w14:textId="12CAB410" w:rsidR="00386B1B" w:rsidRDefault="0064096F" w:rsidP="00386B1B">
            <w:r>
              <w:t>Typ</w:t>
            </w:r>
          </w:p>
        </w:tc>
        <w:tc>
          <w:tcPr>
            <w:tcW w:w="1422" w:type="dxa"/>
          </w:tcPr>
          <w:p w14:paraId="2F8629D0" w14:textId="00078311" w:rsidR="00386B1B" w:rsidRDefault="0064096F" w:rsidP="0064096F">
            <w:r>
              <w:t>Standard</w:t>
            </w:r>
          </w:p>
        </w:tc>
        <w:tc>
          <w:tcPr>
            <w:tcW w:w="1394" w:type="dxa"/>
          </w:tcPr>
          <w:p w14:paraId="72C18DA3" w14:textId="0283EC63" w:rsidR="00386B1B" w:rsidRDefault="0064096F" w:rsidP="00386B1B">
            <w:r>
              <w:t>normal</w:t>
            </w:r>
          </w:p>
        </w:tc>
        <w:commentRangeEnd w:id="92"/>
        <w:tc>
          <w:tcPr>
            <w:tcW w:w="1394" w:type="dxa"/>
          </w:tcPr>
          <w:p w14:paraId="06638CB8" w14:textId="7DAF2CF0" w:rsidR="00386B1B" w:rsidRDefault="00386B1B" w:rsidP="0064096F">
            <w:r>
              <w:rPr>
                <w:rStyle w:val="Kommentarzeichen"/>
              </w:rPr>
              <w:commentReference w:id="92"/>
            </w:r>
            <w:r w:rsidR="0064096F">
              <w:t>normal</w:t>
            </w:r>
          </w:p>
        </w:tc>
      </w:tr>
      <w:tr w:rsidR="0064096F" w14:paraId="7F0076FB" w14:textId="77777777" w:rsidTr="00386B1B">
        <w:tc>
          <w:tcPr>
            <w:tcW w:w="1176" w:type="dxa"/>
          </w:tcPr>
          <w:p w14:paraId="19FB95A2" w14:textId="77777777" w:rsidR="0064096F" w:rsidRDefault="0064096F" w:rsidP="00386B1B"/>
        </w:tc>
        <w:tc>
          <w:tcPr>
            <w:tcW w:w="1393" w:type="dxa"/>
          </w:tcPr>
          <w:p w14:paraId="63A82537" w14:textId="4FE1716B" w:rsidR="0064096F" w:rsidRDefault="0064096F" w:rsidP="00386B1B">
            <w:r>
              <w:t>Wartungsfenster</w:t>
            </w:r>
          </w:p>
        </w:tc>
        <w:tc>
          <w:tcPr>
            <w:tcW w:w="1422" w:type="dxa"/>
          </w:tcPr>
          <w:p w14:paraId="44A8A61E" w14:textId="16C907FD" w:rsidR="0064096F" w:rsidRDefault="0064096F" w:rsidP="00386B1B">
            <w:r>
              <w:t>keins</w:t>
            </w:r>
          </w:p>
        </w:tc>
        <w:tc>
          <w:tcPr>
            <w:tcW w:w="1394" w:type="dxa"/>
          </w:tcPr>
          <w:p w14:paraId="14F99F66" w14:textId="77777777" w:rsidR="0064096F" w:rsidRDefault="0064096F" w:rsidP="00386B1B"/>
        </w:tc>
        <w:tc>
          <w:tcPr>
            <w:tcW w:w="1394" w:type="dxa"/>
          </w:tcPr>
          <w:p w14:paraId="4764BF01" w14:textId="77777777" w:rsidR="0064096F" w:rsidRDefault="0064096F" w:rsidP="00386B1B">
            <w:pPr>
              <w:rPr>
                <w:rStyle w:val="Kommentarzeichen"/>
              </w:rPr>
            </w:pPr>
          </w:p>
        </w:tc>
      </w:tr>
    </w:tbl>
    <w:p w14:paraId="280AB9CC" w14:textId="77777777" w:rsidR="00386B1B" w:rsidRPr="00386B1B" w:rsidRDefault="00386B1B" w:rsidP="00386B1B"/>
    <w:p w14:paraId="6583C079" w14:textId="77777777" w:rsidR="00461FAA" w:rsidRDefault="00461FAA" w:rsidP="00461FAA">
      <w:pPr>
        <w:pStyle w:val="berschrift1"/>
      </w:pPr>
      <w:bookmarkStart w:id="93" w:name="_Ref442964028"/>
      <w:bookmarkStart w:id="94" w:name="_Toc450314484"/>
      <w:r>
        <w:lastRenderedPageBreak/>
        <w:t>Kritische Würdigung der Standardtypen</w:t>
      </w:r>
      <w:bookmarkEnd w:id="93"/>
      <w:bookmarkEnd w:id="94"/>
    </w:p>
    <w:p w14:paraId="56B83E54" w14:textId="720679D2" w:rsidR="00853517" w:rsidRPr="00853517" w:rsidRDefault="00853517" w:rsidP="00803CAA">
      <w:pPr>
        <w:rPr>
          <w:highlight w:val="yellow"/>
        </w:rPr>
      </w:pPr>
      <w:r w:rsidRPr="00853517">
        <w:rPr>
          <w:highlight w:val="yellow"/>
        </w:rPr>
        <w:t>Konkrete Vorgaben anstatt generisch wie ITIL</w:t>
      </w:r>
    </w:p>
    <w:p w14:paraId="05551E8C" w14:textId="10122EBF" w:rsidR="00803CAA" w:rsidRDefault="00BC71A2" w:rsidP="00803CAA">
      <w:pPr>
        <w:rPr>
          <w:highlight w:val="yellow"/>
        </w:rPr>
      </w:pPr>
      <w:r w:rsidRPr="00853517">
        <w:rPr>
          <w:highlight w:val="yellow"/>
        </w:rPr>
        <w:t>Ander</w:t>
      </w:r>
      <w:r w:rsidR="00382961" w:rsidRPr="00853517">
        <w:rPr>
          <w:highlight w:val="yellow"/>
        </w:rPr>
        <w:t xml:space="preserve">e Faktoren relevant, z. B. Portfolio </w:t>
      </w:r>
      <w:sdt>
        <w:sdtPr>
          <w:rPr>
            <w:highlight w:val="yellow"/>
          </w:rPr>
          <w:id w:val="-851721241"/>
          <w:citation/>
        </w:sdtPr>
        <w:sdtContent>
          <w:r w:rsidR="00382961" w:rsidRPr="00853517">
            <w:rPr>
              <w:highlight w:val="yellow"/>
            </w:rPr>
            <w:fldChar w:fldCharType="begin"/>
          </w:r>
          <w:r w:rsidR="00382961" w:rsidRPr="00853517">
            <w:rPr>
              <w:highlight w:val="yellow"/>
            </w:rPr>
            <w:instrText xml:space="preserve">CITATION Aum09 \p "S. 54 ff." \l 1031 </w:instrText>
          </w:r>
          <w:r w:rsidR="00382961" w:rsidRPr="00853517">
            <w:rPr>
              <w:highlight w:val="yellow"/>
            </w:rPr>
            <w:fldChar w:fldCharType="separate"/>
          </w:r>
          <w:r w:rsidR="00382961" w:rsidRPr="00853517">
            <w:rPr>
              <w:noProof/>
              <w:highlight w:val="yellow"/>
            </w:rPr>
            <w:t>(Aumayr 2009, S. 54 ff.)</w:t>
          </w:r>
          <w:r w:rsidR="00382961" w:rsidRPr="00853517">
            <w:rPr>
              <w:highlight w:val="yellow"/>
            </w:rPr>
            <w:fldChar w:fldCharType="end"/>
          </w:r>
        </w:sdtContent>
      </w:sdt>
      <w:r w:rsidR="00BF202D" w:rsidRPr="00853517">
        <w:rPr>
          <w:highlight w:val="yellow"/>
        </w:rPr>
        <w:t>, Marktlebenszyklus (</w:t>
      </w:r>
      <w:proofErr w:type="spellStart"/>
      <w:r w:rsidR="00BF202D" w:rsidRPr="00853517">
        <w:rPr>
          <w:highlight w:val="yellow"/>
        </w:rPr>
        <w:t>Aumayr</w:t>
      </w:r>
      <w:proofErr w:type="spellEnd"/>
      <w:r w:rsidR="00BF202D" w:rsidRPr="00853517">
        <w:rPr>
          <w:highlight w:val="yellow"/>
        </w:rPr>
        <w:t xml:space="preserve"> 296 ff.)</w:t>
      </w:r>
      <w:r w:rsidR="00F3225E">
        <w:rPr>
          <w:highlight w:val="yellow"/>
        </w:rPr>
        <w:t xml:space="preserve">, </w:t>
      </w:r>
      <w:proofErr w:type="spellStart"/>
      <w:r w:rsidR="00F3225E">
        <w:rPr>
          <w:highlight w:val="yellow"/>
        </w:rPr>
        <w:t>branche</w:t>
      </w:r>
      <w:proofErr w:type="spellEnd"/>
      <w:r w:rsidR="003362A0">
        <w:rPr>
          <w:highlight w:val="yellow"/>
        </w:rPr>
        <w:t xml:space="preserve"> (</w:t>
      </w:r>
      <w:proofErr w:type="spellStart"/>
      <w:r w:rsidR="003362A0">
        <w:rPr>
          <w:highlight w:val="yellow"/>
        </w:rPr>
        <w:t>medizin</w:t>
      </w:r>
      <w:proofErr w:type="spellEnd"/>
      <w:r w:rsidR="003362A0">
        <w:rPr>
          <w:highlight w:val="yellow"/>
        </w:rPr>
        <w:t xml:space="preserve">, </w:t>
      </w:r>
      <w:proofErr w:type="spellStart"/>
      <w:r w:rsidR="003362A0">
        <w:rPr>
          <w:highlight w:val="yellow"/>
        </w:rPr>
        <w:t>atomkraftwerk</w:t>
      </w:r>
      <w:proofErr w:type="spellEnd"/>
      <w:r w:rsidR="003362A0">
        <w:rPr>
          <w:highlight w:val="yellow"/>
        </w:rPr>
        <w:t xml:space="preserve">, </w:t>
      </w:r>
      <w:proofErr w:type="spellStart"/>
      <w:r w:rsidR="003362A0">
        <w:rPr>
          <w:highlight w:val="yellow"/>
        </w:rPr>
        <w:t>raumfahrt</w:t>
      </w:r>
      <w:proofErr w:type="spellEnd"/>
      <w:r w:rsidR="003362A0">
        <w:rPr>
          <w:highlight w:val="yellow"/>
        </w:rPr>
        <w:t>/</w:t>
      </w:r>
      <w:proofErr w:type="spellStart"/>
      <w:r w:rsidR="003362A0">
        <w:rPr>
          <w:highlight w:val="yellow"/>
        </w:rPr>
        <w:t>luftfahrt</w:t>
      </w:r>
      <w:proofErr w:type="spellEnd"/>
      <w:r w:rsidR="002D0A8D">
        <w:rPr>
          <w:highlight w:val="yellow"/>
        </w:rPr>
        <w:t xml:space="preserve">, </w:t>
      </w:r>
      <w:proofErr w:type="spellStart"/>
      <w:r w:rsidR="002D0A8D">
        <w:rPr>
          <w:highlight w:val="yellow"/>
        </w:rPr>
        <w:t>militär</w:t>
      </w:r>
      <w:proofErr w:type="spellEnd"/>
      <w:r w:rsidR="002D0A8D">
        <w:rPr>
          <w:highlight w:val="yellow"/>
        </w:rPr>
        <w:t xml:space="preserve"> </w:t>
      </w:r>
      <w:sdt>
        <w:sdtPr>
          <w:rPr>
            <w:highlight w:val="yellow"/>
          </w:rPr>
          <w:id w:val="1205683621"/>
          <w:citation/>
        </w:sdtPr>
        <w:sdtContent>
          <w:r w:rsidR="002D0A8D">
            <w:rPr>
              <w:highlight w:val="yellow"/>
            </w:rPr>
            <w:fldChar w:fldCharType="begin"/>
          </w:r>
          <w:r w:rsidR="002D0A8D">
            <w:rPr>
              <w:highlight w:val="yellow"/>
            </w:rPr>
            <w:instrText xml:space="preserve">CITATION AXE11 \p "S. 161" \l 1031 </w:instrText>
          </w:r>
          <w:r w:rsidR="002D0A8D">
            <w:rPr>
              <w:highlight w:val="yellow"/>
            </w:rPr>
            <w:fldChar w:fldCharType="separate"/>
          </w:r>
          <w:r w:rsidR="002D0A8D" w:rsidRPr="002D0A8D">
            <w:rPr>
              <w:noProof/>
              <w:highlight w:val="yellow"/>
            </w:rPr>
            <w:t>(AXELOS 2011, S. 161)</w:t>
          </w:r>
          <w:r w:rsidR="002D0A8D">
            <w:rPr>
              <w:highlight w:val="yellow"/>
            </w:rPr>
            <w:fldChar w:fldCharType="end"/>
          </w:r>
        </w:sdtContent>
      </w:sdt>
      <w:r w:rsidR="003362A0">
        <w:rPr>
          <w:highlight w:val="yellow"/>
        </w:rPr>
        <w:t>)</w:t>
      </w:r>
      <w:r w:rsidR="00F3225E">
        <w:rPr>
          <w:highlight w:val="yellow"/>
        </w:rPr>
        <w:t xml:space="preserve">?, </w:t>
      </w:r>
      <w:proofErr w:type="spellStart"/>
      <w:r w:rsidR="00F3225E">
        <w:rPr>
          <w:highlight w:val="yellow"/>
        </w:rPr>
        <w:t>endkunden</w:t>
      </w:r>
      <w:proofErr w:type="spellEnd"/>
      <w:r w:rsidR="00F3225E">
        <w:rPr>
          <w:highlight w:val="yellow"/>
        </w:rPr>
        <w:t xml:space="preserve"> (</w:t>
      </w:r>
      <w:proofErr w:type="spellStart"/>
      <w:r w:rsidR="00F3225E">
        <w:rPr>
          <w:highlight w:val="yellow"/>
        </w:rPr>
        <w:t>gk</w:t>
      </w:r>
      <w:proofErr w:type="spellEnd"/>
      <w:r w:rsidR="00F3225E">
        <w:rPr>
          <w:highlight w:val="yellow"/>
        </w:rPr>
        <w:t xml:space="preserve">/PK) vs. Backendsystem, s. 1. Entwurf </w:t>
      </w:r>
      <w:proofErr w:type="spellStart"/>
      <w:r w:rsidR="00F3225E">
        <w:rPr>
          <w:highlight w:val="yellow"/>
        </w:rPr>
        <w:t>Expose</w:t>
      </w:r>
      <w:proofErr w:type="spellEnd"/>
      <w:r w:rsidR="003362A0">
        <w:rPr>
          <w:highlight w:val="yellow"/>
        </w:rPr>
        <w:t xml:space="preserve"> -&gt; SACM zeigt dass es weitere relevante unterschiede gibt</w:t>
      </w:r>
    </w:p>
    <w:p w14:paraId="250FE572" w14:textId="20A6F00A" w:rsidR="003362A0" w:rsidRPr="00853517" w:rsidRDefault="003362A0" w:rsidP="00803CAA">
      <w:pPr>
        <w:rPr>
          <w:highlight w:val="yellow"/>
        </w:rPr>
      </w:pPr>
      <w:r>
        <w:t xml:space="preserve">Schneller Zyklus nicht möglich bei </w:t>
      </w:r>
      <w:r w:rsidRPr="003362A0">
        <w:t xml:space="preserve">Schnittstellen, </w:t>
      </w:r>
      <w:r>
        <w:t xml:space="preserve">externen </w:t>
      </w:r>
      <w:proofErr w:type="spellStart"/>
      <w:r w:rsidRPr="003362A0">
        <w:t>zertifikate</w:t>
      </w:r>
      <w:r>
        <w:t>n</w:t>
      </w:r>
      <w:proofErr w:type="spellEnd"/>
      <w:r w:rsidRPr="003362A0">
        <w:t xml:space="preserve">, </w:t>
      </w:r>
      <w:r>
        <w:t xml:space="preserve">besonderen </w:t>
      </w:r>
      <w:proofErr w:type="spellStart"/>
      <w:r w:rsidRPr="003362A0">
        <w:t>nutzer</w:t>
      </w:r>
      <w:r>
        <w:t>n</w:t>
      </w:r>
      <w:proofErr w:type="spellEnd"/>
      <w:r>
        <w:t xml:space="preserve"> („</w:t>
      </w:r>
      <w:proofErr w:type="spellStart"/>
      <w:r>
        <w:t>rentner</w:t>
      </w:r>
      <w:proofErr w:type="spellEnd"/>
      <w:r>
        <w:t>“)</w:t>
      </w:r>
    </w:p>
    <w:p w14:paraId="76475FFF" w14:textId="77749B39" w:rsidR="00DC6487" w:rsidRPr="00803CAA" w:rsidRDefault="00DC6487" w:rsidP="00803CAA">
      <w:r w:rsidRPr="00853517">
        <w:rPr>
          <w:highlight w:val="yellow"/>
        </w:rPr>
        <w:t>Bei Monopolstellung nicht relevant da kein Konkurrenzdruck, jedoch jederzeit Gefahr Verlust dieser Stellung</w:t>
      </w:r>
    </w:p>
    <w:p w14:paraId="0A7BDCC5" w14:textId="77777777" w:rsidR="00461FAA" w:rsidRDefault="00461FAA" w:rsidP="00461FAA">
      <w:pPr>
        <w:pStyle w:val="berschrift1"/>
      </w:pPr>
      <w:bookmarkStart w:id="95" w:name="_Ref442964114"/>
      <w:bookmarkStart w:id="96" w:name="_Toc450314485"/>
      <w:r>
        <w:lastRenderedPageBreak/>
        <w:t>Demonstration der Standardtypen am Fallbeispiel DPDHL Group</w:t>
      </w:r>
      <w:bookmarkEnd w:id="95"/>
      <w:bookmarkEnd w:id="96"/>
    </w:p>
    <w:p w14:paraId="1B0D59EF" w14:textId="7809BF81" w:rsidR="00612429" w:rsidRPr="00612429" w:rsidRDefault="00A95269" w:rsidP="00612429">
      <w:r>
        <w:t xml:space="preserve">TF CD + </w:t>
      </w:r>
      <w:proofErr w:type="spellStart"/>
      <w:r w:rsidR="00612429">
        <w:t>DevOps</w:t>
      </w:r>
      <w:proofErr w:type="spellEnd"/>
      <w:r w:rsidR="00612429">
        <w:t xml:space="preserve"> bei Postident</w:t>
      </w:r>
    </w:p>
    <w:p w14:paraId="2ACCCB1E" w14:textId="4CD119E1" w:rsidR="00F144F5" w:rsidRDefault="00461FAA" w:rsidP="00461FAA">
      <w:pPr>
        <w:pStyle w:val="berschrift1"/>
      </w:pPr>
      <w:bookmarkStart w:id="97" w:name="_Ref442964164"/>
      <w:bookmarkStart w:id="98" w:name="_Toc450314486"/>
      <w:r>
        <w:lastRenderedPageBreak/>
        <w:t>Evaluation der Zielerreichung und Ausblick</w:t>
      </w:r>
      <w:bookmarkEnd w:id="97"/>
      <w:bookmarkEnd w:id="98"/>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7"/>
          <w:pgSz w:w="11906" w:h="16838"/>
          <w:pgMar w:top="1134" w:right="1418" w:bottom="1134" w:left="2268" w:header="709" w:footer="709" w:gutter="0"/>
          <w:pgNumType w:start="1"/>
          <w:cols w:space="708"/>
        </w:sectPr>
      </w:pPr>
      <w:bookmarkStart w:id="99" w:name="_Toc415465643"/>
      <w:bookmarkStart w:id="100" w:name="_Ref414785387"/>
      <w:bookmarkStart w:id="101" w:name="_Ref418325438"/>
      <w:bookmarkStart w:id="102" w:name="_Toc415465661"/>
      <w:bookmarkStart w:id="103" w:name="_Toc410799451"/>
      <w:bookmarkStart w:id="104" w:name="_Toc410799366"/>
      <w:bookmarkStart w:id="105" w:name="_Toc410799446"/>
      <w:bookmarkStart w:id="106" w:name="_Toc410799361"/>
    </w:p>
    <w:bookmarkEnd w:id="106" w:displacedByCustomXml="next"/>
    <w:bookmarkEnd w:id="105" w:displacedByCustomXml="next"/>
    <w:bookmarkEnd w:id="104" w:displacedByCustomXml="next"/>
    <w:bookmarkEnd w:id="103" w:displacedByCustomXml="next"/>
    <w:bookmarkEnd w:id="102" w:displacedByCustomXml="next"/>
    <w:bookmarkEnd w:id="101" w:displacedByCustomXml="next"/>
    <w:bookmarkEnd w:id="100" w:displacedByCustomXml="next"/>
    <w:bookmarkEnd w:id="99" w:displacedByCustomXml="next"/>
    <w:bookmarkStart w:id="107" w:name="_Toc450314487"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107"/>
        </w:p>
        <w:sdt>
          <w:sdtPr>
            <w:id w:val="111145805"/>
            <w:bibliography/>
          </w:sdtPr>
          <w:sdtContent>
            <w:p w14:paraId="2E7FEF8D" w14:textId="77777777" w:rsidR="003D0516" w:rsidRDefault="00461FAA" w:rsidP="003D0516">
              <w:pPr>
                <w:pStyle w:val="Literaturverzeichnis"/>
                <w:rPr>
                  <w:noProof/>
                  <w:sz w:val="24"/>
                  <w:szCs w:val="24"/>
                </w:rPr>
              </w:pPr>
              <w:r>
                <w:fldChar w:fldCharType="begin"/>
              </w:r>
              <w:r>
                <w:instrText>BIBLIOGRAPHY</w:instrText>
              </w:r>
              <w:r>
                <w:fldChar w:fldCharType="separate"/>
              </w:r>
              <w:r w:rsidR="003D0516">
                <w:rPr>
                  <w:noProof/>
                </w:rPr>
                <w:t xml:space="preserve">Aumayr, K. J. </w:t>
              </w:r>
              <w:r w:rsidR="003D0516">
                <w:rPr>
                  <w:i/>
                  <w:iCs/>
                  <w:noProof/>
                </w:rPr>
                <w:t>Erfolgreiches Produktmanagement. Tool-Box für das professionelle Produktmanagement und Produktmartketing.</w:t>
              </w:r>
              <w:r w:rsidR="003D0516">
                <w:rPr>
                  <w:noProof/>
                </w:rPr>
                <w:t xml:space="preserve"> 2. Auflage. Wiesbaden: Gabler, 2009.</w:t>
              </w:r>
            </w:p>
            <w:p w14:paraId="7D15D1BB" w14:textId="77777777" w:rsidR="003D0516" w:rsidRDefault="003D0516" w:rsidP="003D0516">
              <w:pPr>
                <w:pStyle w:val="Literaturverzeichnis"/>
                <w:rPr>
                  <w:noProof/>
                </w:rPr>
              </w:pPr>
              <w:r>
                <w:rPr>
                  <w:noProof/>
                </w:rPr>
                <w:t xml:space="preserve">AXELOS. </w:t>
              </w:r>
              <w:r>
                <w:rPr>
                  <w:i/>
                  <w:iCs/>
                  <w:noProof/>
                </w:rPr>
                <w:t>ITIL Service Transition.</w:t>
              </w:r>
              <w:r>
                <w:rPr>
                  <w:noProof/>
                </w:rPr>
                <w:t xml:space="preserve"> o. O.: TSO, 2011.</w:t>
              </w:r>
            </w:p>
            <w:p w14:paraId="491BE726" w14:textId="77777777" w:rsidR="003D0516" w:rsidRDefault="003D0516" w:rsidP="003D0516">
              <w:pPr>
                <w:pStyle w:val="Literaturverzeichnis"/>
                <w:rPr>
                  <w:noProof/>
                </w:rPr>
              </w:pPr>
              <w:r>
                <w:rPr>
                  <w:noProof/>
                </w:rPr>
                <w:t xml:space="preserve">Bahke, T. </w:t>
              </w:r>
              <w:r>
                <w:rPr>
                  <w:i/>
                  <w:iCs/>
                  <w:noProof/>
                </w:rPr>
                <w:t>Normen und Wettberwerb.</w:t>
              </w:r>
              <w:r>
                <w:rPr>
                  <w:noProof/>
                </w:rPr>
                <w:t xml:space="preserve"> Berlin: Beuth, 2002.</w:t>
              </w:r>
            </w:p>
            <w:p w14:paraId="4E7F6C27" w14:textId="77777777" w:rsidR="003D0516" w:rsidRDefault="003D0516" w:rsidP="003D0516">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0964FBB9" w14:textId="77777777" w:rsidR="003D0516" w:rsidRDefault="003D0516" w:rsidP="003D0516">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02199CBC" w14:textId="77777777" w:rsidR="003D0516" w:rsidRDefault="003D0516" w:rsidP="003D0516">
              <w:pPr>
                <w:pStyle w:val="Literaturverzeichnis"/>
                <w:rPr>
                  <w:noProof/>
                </w:rPr>
              </w:pPr>
              <w:r>
                <w:rPr>
                  <w:noProof/>
                </w:rPr>
                <w:t xml:space="preserve">Baumann, J. „DevOps light.“ </w:t>
              </w:r>
              <w:r>
                <w:rPr>
                  <w:i/>
                  <w:iCs/>
                  <w:noProof/>
                </w:rPr>
                <w:t>OBJEKTspektrum</w:t>
              </w:r>
              <w:r>
                <w:rPr>
                  <w:noProof/>
                </w:rPr>
                <w:t>, 27. 02 2015: 42-45.</w:t>
              </w:r>
            </w:p>
            <w:p w14:paraId="2B9E9870" w14:textId="77777777" w:rsidR="003D0516" w:rsidRDefault="003D0516" w:rsidP="003D0516">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E4AC6BF" w14:textId="77777777" w:rsidR="003D0516" w:rsidRDefault="003D0516" w:rsidP="003D0516">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15B777DD" w14:textId="77777777" w:rsidR="003D0516" w:rsidRDefault="003D0516" w:rsidP="003D0516">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3A7E111B" w14:textId="77777777" w:rsidR="003D0516" w:rsidRDefault="003D0516" w:rsidP="003D0516">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11631F04" w14:textId="77777777" w:rsidR="003D0516" w:rsidRDefault="003D0516" w:rsidP="003D0516">
              <w:pPr>
                <w:pStyle w:val="Literaturverzeichnis"/>
                <w:rPr>
                  <w:noProof/>
                </w:rPr>
              </w:pPr>
              <w:r>
                <w:rPr>
                  <w:noProof/>
                </w:rPr>
                <w:t>Ephesos, Heraklit von.</w:t>
              </w:r>
            </w:p>
            <w:p w14:paraId="22A986A4" w14:textId="77777777" w:rsidR="003D0516" w:rsidRDefault="003D0516" w:rsidP="003D0516">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5C9EFF2B" w14:textId="77777777" w:rsidR="003D0516" w:rsidRDefault="003D0516" w:rsidP="003D0516">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5AAFFA4C" w14:textId="77777777" w:rsidR="003D0516" w:rsidRDefault="003D0516" w:rsidP="003D0516">
              <w:pPr>
                <w:pStyle w:val="Literaturverzeichnis"/>
                <w:rPr>
                  <w:noProof/>
                </w:rPr>
              </w:pPr>
              <w:r>
                <w:rPr>
                  <w:noProof/>
                </w:rPr>
                <w:t xml:space="preserve">Hauschildt, J., und S. Salomo. </w:t>
              </w:r>
              <w:r>
                <w:rPr>
                  <w:i/>
                  <w:iCs/>
                  <w:noProof/>
                </w:rPr>
                <w:t>Innovationsmanagement.</w:t>
              </w:r>
              <w:r>
                <w:rPr>
                  <w:noProof/>
                </w:rPr>
                <w:t xml:space="preserve"> o. O.: Vahlen, 2007.</w:t>
              </w:r>
            </w:p>
            <w:p w14:paraId="2C22221B" w14:textId="77777777" w:rsidR="003D0516" w:rsidRDefault="003D0516" w:rsidP="003D0516">
              <w:pPr>
                <w:pStyle w:val="Literaturverzeichnis"/>
                <w:rPr>
                  <w:noProof/>
                </w:rPr>
              </w:pPr>
              <w:r>
                <w:rPr>
                  <w:noProof/>
                </w:rPr>
                <w:t>Horton, G. http://www.zephram.de/blog/innovationsstrategie/wettbewerbsvorteile-durch-innovation/ (Zugriff am 24. 10 2015).</w:t>
              </w:r>
            </w:p>
            <w:p w14:paraId="34834040" w14:textId="77777777" w:rsidR="003D0516" w:rsidRDefault="003D0516" w:rsidP="003D0516">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2A4493F2" w14:textId="77777777" w:rsidR="003D0516" w:rsidRDefault="003D0516" w:rsidP="003D0516">
              <w:pPr>
                <w:pStyle w:val="Literaturverzeichnis"/>
                <w:rPr>
                  <w:noProof/>
                </w:rPr>
              </w:pPr>
              <w:r>
                <w:rPr>
                  <w:noProof/>
                </w:rPr>
                <w:t xml:space="preserve">ISO/IEC. </w:t>
              </w:r>
              <w:r>
                <w:rPr>
                  <w:i/>
                  <w:iCs/>
                  <w:noProof/>
                </w:rPr>
                <w:t>ISO/IEC 20000-1.</w:t>
              </w:r>
              <w:r>
                <w:rPr>
                  <w:noProof/>
                </w:rPr>
                <w:t xml:space="preserve"> o. O., 15. 04 2011.</w:t>
              </w:r>
            </w:p>
            <w:p w14:paraId="23EC6356" w14:textId="77777777" w:rsidR="003D0516" w:rsidRDefault="003D0516" w:rsidP="003D0516">
              <w:pPr>
                <w:pStyle w:val="Literaturverzeichnis"/>
                <w:rPr>
                  <w:noProof/>
                </w:rPr>
              </w:pPr>
              <w:r>
                <w:rPr>
                  <w:noProof/>
                </w:rPr>
                <w:t xml:space="preserve">ISO/IEC. </w:t>
              </w:r>
              <w:r>
                <w:rPr>
                  <w:i/>
                  <w:iCs/>
                  <w:noProof/>
                </w:rPr>
                <w:t>ISO/IEC 20000-2.</w:t>
              </w:r>
              <w:r>
                <w:rPr>
                  <w:noProof/>
                </w:rPr>
                <w:t xml:space="preserve"> o. O., 15. 02 2012.</w:t>
              </w:r>
            </w:p>
            <w:p w14:paraId="3EABAB77" w14:textId="77777777" w:rsidR="003D0516" w:rsidRDefault="003D0516" w:rsidP="003D0516">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5ADDCA2C" w14:textId="77777777" w:rsidR="003D0516" w:rsidRDefault="003D0516" w:rsidP="003D0516">
              <w:pPr>
                <w:pStyle w:val="Literaturverzeichnis"/>
                <w:rPr>
                  <w:noProof/>
                </w:rPr>
              </w:pPr>
              <w:r>
                <w:rPr>
                  <w:noProof/>
                </w:rPr>
                <w:t xml:space="preserve">Kim, D. </w:t>
              </w:r>
              <w:r>
                <w:rPr>
                  <w:i/>
                  <w:iCs/>
                  <w:noProof/>
                </w:rPr>
                <w:t>The State of Scrum.</w:t>
              </w:r>
              <w:r>
                <w:rPr>
                  <w:noProof/>
                </w:rPr>
                <w:t xml:space="preserve"> State of Scrum, Scrumalliance, 2013.</w:t>
              </w:r>
            </w:p>
            <w:p w14:paraId="09A1E0F1" w14:textId="77777777" w:rsidR="003D0516" w:rsidRDefault="003D0516" w:rsidP="003D0516">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223F20B2" w14:textId="77777777" w:rsidR="003D0516" w:rsidRDefault="003D0516" w:rsidP="003D0516">
              <w:pPr>
                <w:pStyle w:val="Literaturverzeichnis"/>
                <w:rPr>
                  <w:noProof/>
                </w:rPr>
              </w:pPr>
              <w:r>
                <w:rPr>
                  <w:noProof/>
                </w:rPr>
                <w:lastRenderedPageBreak/>
                <w:t xml:space="preserve">—. </w:t>
              </w:r>
              <w:r>
                <w:rPr>
                  <w:i/>
                  <w:iCs/>
                  <w:noProof/>
                </w:rPr>
                <w:t>The Phoenix Project: A Novel About IT, DevOps, and Helping Your Business Win.</w:t>
              </w:r>
              <w:r>
                <w:rPr>
                  <w:noProof/>
                </w:rPr>
                <w:t xml:space="preserve"> o. O.: It Revolution Press, 2013.</w:t>
              </w:r>
            </w:p>
            <w:p w14:paraId="6AD60768" w14:textId="77777777" w:rsidR="003D0516" w:rsidRDefault="003D0516" w:rsidP="003D0516">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2FE70A35" w14:textId="77777777" w:rsidR="003D0516" w:rsidRDefault="003D0516" w:rsidP="003D0516">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4D7F5C9C" w14:textId="77777777" w:rsidR="003D0516" w:rsidRDefault="003D0516" w:rsidP="003D0516">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2A109FD8" w14:textId="77777777" w:rsidR="003D0516" w:rsidRDefault="003D0516" w:rsidP="003D0516">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5AD0ECC5" w14:textId="77777777" w:rsidR="003D0516" w:rsidRDefault="003D0516" w:rsidP="003D0516">
              <w:pPr>
                <w:pStyle w:val="Literaturverzeichnis"/>
                <w:rPr>
                  <w:noProof/>
                </w:rPr>
              </w:pPr>
              <w:r>
                <w:rPr>
                  <w:noProof/>
                </w:rPr>
                <w:t>O'Reilly, Tim. „What is Web 2.0? - Design Patters and Business Models for the Next Generation of Software.“ 2005. http://www.oreilly.de/artikel/web20.html (Zugriff am 22. April 2009).</w:t>
              </w:r>
            </w:p>
            <w:p w14:paraId="1C183076" w14:textId="77777777" w:rsidR="003D0516" w:rsidRDefault="003D0516" w:rsidP="003D0516">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6707F21C" w14:textId="77777777" w:rsidR="003D0516" w:rsidRDefault="003D0516" w:rsidP="003D0516">
              <w:pPr>
                <w:pStyle w:val="Literaturverzeichnis"/>
                <w:rPr>
                  <w:noProof/>
                </w:rPr>
              </w:pPr>
              <w:r>
                <w:rPr>
                  <w:noProof/>
                </w:rPr>
                <w:t xml:space="preserve">Pichler, R. </w:t>
              </w:r>
              <w:r>
                <w:rPr>
                  <w:i/>
                  <w:iCs/>
                  <w:noProof/>
                </w:rPr>
                <w:t>Agiles Produktmanagement mit Scrum.</w:t>
              </w:r>
              <w:r>
                <w:rPr>
                  <w:noProof/>
                </w:rPr>
                <w:t xml:space="preserve"> Heidelberg: dpunkt, 2014.</w:t>
              </w:r>
            </w:p>
            <w:p w14:paraId="36E014CF" w14:textId="77777777" w:rsidR="003D0516" w:rsidRDefault="003D0516" w:rsidP="003D0516">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4D8B0D9C" w14:textId="77777777" w:rsidR="003D0516" w:rsidRDefault="003D0516" w:rsidP="003D0516">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6A95ED4A" w14:textId="77777777" w:rsidR="003D0516" w:rsidRDefault="003D0516" w:rsidP="003D0516">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14BD2500" w14:textId="77777777" w:rsidR="003D0516" w:rsidRDefault="003D0516" w:rsidP="003D0516">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374120CE" w14:textId="77777777" w:rsidR="003D0516" w:rsidRDefault="003D0516" w:rsidP="003D0516">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58945454" w14:textId="77777777" w:rsidR="003D0516" w:rsidRDefault="003D0516" w:rsidP="003D0516">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18344F16" w:rsidR="00461FAA" w:rsidRDefault="00461FAA" w:rsidP="003D0516">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8"/>
          <w:headerReference w:type="default" r:id="rId29"/>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108" w:name="_Toc450314488"/>
      <w:r>
        <w:lastRenderedPageBreak/>
        <w:t>Erklärung</w:t>
      </w:r>
      <w:bookmarkEnd w:id="108"/>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09" w:name="Text15"/>
      <w:r w:rsidR="00783160">
        <w:instrText xml:space="preserve"> FORMTEXT </w:instrText>
      </w:r>
      <w:r w:rsidR="00783160">
        <w:fldChar w:fldCharType="separate"/>
      </w:r>
      <w:r w:rsidR="00783160">
        <w:rPr>
          <w:noProof/>
        </w:rPr>
        <w:t>Lohr, Steve</w:t>
      </w:r>
      <w:r w:rsidR="00783160">
        <w:fldChar w:fldCharType="end"/>
      </w:r>
      <w:bookmarkEnd w:id="109"/>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10" w:name="Text16"/>
      <w:r w:rsidR="00783160">
        <w:instrText xml:space="preserve"> FORMTEXT </w:instrText>
      </w:r>
      <w:r w:rsidR="00783160">
        <w:fldChar w:fldCharType="separate"/>
      </w:r>
      <w:r w:rsidR="00783160">
        <w:rPr>
          <w:noProof/>
        </w:rPr>
        <w:t>9066454</w:t>
      </w:r>
      <w:r w:rsidR="00783160">
        <w:fldChar w:fldCharType="end"/>
      </w:r>
      <w:bookmarkEnd w:id="110"/>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11" w:name="Text17"/>
      <w:r w:rsidR="00783160">
        <w:instrText xml:space="preserve"> FORMTEXT </w:instrText>
      </w:r>
      <w:r w:rsidR="00783160">
        <w:fldChar w:fldCharType="separate"/>
      </w:r>
      <w:r w:rsidR="00783160">
        <w:rPr>
          <w:noProof/>
        </w:rPr>
        <w:t>Wirtschaftsinformatik</w:t>
      </w:r>
      <w:r w:rsidR="00783160">
        <w:fldChar w:fldCharType="end"/>
      </w:r>
      <w:bookmarkEnd w:id="111"/>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30"/>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steve.lohr@gmx.de" w:date="2016-02-11T14:35:00Z" w:initials="s">
    <w:p w14:paraId="46DF64F3" w14:textId="7B457D30" w:rsidR="00A81AF6" w:rsidRDefault="00A81AF6">
      <w:pPr>
        <w:pStyle w:val="Kommentartext"/>
      </w:pPr>
      <w:r>
        <w:rPr>
          <w:rStyle w:val="Kommentarzeichen"/>
        </w:rPr>
        <w:annotationRef/>
      </w:r>
      <w:r>
        <w:t>Quelle?</w:t>
      </w:r>
    </w:p>
  </w:comment>
  <w:comment w:id="22" w:author="steve.lohr@gmx.de" w:date="2016-02-11T14:36:00Z" w:initials="s">
    <w:p w14:paraId="250ACCFB" w14:textId="39268141" w:rsidR="00A81AF6" w:rsidRDefault="00A81AF6">
      <w:pPr>
        <w:pStyle w:val="Kommentartext"/>
      </w:pPr>
      <w:r>
        <w:rPr>
          <w:rStyle w:val="Kommentarzeichen"/>
        </w:rPr>
        <w:annotationRef/>
      </w:r>
      <w:r>
        <w:t>Quellen?</w:t>
      </w:r>
    </w:p>
  </w:comment>
  <w:comment w:id="23" w:author="steve lohr" w:date="2016-04-27T18:30:00Z" w:initials="s">
    <w:p w14:paraId="7EC6CE52" w14:textId="0354282E" w:rsidR="00A81AF6" w:rsidRDefault="00A81AF6">
      <w:pPr>
        <w:pStyle w:val="Kommentartext"/>
      </w:pPr>
      <w:r>
        <w:rPr>
          <w:rStyle w:val="Kommentarzeichen"/>
        </w:rPr>
        <w:annotationRef/>
      </w:r>
      <w:r>
        <w:t>Aus den 3 Zitaten eins machen</w:t>
      </w:r>
    </w:p>
  </w:comment>
  <w:comment w:id="24" w:author="steve.lohr@gmx.de" w:date="2016-02-11T14:37:00Z" w:initials="s">
    <w:p w14:paraId="153963AC" w14:textId="13D9F872" w:rsidR="00A81AF6" w:rsidRDefault="00A81AF6">
      <w:pPr>
        <w:pStyle w:val="Kommentartext"/>
      </w:pPr>
      <w:r>
        <w:rPr>
          <w:rStyle w:val="Kommentarzeichen"/>
        </w:rPr>
        <w:annotationRef/>
      </w:r>
      <w:r>
        <w:t>Quellen?</w:t>
      </w:r>
    </w:p>
  </w:comment>
  <w:comment w:id="25" w:author="steve.lohr@gmx.de" w:date="2016-02-11T14:37:00Z" w:initials="s">
    <w:p w14:paraId="2C1CF473" w14:textId="766F6959" w:rsidR="00A81AF6" w:rsidRDefault="00A81AF6">
      <w:pPr>
        <w:pStyle w:val="Kommentartext"/>
      </w:pPr>
      <w:r>
        <w:rPr>
          <w:rStyle w:val="Kommentarzeichen"/>
        </w:rPr>
        <w:annotationRef/>
      </w:r>
      <w:r>
        <w:t>Quellen?</w:t>
      </w:r>
    </w:p>
  </w:comment>
  <w:comment w:id="26" w:author="steve.lohr@gmx.de" w:date="2016-02-11T14:38:00Z" w:initials="s">
    <w:p w14:paraId="72E4F7F6" w14:textId="68D93145" w:rsidR="00A81AF6" w:rsidRDefault="00A81AF6">
      <w:pPr>
        <w:pStyle w:val="Kommentartext"/>
      </w:pPr>
      <w:r>
        <w:rPr>
          <w:rStyle w:val="Kommentarzeichen"/>
        </w:rPr>
        <w:annotationRef/>
      </w:r>
      <w:r>
        <w:t>Quellen?</w:t>
      </w:r>
    </w:p>
  </w:comment>
  <w:comment w:id="27" w:author="steve.lohr@gmx.de" w:date="2016-02-11T14:38:00Z" w:initials="s">
    <w:p w14:paraId="6F4407B8" w14:textId="4ACB5FC8" w:rsidR="00A81AF6" w:rsidRDefault="00A81AF6">
      <w:pPr>
        <w:pStyle w:val="Kommentartext"/>
      </w:pPr>
      <w:r>
        <w:rPr>
          <w:rStyle w:val="Kommentarzeichen"/>
        </w:rPr>
        <w:annotationRef/>
      </w:r>
      <w:r>
        <w:t>Quelle?</w:t>
      </w:r>
    </w:p>
  </w:comment>
  <w:comment w:id="28" w:author="steve.lohr@gmx.de" w:date="2016-02-11T14:39:00Z" w:initials="s">
    <w:p w14:paraId="5914F1CE" w14:textId="1DC837C3" w:rsidR="00A81AF6" w:rsidRDefault="00A81AF6">
      <w:pPr>
        <w:pStyle w:val="Kommentartext"/>
      </w:pPr>
      <w:r>
        <w:rPr>
          <w:rStyle w:val="Kommentarzeichen"/>
        </w:rPr>
        <w:annotationRef/>
      </w:r>
      <w:r>
        <w:t>Quelle und am besten Beispiele!</w:t>
      </w:r>
    </w:p>
  </w:comment>
  <w:comment w:id="52" w:author="steve lohr" w:date="2016-04-11T14:30:00Z" w:initials="s">
    <w:p w14:paraId="6B936FCA" w14:textId="11BC56CA" w:rsidR="00A81AF6" w:rsidRDefault="00A81AF6">
      <w:pPr>
        <w:pStyle w:val="Kommentartext"/>
      </w:pPr>
      <w:r>
        <w:rPr>
          <w:rStyle w:val="Kommentarzeichen"/>
        </w:rPr>
        <w:annotationRef/>
      </w:r>
      <w:r>
        <w:t>Nicht vergessen!</w:t>
      </w:r>
    </w:p>
  </w:comment>
  <w:comment w:id="53" w:author="steve lohr" w:date="2016-04-10T18:39:00Z" w:initials="s">
    <w:p w14:paraId="21A3B37D" w14:textId="48E14854" w:rsidR="00A81AF6" w:rsidRDefault="00A81AF6">
      <w:pPr>
        <w:pStyle w:val="Kommentartext"/>
      </w:pPr>
      <w:r>
        <w:rPr>
          <w:rStyle w:val="Kommentarzeichen"/>
        </w:rPr>
        <w:annotationRef/>
      </w:r>
      <w:r>
        <w:t>Definieren und unterschiedliche Typen (Standard, Emergency, andere) beschreiben</w:t>
      </w:r>
    </w:p>
  </w:comment>
  <w:comment w:id="64" w:author="Steve Lohr" w:date="2016-05-07T17:17:00Z" w:initials="s">
    <w:p w14:paraId="3C2A9433" w14:textId="13C50F67" w:rsidR="00FB6DF4" w:rsidRDefault="00FB6DF4">
      <w:pPr>
        <w:pStyle w:val="Kommentartext"/>
      </w:pPr>
      <w:r>
        <w:rPr>
          <w:rStyle w:val="Kommentarzeichen"/>
        </w:rPr>
        <w:annotationRef/>
      </w:r>
      <w:r>
        <w:t>TODO</w:t>
      </w:r>
    </w:p>
  </w:comment>
  <w:comment w:id="68" w:author="steve lohr" w:date="2016-04-20T14:40:00Z" w:initials="s">
    <w:p w14:paraId="77262617" w14:textId="0B0F853D" w:rsidR="00A81AF6" w:rsidRDefault="00A81AF6">
      <w:pPr>
        <w:pStyle w:val="Kommentartext"/>
      </w:pPr>
      <w:r>
        <w:rPr>
          <w:rStyle w:val="Kommentarzeichen"/>
        </w:rPr>
        <w:annotationRef/>
      </w:r>
      <w:r>
        <w:t xml:space="preserve">Warum andere nicht? Einzelne </w:t>
      </w:r>
      <w:proofErr w:type="spellStart"/>
      <w:r>
        <w:t>herleitung</w:t>
      </w:r>
      <w:proofErr w:type="spellEnd"/>
      <w:r>
        <w:t xml:space="preserve"> zu jedem Punkt!</w:t>
      </w:r>
    </w:p>
  </w:comment>
  <w:comment w:id="69" w:author="steve lohr" w:date="2016-04-18T17:33:00Z" w:initials="s">
    <w:p w14:paraId="75E3BCA3" w14:textId="2A20CF30" w:rsidR="00A81AF6" w:rsidRDefault="00A81AF6">
      <w:pPr>
        <w:pStyle w:val="Kommentartext"/>
      </w:pPr>
      <w:r>
        <w:rPr>
          <w:rStyle w:val="Kommentarzeichen"/>
        </w:rPr>
        <w:annotationRef/>
      </w:r>
      <w:r>
        <w:t xml:space="preserve">Quelle </w:t>
      </w:r>
      <w:proofErr w:type="spellStart"/>
      <w:r>
        <w:t>Taylorisieriung</w:t>
      </w:r>
      <w:proofErr w:type="spellEnd"/>
      <w:r>
        <w:t>?</w:t>
      </w:r>
    </w:p>
  </w:comment>
  <w:comment w:id="70" w:author="steve lohr" w:date="2016-04-20T14:44:00Z" w:initials="s">
    <w:p w14:paraId="327311D2" w14:textId="7762E0A4" w:rsidR="00A81AF6" w:rsidRDefault="00A81AF6">
      <w:pPr>
        <w:pStyle w:val="Kommentartext"/>
      </w:pPr>
      <w:r>
        <w:rPr>
          <w:rStyle w:val="Kommentarzeichen"/>
        </w:rPr>
        <w:annotationRef/>
      </w:r>
      <w:r>
        <w:t>Ggf. doch aufnehmen z. B. Tests, Nachweise, Dokumentation</w:t>
      </w:r>
    </w:p>
  </w:comment>
  <w:comment w:id="82" w:author="Steve Lohr" w:date="2016-05-07T17:55:00Z" w:initials="s">
    <w:p w14:paraId="34EEA63E" w14:textId="467CC568" w:rsidR="0043065E" w:rsidRDefault="0043065E">
      <w:pPr>
        <w:pStyle w:val="Kommentartext"/>
      </w:pPr>
      <w:r>
        <w:rPr>
          <w:rStyle w:val="Kommentarzeichen"/>
        </w:rPr>
        <w:annotationRef/>
      </w:r>
      <w:r>
        <w:t>Überarbeiten!</w:t>
      </w:r>
    </w:p>
  </w:comment>
  <w:comment w:id="85" w:author="steve lohr" w:date="2016-05-05T15:39:00Z" w:initials="s">
    <w:p w14:paraId="46593701" w14:textId="5E56E77F" w:rsidR="00A81AF6" w:rsidRDefault="00A81AF6">
      <w:pPr>
        <w:pStyle w:val="Kommentartext"/>
      </w:pPr>
      <w:r>
        <w:rPr>
          <w:rStyle w:val="Kommentarzeichen"/>
        </w:rPr>
        <w:annotationRef/>
      </w:r>
      <w:r>
        <w:t xml:space="preserve">Update nach </w:t>
      </w:r>
      <w:proofErr w:type="spellStart"/>
      <w:r>
        <w:t>überarbeitung</w:t>
      </w:r>
      <w:proofErr w:type="spellEnd"/>
      <w:r>
        <w:t xml:space="preserve"> 4.1 nötig</w:t>
      </w:r>
    </w:p>
  </w:comment>
  <w:comment w:id="92" w:author="steve lohr" w:date="2016-04-11T14:56:00Z" w:initials="s">
    <w:p w14:paraId="59EB980E" w14:textId="187A7ABF" w:rsidR="00A81AF6" w:rsidRDefault="00A81AF6">
      <w:pPr>
        <w:pStyle w:val="Kommentartext"/>
      </w:pPr>
      <w:r>
        <w:rPr>
          <w:rStyle w:val="Kommentarzeichen"/>
        </w:rPr>
        <w:annotationRef/>
      </w:r>
      <w:r>
        <w:t>Idee!!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DF64F3" w15:done="0"/>
  <w15:commentEx w15:paraId="250ACCFB" w15:done="0"/>
  <w15:commentEx w15:paraId="7EC6CE52" w15:done="0"/>
  <w15:commentEx w15:paraId="153963AC" w15:done="0"/>
  <w15:commentEx w15:paraId="2C1CF473" w15:done="0"/>
  <w15:commentEx w15:paraId="72E4F7F6" w15:done="0"/>
  <w15:commentEx w15:paraId="6F4407B8" w15:done="0"/>
  <w15:commentEx w15:paraId="5914F1CE" w15:done="0"/>
  <w15:commentEx w15:paraId="6B936FCA" w15:done="0"/>
  <w15:commentEx w15:paraId="21A3B37D" w15:done="0"/>
  <w15:commentEx w15:paraId="3C2A9433" w15:done="0"/>
  <w15:commentEx w15:paraId="77262617" w15:done="0"/>
  <w15:commentEx w15:paraId="75E3BCA3" w15:done="0"/>
  <w15:commentEx w15:paraId="327311D2" w15:done="0"/>
  <w15:commentEx w15:paraId="34EEA63E" w15:done="0"/>
  <w15:commentEx w15:paraId="46593701" w15:done="0"/>
  <w15:commentEx w15:paraId="59EB980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D2D58" w14:textId="77777777" w:rsidR="0096413E" w:rsidRDefault="0096413E">
      <w:r>
        <w:separator/>
      </w:r>
    </w:p>
    <w:p w14:paraId="327179BD" w14:textId="77777777" w:rsidR="0096413E" w:rsidRDefault="0096413E"/>
    <w:p w14:paraId="4658095F" w14:textId="77777777" w:rsidR="0096413E" w:rsidRDefault="0096413E"/>
  </w:endnote>
  <w:endnote w:type="continuationSeparator" w:id="0">
    <w:p w14:paraId="6BB12994" w14:textId="77777777" w:rsidR="0096413E" w:rsidRDefault="0096413E">
      <w:r>
        <w:continuationSeparator/>
      </w:r>
    </w:p>
    <w:p w14:paraId="069501D0" w14:textId="77777777" w:rsidR="0096413E" w:rsidRDefault="0096413E"/>
    <w:p w14:paraId="1D734389" w14:textId="77777777" w:rsidR="0096413E" w:rsidRDefault="009641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A81AF6" w:rsidRDefault="00A81AF6">
    <w:pPr>
      <w:pStyle w:val="Fuzeile"/>
      <w:framePr w:wrap="around" w:vAnchor="text" w:hAnchor="margin" w:xAlign="right" w:y="1"/>
    </w:pPr>
    <w:r>
      <w:fldChar w:fldCharType="begin"/>
    </w:r>
    <w:r>
      <w:instrText xml:space="preserve">PAGE  </w:instrText>
    </w:r>
    <w:r>
      <w:fldChar w:fldCharType="end"/>
    </w:r>
  </w:p>
  <w:p w14:paraId="7140BEF8" w14:textId="77777777" w:rsidR="00A81AF6" w:rsidRDefault="00A81AF6">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A81AF6" w:rsidRDefault="00A81AF6">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A81AF6" w:rsidRDefault="00A81AF6">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A81AF6" w:rsidRDefault="00A81AF6">
    <w:pPr>
      <w:pStyle w:val="Fuzeile"/>
      <w:pBdr>
        <w:bottom w:val="single" w:sz="6" w:space="1" w:color="auto"/>
      </w:pBdr>
      <w:spacing w:before="0" w:line="240" w:lineRule="auto"/>
      <w:ind w:right="-2"/>
      <w:jc w:val="center"/>
      <w:rPr>
        <w:rFonts w:eastAsia="Times New Roman"/>
        <w:sz w:val="16"/>
      </w:rPr>
    </w:pPr>
  </w:p>
  <w:p w14:paraId="7BBE1A81" w14:textId="77777777" w:rsidR="00A81AF6" w:rsidRDefault="00A81AF6"/>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A81AF6" w:rsidRDefault="00A81AF6">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A81AF6" w:rsidRDefault="00A81AF6">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BB2636" w14:textId="77777777" w:rsidR="0096413E" w:rsidRDefault="0096413E" w:rsidP="00106448">
      <w:pPr>
        <w:spacing w:before="60" w:after="60" w:line="240" w:lineRule="auto"/>
      </w:pPr>
      <w:r>
        <w:separator/>
      </w:r>
    </w:p>
  </w:footnote>
  <w:footnote w:type="continuationSeparator" w:id="0">
    <w:p w14:paraId="659C80F1" w14:textId="77777777" w:rsidR="0096413E" w:rsidRDefault="0096413E">
      <w:r>
        <w:continuationSeparator/>
      </w:r>
    </w:p>
  </w:footnote>
  <w:footnote w:type="continuationNotice" w:id="1">
    <w:p w14:paraId="148836A3" w14:textId="77777777" w:rsidR="0096413E" w:rsidRDefault="0096413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A81AF6" w:rsidRDefault="00A81AF6">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A81AF6" w:rsidRDefault="00A81AF6">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43065E">
      <w:rPr>
        <w:noProof/>
      </w:rPr>
      <w:t>39</w:t>
    </w:r>
    <w:r>
      <w:fldChar w:fldCharType="end"/>
    </w:r>
  </w:p>
  <w:p w14:paraId="4E19B897" w14:textId="77777777" w:rsidR="00A81AF6" w:rsidRDefault="00A81AF6"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A81AF6" w:rsidRDefault="00A81AF6">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43065E">
      <w:rPr>
        <w:noProof/>
      </w:rPr>
      <w:t>41</w:t>
    </w:r>
    <w:r>
      <w:fldChar w:fldCharType="end"/>
    </w:r>
  </w:p>
  <w:p w14:paraId="79D4B611" w14:textId="77777777" w:rsidR="00A81AF6" w:rsidRDefault="00A81AF6"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A81AF6" w:rsidRDefault="00A81AF6"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FB6DF4">
      <w:rPr>
        <w:noProof/>
      </w:rPr>
      <w:t>I</w:t>
    </w:r>
    <w:r>
      <w:fldChar w:fldCharType="end"/>
    </w:r>
  </w:p>
  <w:p w14:paraId="519499C0" w14:textId="77777777" w:rsidR="00A81AF6" w:rsidRDefault="00A81AF6">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A81AF6" w:rsidRDefault="00A81AF6">
    <w:pPr>
      <w:pStyle w:val="Kopfzeile"/>
      <w:pBdr>
        <w:bottom w:val="single" w:sz="6" w:space="1" w:color="auto"/>
      </w:pBdr>
      <w:tabs>
        <w:tab w:val="clear" w:pos="9072"/>
        <w:tab w:val="left" w:pos="7000"/>
      </w:tabs>
    </w:pPr>
    <w:r>
      <w:tab/>
    </w:r>
  </w:p>
  <w:p w14:paraId="2930D97B" w14:textId="77777777" w:rsidR="00A81AF6" w:rsidRDefault="00A81AF6">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A81AF6" w:rsidRDefault="00A81AF6"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43065E">
      <w:rPr>
        <w:noProof/>
      </w:rPr>
      <w:t>I</w:t>
    </w:r>
    <w:r>
      <w:fldChar w:fldCharType="end"/>
    </w:r>
  </w:p>
  <w:p w14:paraId="547EF2D1" w14:textId="77777777" w:rsidR="00A81AF6" w:rsidRDefault="00A81AF6">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A81AF6" w:rsidRDefault="00A81AF6"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43065E">
      <w:rPr>
        <w:noProof/>
      </w:rPr>
      <w:t>III</w:t>
    </w:r>
    <w:r>
      <w:fldChar w:fldCharType="end"/>
    </w:r>
  </w:p>
  <w:p w14:paraId="4B67AB85" w14:textId="77777777" w:rsidR="00A81AF6" w:rsidRDefault="00A81AF6">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A81AF6" w:rsidRDefault="00A81AF6">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43065E">
      <w:rPr>
        <w:noProof/>
      </w:rPr>
      <w:t>IV</w:t>
    </w:r>
    <w:r>
      <w:fldChar w:fldCharType="end"/>
    </w:r>
  </w:p>
  <w:p w14:paraId="445F50FB" w14:textId="77777777" w:rsidR="00A81AF6" w:rsidRDefault="00A81AF6">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A81AF6" w:rsidRDefault="00A81AF6">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43065E">
      <w:rPr>
        <w:noProof/>
      </w:rPr>
      <w:t>V</w:t>
    </w:r>
    <w:r>
      <w:fldChar w:fldCharType="end"/>
    </w:r>
  </w:p>
  <w:p w14:paraId="6D345E0B" w14:textId="77777777" w:rsidR="00A81AF6" w:rsidRDefault="00A81AF6">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A81AF6" w:rsidRDefault="00A81AF6">
    <w:pPr>
      <w:pStyle w:val="Kopfzeile"/>
      <w:pBdr>
        <w:bottom w:val="single" w:sz="6" w:space="1" w:color="auto"/>
      </w:pBdr>
      <w:tabs>
        <w:tab w:val="clear" w:pos="9072"/>
        <w:tab w:val="left" w:pos="6720"/>
        <w:tab w:val="right" w:pos="8222"/>
      </w:tabs>
    </w:pPr>
    <w:fldSimple w:instr=" STYLEREF  &quot;Überschrift 1&quot; ">
      <w:r w:rsidR="0043065E">
        <w:rPr>
          <w:noProof/>
        </w:rPr>
        <w:t>Einleitung</w:t>
      </w:r>
    </w:fldSimple>
    <w:r>
      <w:tab/>
    </w:r>
    <w:r>
      <w:tab/>
    </w:r>
    <w:r>
      <w:fldChar w:fldCharType="begin"/>
    </w:r>
    <w:r>
      <w:instrText xml:space="preserve"> PAGE </w:instrText>
    </w:r>
    <w:r>
      <w:fldChar w:fldCharType="separate"/>
    </w:r>
    <w:r w:rsidR="0043065E">
      <w:rPr>
        <w:noProof/>
      </w:rPr>
      <w:t>1</w:t>
    </w:r>
    <w:r>
      <w:fldChar w:fldCharType="end"/>
    </w:r>
  </w:p>
  <w:p w14:paraId="5DCA97F4" w14:textId="77777777" w:rsidR="00A81AF6" w:rsidRDefault="00A81AF6">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A81AF6" w:rsidRDefault="00A81AF6"/>
  <w:p w14:paraId="3EFEA5EC" w14:textId="77777777" w:rsidR="00A81AF6" w:rsidRDefault="00A81AF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rson w15:author="steve lohr">
    <w15:presenceInfo w15:providerId="Windows Live" w15:userId="f525bc2ffc19083d"/>
  </w15:person>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1C04"/>
    <w:rsid w:val="00023D4F"/>
    <w:rsid w:val="00024D4F"/>
    <w:rsid w:val="00025AF3"/>
    <w:rsid w:val="00026919"/>
    <w:rsid w:val="00032A20"/>
    <w:rsid w:val="00033D5E"/>
    <w:rsid w:val="000426C9"/>
    <w:rsid w:val="00045863"/>
    <w:rsid w:val="000504A6"/>
    <w:rsid w:val="000611AF"/>
    <w:rsid w:val="00061951"/>
    <w:rsid w:val="00064925"/>
    <w:rsid w:val="000679A2"/>
    <w:rsid w:val="00075C67"/>
    <w:rsid w:val="0008331C"/>
    <w:rsid w:val="00085DDE"/>
    <w:rsid w:val="0008662A"/>
    <w:rsid w:val="00090467"/>
    <w:rsid w:val="00092A4A"/>
    <w:rsid w:val="00092EBB"/>
    <w:rsid w:val="0009663E"/>
    <w:rsid w:val="000A0593"/>
    <w:rsid w:val="000A4B7F"/>
    <w:rsid w:val="000A65A5"/>
    <w:rsid w:val="000A725E"/>
    <w:rsid w:val="000A7D0B"/>
    <w:rsid w:val="000B12BD"/>
    <w:rsid w:val="000B4682"/>
    <w:rsid w:val="000B5C80"/>
    <w:rsid w:val="000B6F72"/>
    <w:rsid w:val="000C0F04"/>
    <w:rsid w:val="000C10DE"/>
    <w:rsid w:val="000C13E1"/>
    <w:rsid w:val="000C2AD7"/>
    <w:rsid w:val="000C5BC0"/>
    <w:rsid w:val="000C5D7B"/>
    <w:rsid w:val="000D072D"/>
    <w:rsid w:val="000D0B0D"/>
    <w:rsid w:val="000D12C1"/>
    <w:rsid w:val="000D7231"/>
    <w:rsid w:val="000D7402"/>
    <w:rsid w:val="000E2817"/>
    <w:rsid w:val="000E66E0"/>
    <w:rsid w:val="000E7FCA"/>
    <w:rsid w:val="000F29CE"/>
    <w:rsid w:val="000F3685"/>
    <w:rsid w:val="000F405F"/>
    <w:rsid w:val="000F467E"/>
    <w:rsid w:val="000F749E"/>
    <w:rsid w:val="00101763"/>
    <w:rsid w:val="00102923"/>
    <w:rsid w:val="00102A3C"/>
    <w:rsid w:val="00102D10"/>
    <w:rsid w:val="0010304A"/>
    <w:rsid w:val="001047A0"/>
    <w:rsid w:val="00106448"/>
    <w:rsid w:val="0011161B"/>
    <w:rsid w:val="00112700"/>
    <w:rsid w:val="001132D8"/>
    <w:rsid w:val="0012113B"/>
    <w:rsid w:val="00122799"/>
    <w:rsid w:val="0012426A"/>
    <w:rsid w:val="0013065A"/>
    <w:rsid w:val="0013257C"/>
    <w:rsid w:val="00133C26"/>
    <w:rsid w:val="00133D32"/>
    <w:rsid w:val="00135794"/>
    <w:rsid w:val="001366D1"/>
    <w:rsid w:val="00145828"/>
    <w:rsid w:val="00151F8B"/>
    <w:rsid w:val="0015701A"/>
    <w:rsid w:val="0016433C"/>
    <w:rsid w:val="00165DF3"/>
    <w:rsid w:val="00170792"/>
    <w:rsid w:val="00170A5A"/>
    <w:rsid w:val="001759AE"/>
    <w:rsid w:val="00175F2D"/>
    <w:rsid w:val="00180B41"/>
    <w:rsid w:val="00180BBA"/>
    <w:rsid w:val="0018284C"/>
    <w:rsid w:val="001852CF"/>
    <w:rsid w:val="001878DE"/>
    <w:rsid w:val="0018795B"/>
    <w:rsid w:val="00191991"/>
    <w:rsid w:val="00192BB8"/>
    <w:rsid w:val="00197403"/>
    <w:rsid w:val="001974AD"/>
    <w:rsid w:val="001A3216"/>
    <w:rsid w:val="001A6850"/>
    <w:rsid w:val="001B14D2"/>
    <w:rsid w:val="001B2FD1"/>
    <w:rsid w:val="001C444D"/>
    <w:rsid w:val="001E275B"/>
    <w:rsid w:val="001E6A01"/>
    <w:rsid w:val="001E6E92"/>
    <w:rsid w:val="001F123D"/>
    <w:rsid w:val="001F2F30"/>
    <w:rsid w:val="001F4B9C"/>
    <w:rsid w:val="001F63CE"/>
    <w:rsid w:val="001F73BC"/>
    <w:rsid w:val="002038FB"/>
    <w:rsid w:val="00203D67"/>
    <w:rsid w:val="0020763C"/>
    <w:rsid w:val="00207DAA"/>
    <w:rsid w:val="00213410"/>
    <w:rsid w:val="00213BF6"/>
    <w:rsid w:val="0021704F"/>
    <w:rsid w:val="00217FEF"/>
    <w:rsid w:val="00223F8C"/>
    <w:rsid w:val="00234858"/>
    <w:rsid w:val="00236D0C"/>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69AD"/>
    <w:rsid w:val="002D0A8D"/>
    <w:rsid w:val="002D2388"/>
    <w:rsid w:val="002D4FCF"/>
    <w:rsid w:val="002D5986"/>
    <w:rsid w:val="002E3FE5"/>
    <w:rsid w:val="002E43DE"/>
    <w:rsid w:val="002E4FC9"/>
    <w:rsid w:val="002F5DCA"/>
    <w:rsid w:val="002F7BB0"/>
    <w:rsid w:val="0030569F"/>
    <w:rsid w:val="0031173A"/>
    <w:rsid w:val="0031178D"/>
    <w:rsid w:val="003145DC"/>
    <w:rsid w:val="00323E77"/>
    <w:rsid w:val="00326EF4"/>
    <w:rsid w:val="00327186"/>
    <w:rsid w:val="00334CDC"/>
    <w:rsid w:val="003362A0"/>
    <w:rsid w:val="00344397"/>
    <w:rsid w:val="00344C13"/>
    <w:rsid w:val="003524CC"/>
    <w:rsid w:val="0035383F"/>
    <w:rsid w:val="003570F7"/>
    <w:rsid w:val="00360605"/>
    <w:rsid w:val="00365891"/>
    <w:rsid w:val="00372977"/>
    <w:rsid w:val="00374FF5"/>
    <w:rsid w:val="00375E5E"/>
    <w:rsid w:val="00382961"/>
    <w:rsid w:val="00383346"/>
    <w:rsid w:val="0038465D"/>
    <w:rsid w:val="00386B1B"/>
    <w:rsid w:val="00386ECF"/>
    <w:rsid w:val="0039651B"/>
    <w:rsid w:val="003A709F"/>
    <w:rsid w:val="003A7FF7"/>
    <w:rsid w:val="003B0499"/>
    <w:rsid w:val="003B1222"/>
    <w:rsid w:val="003B37AB"/>
    <w:rsid w:val="003C32FE"/>
    <w:rsid w:val="003C71BF"/>
    <w:rsid w:val="003C772E"/>
    <w:rsid w:val="003D0516"/>
    <w:rsid w:val="003E0117"/>
    <w:rsid w:val="003E3153"/>
    <w:rsid w:val="003E6084"/>
    <w:rsid w:val="003E73A7"/>
    <w:rsid w:val="003F4DD2"/>
    <w:rsid w:val="003F5973"/>
    <w:rsid w:val="004026B8"/>
    <w:rsid w:val="004102AA"/>
    <w:rsid w:val="00413220"/>
    <w:rsid w:val="004135A6"/>
    <w:rsid w:val="00415D0B"/>
    <w:rsid w:val="00416E22"/>
    <w:rsid w:val="00420D64"/>
    <w:rsid w:val="0042339C"/>
    <w:rsid w:val="00425DD7"/>
    <w:rsid w:val="0043065E"/>
    <w:rsid w:val="00430A33"/>
    <w:rsid w:val="00436A4E"/>
    <w:rsid w:val="00436FE3"/>
    <w:rsid w:val="004404D9"/>
    <w:rsid w:val="004423F7"/>
    <w:rsid w:val="0044408E"/>
    <w:rsid w:val="004445F8"/>
    <w:rsid w:val="00445A95"/>
    <w:rsid w:val="004479F2"/>
    <w:rsid w:val="004530A1"/>
    <w:rsid w:val="00454254"/>
    <w:rsid w:val="00460270"/>
    <w:rsid w:val="0046184D"/>
    <w:rsid w:val="00461FAA"/>
    <w:rsid w:val="00467324"/>
    <w:rsid w:val="004703B3"/>
    <w:rsid w:val="004704FC"/>
    <w:rsid w:val="00470564"/>
    <w:rsid w:val="00470E86"/>
    <w:rsid w:val="0047175B"/>
    <w:rsid w:val="00475497"/>
    <w:rsid w:val="00477D91"/>
    <w:rsid w:val="00482E69"/>
    <w:rsid w:val="00484AA2"/>
    <w:rsid w:val="004870A6"/>
    <w:rsid w:val="00496AA8"/>
    <w:rsid w:val="00496AAD"/>
    <w:rsid w:val="004A2561"/>
    <w:rsid w:val="004A3344"/>
    <w:rsid w:val="004B0A4B"/>
    <w:rsid w:val="004B2048"/>
    <w:rsid w:val="004B2532"/>
    <w:rsid w:val="004B40CF"/>
    <w:rsid w:val="004B4F7B"/>
    <w:rsid w:val="004B561E"/>
    <w:rsid w:val="004C0E54"/>
    <w:rsid w:val="004C6E77"/>
    <w:rsid w:val="004C756D"/>
    <w:rsid w:val="004D07C8"/>
    <w:rsid w:val="004D5032"/>
    <w:rsid w:val="004D72F4"/>
    <w:rsid w:val="004E5445"/>
    <w:rsid w:val="004E5A20"/>
    <w:rsid w:val="004E72CB"/>
    <w:rsid w:val="004F30BA"/>
    <w:rsid w:val="00500466"/>
    <w:rsid w:val="005004DE"/>
    <w:rsid w:val="005017A0"/>
    <w:rsid w:val="00505527"/>
    <w:rsid w:val="00506533"/>
    <w:rsid w:val="00507BD9"/>
    <w:rsid w:val="005102F9"/>
    <w:rsid w:val="00516FB3"/>
    <w:rsid w:val="0052128D"/>
    <w:rsid w:val="00521CEB"/>
    <w:rsid w:val="00523BB3"/>
    <w:rsid w:val="00524911"/>
    <w:rsid w:val="0053131B"/>
    <w:rsid w:val="0053310C"/>
    <w:rsid w:val="00534679"/>
    <w:rsid w:val="00536A35"/>
    <w:rsid w:val="00541C57"/>
    <w:rsid w:val="00554883"/>
    <w:rsid w:val="0056595C"/>
    <w:rsid w:val="00572AA6"/>
    <w:rsid w:val="00576A0F"/>
    <w:rsid w:val="00577DC0"/>
    <w:rsid w:val="00580392"/>
    <w:rsid w:val="005805E5"/>
    <w:rsid w:val="00581982"/>
    <w:rsid w:val="005825E7"/>
    <w:rsid w:val="00582C29"/>
    <w:rsid w:val="00585B47"/>
    <w:rsid w:val="00587256"/>
    <w:rsid w:val="005916A6"/>
    <w:rsid w:val="005920F8"/>
    <w:rsid w:val="0059289A"/>
    <w:rsid w:val="005941BA"/>
    <w:rsid w:val="0059457A"/>
    <w:rsid w:val="00595C08"/>
    <w:rsid w:val="00596672"/>
    <w:rsid w:val="005A3B04"/>
    <w:rsid w:val="005A7150"/>
    <w:rsid w:val="005B4470"/>
    <w:rsid w:val="005B4C45"/>
    <w:rsid w:val="005B4D0E"/>
    <w:rsid w:val="005B5376"/>
    <w:rsid w:val="005B6448"/>
    <w:rsid w:val="005B656A"/>
    <w:rsid w:val="005C2093"/>
    <w:rsid w:val="005C4E4E"/>
    <w:rsid w:val="005D0E73"/>
    <w:rsid w:val="005D27BB"/>
    <w:rsid w:val="005D5F0D"/>
    <w:rsid w:val="005D753E"/>
    <w:rsid w:val="005E2E45"/>
    <w:rsid w:val="005E364F"/>
    <w:rsid w:val="005F37D4"/>
    <w:rsid w:val="005F55E0"/>
    <w:rsid w:val="00600560"/>
    <w:rsid w:val="0060057E"/>
    <w:rsid w:val="00601C6A"/>
    <w:rsid w:val="00611592"/>
    <w:rsid w:val="006117FA"/>
    <w:rsid w:val="00612429"/>
    <w:rsid w:val="00615F76"/>
    <w:rsid w:val="00616200"/>
    <w:rsid w:val="006200EB"/>
    <w:rsid w:val="00622C9C"/>
    <w:rsid w:val="00631752"/>
    <w:rsid w:val="00633F50"/>
    <w:rsid w:val="0064096F"/>
    <w:rsid w:val="00640E7F"/>
    <w:rsid w:val="00645DA8"/>
    <w:rsid w:val="006510BC"/>
    <w:rsid w:val="00651822"/>
    <w:rsid w:val="00654417"/>
    <w:rsid w:val="00655037"/>
    <w:rsid w:val="00656745"/>
    <w:rsid w:val="00663500"/>
    <w:rsid w:val="00664891"/>
    <w:rsid w:val="00666621"/>
    <w:rsid w:val="00667F58"/>
    <w:rsid w:val="006707B9"/>
    <w:rsid w:val="006739CD"/>
    <w:rsid w:val="00680B7B"/>
    <w:rsid w:val="00680C6C"/>
    <w:rsid w:val="00681E56"/>
    <w:rsid w:val="0068401A"/>
    <w:rsid w:val="006904DA"/>
    <w:rsid w:val="0069750D"/>
    <w:rsid w:val="006A12FF"/>
    <w:rsid w:val="006A193F"/>
    <w:rsid w:val="006A6B63"/>
    <w:rsid w:val="006A752B"/>
    <w:rsid w:val="006B05AF"/>
    <w:rsid w:val="006B3084"/>
    <w:rsid w:val="006B6BCA"/>
    <w:rsid w:val="006C273D"/>
    <w:rsid w:val="006C60DC"/>
    <w:rsid w:val="006C75F1"/>
    <w:rsid w:val="006D3D99"/>
    <w:rsid w:val="006D5D57"/>
    <w:rsid w:val="006E2C2E"/>
    <w:rsid w:val="006E3B87"/>
    <w:rsid w:val="006E40D7"/>
    <w:rsid w:val="006E40DD"/>
    <w:rsid w:val="006F019C"/>
    <w:rsid w:val="006F7ECC"/>
    <w:rsid w:val="00701F29"/>
    <w:rsid w:val="0070203B"/>
    <w:rsid w:val="00702287"/>
    <w:rsid w:val="00702B4D"/>
    <w:rsid w:val="007050C4"/>
    <w:rsid w:val="007218A4"/>
    <w:rsid w:val="007233B5"/>
    <w:rsid w:val="00726776"/>
    <w:rsid w:val="0072736D"/>
    <w:rsid w:val="007322FE"/>
    <w:rsid w:val="00733E1D"/>
    <w:rsid w:val="00735D7A"/>
    <w:rsid w:val="00740F6E"/>
    <w:rsid w:val="00741159"/>
    <w:rsid w:val="00741F7D"/>
    <w:rsid w:val="00742A93"/>
    <w:rsid w:val="00743DC4"/>
    <w:rsid w:val="00744B62"/>
    <w:rsid w:val="00744D1B"/>
    <w:rsid w:val="0074599F"/>
    <w:rsid w:val="00753DE5"/>
    <w:rsid w:val="007610A0"/>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4897"/>
    <w:rsid w:val="007C1F65"/>
    <w:rsid w:val="007C37E4"/>
    <w:rsid w:val="007C3AF9"/>
    <w:rsid w:val="007C5970"/>
    <w:rsid w:val="007D129D"/>
    <w:rsid w:val="007D2701"/>
    <w:rsid w:val="007D3D80"/>
    <w:rsid w:val="007D5155"/>
    <w:rsid w:val="007D6E8E"/>
    <w:rsid w:val="007E1C35"/>
    <w:rsid w:val="007E331F"/>
    <w:rsid w:val="007E4C9C"/>
    <w:rsid w:val="007E4F58"/>
    <w:rsid w:val="007E5C8A"/>
    <w:rsid w:val="007F25D4"/>
    <w:rsid w:val="007F272D"/>
    <w:rsid w:val="00803CAA"/>
    <w:rsid w:val="00805371"/>
    <w:rsid w:val="008100F8"/>
    <w:rsid w:val="00811A7A"/>
    <w:rsid w:val="00811AF4"/>
    <w:rsid w:val="0081285F"/>
    <w:rsid w:val="00814EA1"/>
    <w:rsid w:val="00815B0B"/>
    <w:rsid w:val="0082572A"/>
    <w:rsid w:val="00834B5B"/>
    <w:rsid w:val="00843F40"/>
    <w:rsid w:val="00844AC9"/>
    <w:rsid w:val="008457FD"/>
    <w:rsid w:val="0085297D"/>
    <w:rsid w:val="00853517"/>
    <w:rsid w:val="00854A67"/>
    <w:rsid w:val="008601DB"/>
    <w:rsid w:val="008608B3"/>
    <w:rsid w:val="00862C60"/>
    <w:rsid w:val="0086345E"/>
    <w:rsid w:val="00863F5B"/>
    <w:rsid w:val="00865469"/>
    <w:rsid w:val="00866690"/>
    <w:rsid w:val="00867AFD"/>
    <w:rsid w:val="00867E7F"/>
    <w:rsid w:val="00870196"/>
    <w:rsid w:val="00870A36"/>
    <w:rsid w:val="00871C56"/>
    <w:rsid w:val="00875C9C"/>
    <w:rsid w:val="00882784"/>
    <w:rsid w:val="008834E5"/>
    <w:rsid w:val="008840C3"/>
    <w:rsid w:val="00884138"/>
    <w:rsid w:val="00891964"/>
    <w:rsid w:val="0089294F"/>
    <w:rsid w:val="00893C78"/>
    <w:rsid w:val="008A0EA4"/>
    <w:rsid w:val="008A4A8D"/>
    <w:rsid w:val="008A6548"/>
    <w:rsid w:val="008B1B7A"/>
    <w:rsid w:val="008B4861"/>
    <w:rsid w:val="008C01EF"/>
    <w:rsid w:val="008C1CF8"/>
    <w:rsid w:val="008D31FF"/>
    <w:rsid w:val="008D3C87"/>
    <w:rsid w:val="008D3E9B"/>
    <w:rsid w:val="008D56E1"/>
    <w:rsid w:val="008E73D9"/>
    <w:rsid w:val="008F0729"/>
    <w:rsid w:val="008F16A9"/>
    <w:rsid w:val="008F789A"/>
    <w:rsid w:val="009017D3"/>
    <w:rsid w:val="00912007"/>
    <w:rsid w:val="00913069"/>
    <w:rsid w:val="009133D3"/>
    <w:rsid w:val="00914102"/>
    <w:rsid w:val="00917A4A"/>
    <w:rsid w:val="00921A03"/>
    <w:rsid w:val="00925624"/>
    <w:rsid w:val="0093033B"/>
    <w:rsid w:val="00934348"/>
    <w:rsid w:val="009344EF"/>
    <w:rsid w:val="00935238"/>
    <w:rsid w:val="00936B9E"/>
    <w:rsid w:val="009436E0"/>
    <w:rsid w:val="00946636"/>
    <w:rsid w:val="00950836"/>
    <w:rsid w:val="00952BDC"/>
    <w:rsid w:val="00955448"/>
    <w:rsid w:val="009560DE"/>
    <w:rsid w:val="009575EF"/>
    <w:rsid w:val="0096333D"/>
    <w:rsid w:val="0096413E"/>
    <w:rsid w:val="00967D65"/>
    <w:rsid w:val="0097115A"/>
    <w:rsid w:val="00972765"/>
    <w:rsid w:val="00975AF5"/>
    <w:rsid w:val="00976B83"/>
    <w:rsid w:val="00977FE9"/>
    <w:rsid w:val="00982623"/>
    <w:rsid w:val="00987E41"/>
    <w:rsid w:val="00990340"/>
    <w:rsid w:val="00990770"/>
    <w:rsid w:val="00992AB2"/>
    <w:rsid w:val="00992BD1"/>
    <w:rsid w:val="00994154"/>
    <w:rsid w:val="0099415D"/>
    <w:rsid w:val="0099421F"/>
    <w:rsid w:val="00994F8A"/>
    <w:rsid w:val="009956FC"/>
    <w:rsid w:val="009A14CC"/>
    <w:rsid w:val="009A30F7"/>
    <w:rsid w:val="009B052B"/>
    <w:rsid w:val="009B0B29"/>
    <w:rsid w:val="009B20F5"/>
    <w:rsid w:val="009B3792"/>
    <w:rsid w:val="009D0C18"/>
    <w:rsid w:val="009D2F47"/>
    <w:rsid w:val="009D3092"/>
    <w:rsid w:val="009D5314"/>
    <w:rsid w:val="009D7749"/>
    <w:rsid w:val="009F0BF6"/>
    <w:rsid w:val="009F60D0"/>
    <w:rsid w:val="00A02202"/>
    <w:rsid w:val="00A058E3"/>
    <w:rsid w:val="00A05E10"/>
    <w:rsid w:val="00A10934"/>
    <w:rsid w:val="00A10E1B"/>
    <w:rsid w:val="00A2133A"/>
    <w:rsid w:val="00A21985"/>
    <w:rsid w:val="00A25FD5"/>
    <w:rsid w:val="00A30A6C"/>
    <w:rsid w:val="00A31630"/>
    <w:rsid w:val="00A36C34"/>
    <w:rsid w:val="00A44C36"/>
    <w:rsid w:val="00A44C43"/>
    <w:rsid w:val="00A46219"/>
    <w:rsid w:val="00A50AAF"/>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1AF6"/>
    <w:rsid w:val="00A8272A"/>
    <w:rsid w:val="00A928FF"/>
    <w:rsid w:val="00A933FF"/>
    <w:rsid w:val="00A93451"/>
    <w:rsid w:val="00A939E0"/>
    <w:rsid w:val="00A95269"/>
    <w:rsid w:val="00AA0D7C"/>
    <w:rsid w:val="00AA2C74"/>
    <w:rsid w:val="00AA3522"/>
    <w:rsid w:val="00AA671F"/>
    <w:rsid w:val="00AB1DA0"/>
    <w:rsid w:val="00AB1DA8"/>
    <w:rsid w:val="00AC2C96"/>
    <w:rsid w:val="00AC35F8"/>
    <w:rsid w:val="00AC624C"/>
    <w:rsid w:val="00AC7067"/>
    <w:rsid w:val="00AC713B"/>
    <w:rsid w:val="00AD0ED8"/>
    <w:rsid w:val="00AE1518"/>
    <w:rsid w:val="00AE19AE"/>
    <w:rsid w:val="00AE2766"/>
    <w:rsid w:val="00AF1721"/>
    <w:rsid w:val="00AF1897"/>
    <w:rsid w:val="00AF3E28"/>
    <w:rsid w:val="00AF566E"/>
    <w:rsid w:val="00B038D1"/>
    <w:rsid w:val="00B13BFE"/>
    <w:rsid w:val="00B151F8"/>
    <w:rsid w:val="00B16355"/>
    <w:rsid w:val="00B16812"/>
    <w:rsid w:val="00B16E4D"/>
    <w:rsid w:val="00B24931"/>
    <w:rsid w:val="00B24A2D"/>
    <w:rsid w:val="00B268CE"/>
    <w:rsid w:val="00B33F81"/>
    <w:rsid w:val="00B35472"/>
    <w:rsid w:val="00B46DD5"/>
    <w:rsid w:val="00B47628"/>
    <w:rsid w:val="00B47F0C"/>
    <w:rsid w:val="00B508B5"/>
    <w:rsid w:val="00B56CEC"/>
    <w:rsid w:val="00B60F36"/>
    <w:rsid w:val="00B64583"/>
    <w:rsid w:val="00B651EB"/>
    <w:rsid w:val="00B77634"/>
    <w:rsid w:val="00B806BA"/>
    <w:rsid w:val="00B80F00"/>
    <w:rsid w:val="00B94E60"/>
    <w:rsid w:val="00B96970"/>
    <w:rsid w:val="00BB0BB3"/>
    <w:rsid w:val="00BB49BE"/>
    <w:rsid w:val="00BB5FEC"/>
    <w:rsid w:val="00BC03E7"/>
    <w:rsid w:val="00BC09FF"/>
    <w:rsid w:val="00BC71A2"/>
    <w:rsid w:val="00BD1381"/>
    <w:rsid w:val="00BD5C9F"/>
    <w:rsid w:val="00BD6B93"/>
    <w:rsid w:val="00BD7A49"/>
    <w:rsid w:val="00BE05F0"/>
    <w:rsid w:val="00BE1FA4"/>
    <w:rsid w:val="00BE2782"/>
    <w:rsid w:val="00BE3C47"/>
    <w:rsid w:val="00BE5B1B"/>
    <w:rsid w:val="00BE728B"/>
    <w:rsid w:val="00BF202D"/>
    <w:rsid w:val="00BF45EE"/>
    <w:rsid w:val="00BF58E9"/>
    <w:rsid w:val="00BF6329"/>
    <w:rsid w:val="00BF7373"/>
    <w:rsid w:val="00C001A7"/>
    <w:rsid w:val="00C02769"/>
    <w:rsid w:val="00C02A1B"/>
    <w:rsid w:val="00C02ED5"/>
    <w:rsid w:val="00C031C1"/>
    <w:rsid w:val="00C126F3"/>
    <w:rsid w:val="00C12A49"/>
    <w:rsid w:val="00C2011C"/>
    <w:rsid w:val="00C212AE"/>
    <w:rsid w:val="00C24124"/>
    <w:rsid w:val="00C25CB6"/>
    <w:rsid w:val="00C344F2"/>
    <w:rsid w:val="00C455CF"/>
    <w:rsid w:val="00C457F8"/>
    <w:rsid w:val="00C46E62"/>
    <w:rsid w:val="00C47FFA"/>
    <w:rsid w:val="00C5437B"/>
    <w:rsid w:val="00C569D9"/>
    <w:rsid w:val="00C56BC2"/>
    <w:rsid w:val="00C609FC"/>
    <w:rsid w:val="00C67860"/>
    <w:rsid w:val="00C703A8"/>
    <w:rsid w:val="00C77A1A"/>
    <w:rsid w:val="00C81C18"/>
    <w:rsid w:val="00C8485E"/>
    <w:rsid w:val="00C87684"/>
    <w:rsid w:val="00C95B01"/>
    <w:rsid w:val="00CB2E3A"/>
    <w:rsid w:val="00CB2EA8"/>
    <w:rsid w:val="00CB660B"/>
    <w:rsid w:val="00CC0142"/>
    <w:rsid w:val="00CC1C34"/>
    <w:rsid w:val="00CC3BF6"/>
    <w:rsid w:val="00CD4830"/>
    <w:rsid w:val="00CD6296"/>
    <w:rsid w:val="00CE04CE"/>
    <w:rsid w:val="00CE0815"/>
    <w:rsid w:val="00CE0E0B"/>
    <w:rsid w:val="00CE2B62"/>
    <w:rsid w:val="00CE34E1"/>
    <w:rsid w:val="00CE7058"/>
    <w:rsid w:val="00CF19B9"/>
    <w:rsid w:val="00CF39DF"/>
    <w:rsid w:val="00CF4B32"/>
    <w:rsid w:val="00D04432"/>
    <w:rsid w:val="00D05CBF"/>
    <w:rsid w:val="00D10A73"/>
    <w:rsid w:val="00D112CB"/>
    <w:rsid w:val="00D13222"/>
    <w:rsid w:val="00D2234C"/>
    <w:rsid w:val="00D23626"/>
    <w:rsid w:val="00D2428A"/>
    <w:rsid w:val="00D3072A"/>
    <w:rsid w:val="00D33691"/>
    <w:rsid w:val="00D33B65"/>
    <w:rsid w:val="00D40F43"/>
    <w:rsid w:val="00D4366E"/>
    <w:rsid w:val="00D477E1"/>
    <w:rsid w:val="00D50E2C"/>
    <w:rsid w:val="00D51726"/>
    <w:rsid w:val="00D53062"/>
    <w:rsid w:val="00D5573C"/>
    <w:rsid w:val="00D557A8"/>
    <w:rsid w:val="00D6386B"/>
    <w:rsid w:val="00D7054B"/>
    <w:rsid w:val="00D739BF"/>
    <w:rsid w:val="00D745C3"/>
    <w:rsid w:val="00D74A86"/>
    <w:rsid w:val="00D772AC"/>
    <w:rsid w:val="00D828CA"/>
    <w:rsid w:val="00D83486"/>
    <w:rsid w:val="00D83F8A"/>
    <w:rsid w:val="00D858FC"/>
    <w:rsid w:val="00D92C98"/>
    <w:rsid w:val="00DA1802"/>
    <w:rsid w:val="00DA2BCB"/>
    <w:rsid w:val="00DA5B2D"/>
    <w:rsid w:val="00DA647E"/>
    <w:rsid w:val="00DB1058"/>
    <w:rsid w:val="00DB13B7"/>
    <w:rsid w:val="00DB3A88"/>
    <w:rsid w:val="00DB45BC"/>
    <w:rsid w:val="00DC3BA0"/>
    <w:rsid w:val="00DC45A3"/>
    <w:rsid w:val="00DC6487"/>
    <w:rsid w:val="00DD0042"/>
    <w:rsid w:val="00DD0BF9"/>
    <w:rsid w:val="00DD2357"/>
    <w:rsid w:val="00DD5383"/>
    <w:rsid w:val="00DD62CA"/>
    <w:rsid w:val="00DE39C1"/>
    <w:rsid w:val="00DE42CB"/>
    <w:rsid w:val="00DE5C35"/>
    <w:rsid w:val="00DE76B1"/>
    <w:rsid w:val="00DF3C00"/>
    <w:rsid w:val="00DF54BF"/>
    <w:rsid w:val="00E04553"/>
    <w:rsid w:val="00E1341F"/>
    <w:rsid w:val="00E13F2F"/>
    <w:rsid w:val="00E167D4"/>
    <w:rsid w:val="00E20C2F"/>
    <w:rsid w:val="00E23CE5"/>
    <w:rsid w:val="00E24413"/>
    <w:rsid w:val="00E245DB"/>
    <w:rsid w:val="00E27B91"/>
    <w:rsid w:val="00E30B82"/>
    <w:rsid w:val="00E40C6B"/>
    <w:rsid w:val="00E513ED"/>
    <w:rsid w:val="00E51489"/>
    <w:rsid w:val="00E52BF8"/>
    <w:rsid w:val="00E5365C"/>
    <w:rsid w:val="00E5367B"/>
    <w:rsid w:val="00E62117"/>
    <w:rsid w:val="00E64FBB"/>
    <w:rsid w:val="00E668F2"/>
    <w:rsid w:val="00E67FF7"/>
    <w:rsid w:val="00E731C8"/>
    <w:rsid w:val="00E74D7B"/>
    <w:rsid w:val="00E7753E"/>
    <w:rsid w:val="00E8229F"/>
    <w:rsid w:val="00E84F38"/>
    <w:rsid w:val="00E86E2E"/>
    <w:rsid w:val="00E90880"/>
    <w:rsid w:val="00E9552A"/>
    <w:rsid w:val="00EA0FFE"/>
    <w:rsid w:val="00EA2F6B"/>
    <w:rsid w:val="00EA3580"/>
    <w:rsid w:val="00EA4CB1"/>
    <w:rsid w:val="00EA6C89"/>
    <w:rsid w:val="00EB038F"/>
    <w:rsid w:val="00EB2C05"/>
    <w:rsid w:val="00EB636B"/>
    <w:rsid w:val="00EC2700"/>
    <w:rsid w:val="00EC2BC5"/>
    <w:rsid w:val="00EC3EC2"/>
    <w:rsid w:val="00EC4946"/>
    <w:rsid w:val="00ED0C47"/>
    <w:rsid w:val="00ED4B0C"/>
    <w:rsid w:val="00ED7E17"/>
    <w:rsid w:val="00EE02D2"/>
    <w:rsid w:val="00EE189C"/>
    <w:rsid w:val="00EE1F79"/>
    <w:rsid w:val="00EE2E32"/>
    <w:rsid w:val="00EF076D"/>
    <w:rsid w:val="00EF0DF4"/>
    <w:rsid w:val="00EF1B6C"/>
    <w:rsid w:val="00EF3AB7"/>
    <w:rsid w:val="00EF5902"/>
    <w:rsid w:val="00EF60E9"/>
    <w:rsid w:val="00F03429"/>
    <w:rsid w:val="00F03952"/>
    <w:rsid w:val="00F04626"/>
    <w:rsid w:val="00F144F5"/>
    <w:rsid w:val="00F17B03"/>
    <w:rsid w:val="00F20A99"/>
    <w:rsid w:val="00F2279E"/>
    <w:rsid w:val="00F228AA"/>
    <w:rsid w:val="00F22ACA"/>
    <w:rsid w:val="00F30DA8"/>
    <w:rsid w:val="00F3225E"/>
    <w:rsid w:val="00F3259B"/>
    <w:rsid w:val="00F35794"/>
    <w:rsid w:val="00F369E1"/>
    <w:rsid w:val="00F40575"/>
    <w:rsid w:val="00F417F5"/>
    <w:rsid w:val="00F429B0"/>
    <w:rsid w:val="00F45654"/>
    <w:rsid w:val="00F50ADB"/>
    <w:rsid w:val="00F532DA"/>
    <w:rsid w:val="00F539E1"/>
    <w:rsid w:val="00F57066"/>
    <w:rsid w:val="00F57DEA"/>
    <w:rsid w:val="00F64D5D"/>
    <w:rsid w:val="00F65B61"/>
    <w:rsid w:val="00F746F2"/>
    <w:rsid w:val="00F749BD"/>
    <w:rsid w:val="00F74DE6"/>
    <w:rsid w:val="00F74F2B"/>
    <w:rsid w:val="00F8059C"/>
    <w:rsid w:val="00F83FF3"/>
    <w:rsid w:val="00F86D0A"/>
    <w:rsid w:val="00F97A6C"/>
    <w:rsid w:val="00FA1CB6"/>
    <w:rsid w:val="00FA27B2"/>
    <w:rsid w:val="00FA40C4"/>
    <w:rsid w:val="00FA53E3"/>
    <w:rsid w:val="00FA60D0"/>
    <w:rsid w:val="00FB0407"/>
    <w:rsid w:val="00FB5B70"/>
    <w:rsid w:val="00FB6AEF"/>
    <w:rsid w:val="00FB6DF4"/>
    <w:rsid w:val="00FC0D49"/>
    <w:rsid w:val="00FC5438"/>
    <w:rsid w:val="00FD4E73"/>
    <w:rsid w:val="00FD52FE"/>
    <w:rsid w:val="00FD5DD6"/>
    <w:rsid w:val="00FE0695"/>
    <w:rsid w:val="00FE76F4"/>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header" Target="header8.xml"/><Relationship Id="rId28" Type="http://schemas.openxmlformats.org/officeDocument/2006/relationships/header" Target="header9.xml"/><Relationship Id="rId29" Type="http://schemas.openxmlformats.org/officeDocument/2006/relationships/header" Target="header1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1.xml"/><Relationship Id="rId31" Type="http://schemas.openxmlformats.org/officeDocument/2006/relationships/fontTable" Target="fontTable.xml"/><Relationship Id="rId32" Type="http://schemas.microsoft.com/office/2011/relationships/people" Target="people.xml"/><Relationship Id="rId9"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20</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21</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22</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23</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24</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25</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26</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27</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28</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29</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30</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31</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2</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4</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5</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6</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32</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15</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16</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3</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33</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34</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35</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36</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37</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38</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11</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13</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9</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8</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10</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12</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14</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17</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18</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19</b:RefOrder>
  </b:Source>
</b:Sources>
</file>

<file path=customXml/itemProps1.xml><?xml version="1.0" encoding="utf-8"?>
<ds:datastoreItem xmlns:ds="http://schemas.openxmlformats.org/officeDocument/2006/customXml" ds:itemID="{AE37CE26-3EC4-544F-B690-1C9FA06B9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48</Pages>
  <Words>13428</Words>
  <Characters>84599</Characters>
  <Application>Microsoft Macintosh Word</Application>
  <DocSecurity>0</DocSecurity>
  <Lines>704</Lines>
  <Paragraphs>195</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97832</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111</cp:revision>
  <cp:lastPrinted>2005-07-19T18:06:00Z</cp:lastPrinted>
  <dcterms:created xsi:type="dcterms:W3CDTF">2016-01-27T20:00:00Z</dcterms:created>
  <dcterms:modified xsi:type="dcterms:W3CDTF">2016-05-07T15:56:00Z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