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bookmarkStart w:id="0" w:name="_GoBack"/>
      <w:bookmarkEnd w:id="0"/>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1"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1"/>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2" w:name="Text2"/>
      <w:r>
        <w:instrText xml:space="preserve"> FORMTEXT </w:instrText>
      </w:r>
      <w:r>
        <w:fldChar w:fldCharType="separate"/>
      </w:r>
      <w:r>
        <w:rPr>
          <w:noProof/>
        </w:rPr>
        <w:t>Masterarbeit</w:t>
      </w:r>
      <w:r>
        <w:fldChar w:fldCharType="end"/>
      </w:r>
      <w:bookmarkEnd w:id="2"/>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57066" w:rsidRPr="00914102" w:rsidRDefault="00F57066" w:rsidP="00A65D39">
                            <w:pPr>
                              <w:pStyle w:val="Vorgelegt"/>
                            </w:pPr>
                            <w:r>
                              <w:t>Vorgelegt der Fakultät für Wirtschaftswissenschaft</w:t>
                            </w:r>
                          </w:p>
                          <w:p w14:paraId="2DA42285" w14:textId="77777777" w:rsidR="00F57066" w:rsidRDefault="00F5706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57066" w:rsidRDefault="00F57066" w:rsidP="00A65D39">
                            <w:pPr>
                              <w:pStyle w:val="Vorgelegt"/>
                            </w:pPr>
                            <w:r>
                              <w:t>Lehrstuhl für Betriebswirtschaftslehre,</w:t>
                            </w:r>
                          </w:p>
                          <w:p w14:paraId="30ECB503" w14:textId="77777777" w:rsidR="00F57066" w:rsidRPr="00D2428A" w:rsidRDefault="00F5706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F57066" w:rsidRPr="00914102" w:rsidRDefault="00F57066" w:rsidP="00A65D39">
                      <w:pPr>
                        <w:pStyle w:val="Vorgelegt"/>
                      </w:pPr>
                      <w:r>
                        <w:t>Vorgelegt der Fakultät für Wirtschaftswissenschaft</w:t>
                      </w:r>
                    </w:p>
                    <w:p w14:paraId="2DA42285" w14:textId="77777777" w:rsidR="00F57066" w:rsidRDefault="00F5706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57066" w:rsidRDefault="00F57066" w:rsidP="00A65D39">
                      <w:pPr>
                        <w:pStyle w:val="Vorgelegt"/>
                      </w:pPr>
                      <w:r>
                        <w:t>Lehrstuhl für Betriebswirtschaftslehre,</w:t>
                      </w:r>
                    </w:p>
                    <w:p w14:paraId="30ECB503" w14:textId="77777777" w:rsidR="00F57066" w:rsidRPr="00D2428A" w:rsidRDefault="00F5706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3" w:name="Text3"/>
      <w:r w:rsidR="00AC713B">
        <w:instrText xml:space="preserve"> FORMTEXT </w:instrText>
      </w:r>
      <w:r w:rsidR="00AC713B">
        <w:fldChar w:fldCharType="separate"/>
      </w:r>
      <w:r w:rsidR="00AC713B">
        <w:rPr>
          <w:noProof/>
        </w:rPr>
        <w:t>Steve Lohr</w:t>
      </w:r>
      <w:r w:rsidR="00AC713B">
        <w:fldChar w:fldCharType="end"/>
      </w:r>
      <w:bookmarkEnd w:id="3"/>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4" w:name="Text4"/>
      <w:r w:rsidR="00AC713B">
        <w:instrText xml:space="preserve"> FORMTEXT </w:instrText>
      </w:r>
      <w:r w:rsidR="00AC713B">
        <w:fldChar w:fldCharType="separate"/>
      </w:r>
      <w:r w:rsidR="00AC713B">
        <w:rPr>
          <w:noProof/>
        </w:rPr>
        <w:t>Naumannstraße 10</w:t>
      </w:r>
      <w:r w:rsidR="00AC713B">
        <w:fldChar w:fldCharType="end"/>
      </w:r>
      <w:bookmarkEnd w:id="4"/>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5" w:name="Text5"/>
      <w:r w:rsidR="00AC713B">
        <w:instrText xml:space="preserve"> FORMTEXT </w:instrText>
      </w:r>
      <w:r w:rsidR="00AC713B">
        <w:fldChar w:fldCharType="separate"/>
      </w:r>
      <w:r w:rsidR="00AC713B">
        <w:rPr>
          <w:noProof/>
        </w:rPr>
        <w:t>01309 Dresden</w:t>
      </w:r>
      <w:r w:rsidR="00AC713B">
        <w:fldChar w:fldCharType="end"/>
      </w:r>
      <w:bookmarkEnd w:id="5"/>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6" w:name="Text6"/>
      <w:r w:rsidR="00AC713B">
        <w:instrText xml:space="preserve"> FORMTEXT </w:instrText>
      </w:r>
      <w:r w:rsidR="00AC713B">
        <w:fldChar w:fldCharType="separate"/>
      </w:r>
      <w:r w:rsidR="00AC713B">
        <w:rPr>
          <w:noProof/>
        </w:rPr>
        <w:t>9066454</w:t>
      </w:r>
      <w:r w:rsidR="00AC713B">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7" w:name="Text7"/>
      <w:r w:rsidR="002A4D9D">
        <w:instrText xml:space="preserve"> FORMTEXT </w:instrText>
      </w:r>
      <w:r w:rsidR="002A4D9D">
        <w:fldChar w:fldCharType="separate"/>
      </w:r>
      <w:r w:rsidR="002A4D9D">
        <w:rPr>
          <w:noProof/>
        </w:rPr>
        <w:t>M. Sc. Christian Grawe</w:t>
      </w:r>
      <w:r w:rsidR="002A4D9D">
        <w:fldChar w:fldCharType="end"/>
      </w:r>
      <w:bookmarkEnd w:id="7"/>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8" w:name="Text8"/>
      <w:r w:rsidR="00DB13B7">
        <w:instrText xml:space="preserve"> FORMTEXT </w:instrText>
      </w:r>
      <w:r w:rsidR="00DB13B7">
        <w:fldChar w:fldCharType="separate"/>
      </w:r>
      <w:r w:rsidR="00DB13B7">
        <w:rPr>
          <w:noProof/>
        </w:rPr>
        <w:t>12.08.2016</w:t>
      </w:r>
      <w:r w:rsidR="00DB13B7">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2"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2"/>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3"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3"/>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4"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4"/>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9202C37" w14:textId="77777777" w:rsidR="00256AF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518544" w:history="1">
        <w:r w:rsidR="00256AF7" w:rsidRPr="001F6956">
          <w:rPr>
            <w:rStyle w:val="Link"/>
          </w:rPr>
          <w:t>Abbildungsverzeichnis</w:t>
        </w:r>
        <w:r w:rsidR="00256AF7">
          <w:rPr>
            <w:webHidden/>
          </w:rPr>
          <w:tab/>
        </w:r>
        <w:r w:rsidR="00256AF7">
          <w:rPr>
            <w:webHidden/>
          </w:rPr>
          <w:fldChar w:fldCharType="begin"/>
        </w:r>
        <w:r w:rsidR="00256AF7">
          <w:rPr>
            <w:webHidden/>
          </w:rPr>
          <w:instrText xml:space="preserve"> PAGEREF _Toc446518544 \h </w:instrText>
        </w:r>
        <w:r w:rsidR="00256AF7">
          <w:rPr>
            <w:webHidden/>
          </w:rPr>
        </w:r>
        <w:r w:rsidR="00256AF7">
          <w:rPr>
            <w:webHidden/>
          </w:rPr>
          <w:fldChar w:fldCharType="separate"/>
        </w:r>
        <w:r w:rsidR="00256AF7">
          <w:rPr>
            <w:webHidden/>
          </w:rPr>
          <w:t>III</w:t>
        </w:r>
        <w:r w:rsidR="00256AF7">
          <w:rPr>
            <w:webHidden/>
          </w:rPr>
          <w:fldChar w:fldCharType="end"/>
        </w:r>
      </w:hyperlink>
    </w:p>
    <w:p w14:paraId="024CF866" w14:textId="77777777" w:rsidR="00256AF7" w:rsidRDefault="00256AF7">
      <w:pPr>
        <w:pStyle w:val="Verzeichnis1"/>
        <w:rPr>
          <w:rFonts w:asciiTheme="minorHAnsi" w:eastAsiaTheme="minorEastAsia" w:hAnsiTheme="minorHAnsi" w:cstheme="minorBidi"/>
          <w:b w:val="0"/>
          <w:sz w:val="24"/>
          <w:szCs w:val="24"/>
        </w:rPr>
      </w:pPr>
      <w:hyperlink w:anchor="_Toc446518545" w:history="1">
        <w:r w:rsidRPr="001F6956">
          <w:rPr>
            <w:rStyle w:val="Link"/>
          </w:rPr>
          <w:t>Tabellenverzeichnis</w:t>
        </w:r>
        <w:r>
          <w:rPr>
            <w:webHidden/>
          </w:rPr>
          <w:tab/>
        </w:r>
        <w:r>
          <w:rPr>
            <w:webHidden/>
          </w:rPr>
          <w:fldChar w:fldCharType="begin"/>
        </w:r>
        <w:r>
          <w:rPr>
            <w:webHidden/>
          </w:rPr>
          <w:instrText xml:space="preserve"> PAGEREF _Toc446518545 \h </w:instrText>
        </w:r>
        <w:r>
          <w:rPr>
            <w:webHidden/>
          </w:rPr>
        </w:r>
        <w:r>
          <w:rPr>
            <w:webHidden/>
          </w:rPr>
          <w:fldChar w:fldCharType="separate"/>
        </w:r>
        <w:r>
          <w:rPr>
            <w:webHidden/>
          </w:rPr>
          <w:t>IV</w:t>
        </w:r>
        <w:r>
          <w:rPr>
            <w:webHidden/>
          </w:rPr>
          <w:fldChar w:fldCharType="end"/>
        </w:r>
      </w:hyperlink>
    </w:p>
    <w:p w14:paraId="5DE2204B" w14:textId="77777777" w:rsidR="00256AF7" w:rsidRDefault="00256AF7">
      <w:pPr>
        <w:pStyle w:val="Verzeichnis1"/>
        <w:rPr>
          <w:rFonts w:asciiTheme="minorHAnsi" w:eastAsiaTheme="minorEastAsia" w:hAnsiTheme="minorHAnsi" w:cstheme="minorBidi"/>
          <w:b w:val="0"/>
          <w:sz w:val="24"/>
          <w:szCs w:val="24"/>
        </w:rPr>
      </w:pPr>
      <w:hyperlink w:anchor="_Toc446518546" w:history="1">
        <w:r w:rsidRPr="001F6956">
          <w:rPr>
            <w:rStyle w:val="Link"/>
            <w:lang w:val="en-US"/>
          </w:rPr>
          <w:t>Abkürzungsverzeichnis</w:t>
        </w:r>
        <w:r>
          <w:rPr>
            <w:webHidden/>
          </w:rPr>
          <w:tab/>
        </w:r>
        <w:r>
          <w:rPr>
            <w:webHidden/>
          </w:rPr>
          <w:fldChar w:fldCharType="begin"/>
        </w:r>
        <w:r>
          <w:rPr>
            <w:webHidden/>
          </w:rPr>
          <w:instrText xml:space="preserve"> PAGEREF _Toc446518546 \h </w:instrText>
        </w:r>
        <w:r>
          <w:rPr>
            <w:webHidden/>
          </w:rPr>
        </w:r>
        <w:r>
          <w:rPr>
            <w:webHidden/>
          </w:rPr>
          <w:fldChar w:fldCharType="separate"/>
        </w:r>
        <w:r>
          <w:rPr>
            <w:webHidden/>
          </w:rPr>
          <w:t>V</w:t>
        </w:r>
        <w:r>
          <w:rPr>
            <w:webHidden/>
          </w:rPr>
          <w:fldChar w:fldCharType="end"/>
        </w:r>
      </w:hyperlink>
    </w:p>
    <w:p w14:paraId="46FDC2C7" w14:textId="77777777" w:rsidR="00256AF7" w:rsidRDefault="00256AF7">
      <w:pPr>
        <w:pStyle w:val="Verzeichnis1"/>
        <w:rPr>
          <w:rFonts w:asciiTheme="minorHAnsi" w:eastAsiaTheme="minorEastAsia" w:hAnsiTheme="minorHAnsi" w:cstheme="minorBidi"/>
          <w:b w:val="0"/>
          <w:sz w:val="24"/>
          <w:szCs w:val="24"/>
        </w:rPr>
      </w:pPr>
      <w:hyperlink w:anchor="_Toc446518547" w:history="1">
        <w:r w:rsidRPr="001F6956">
          <w:rPr>
            <w:rStyle w:val="Link"/>
          </w:rPr>
          <w:t>1</w:t>
        </w:r>
        <w:r>
          <w:rPr>
            <w:rFonts w:asciiTheme="minorHAnsi" w:eastAsiaTheme="minorEastAsia" w:hAnsiTheme="minorHAnsi" w:cstheme="minorBidi"/>
            <w:b w:val="0"/>
            <w:sz w:val="24"/>
            <w:szCs w:val="24"/>
          </w:rPr>
          <w:tab/>
        </w:r>
        <w:r w:rsidRPr="001F6956">
          <w:rPr>
            <w:rStyle w:val="Link"/>
          </w:rPr>
          <w:t>Einleitung</w:t>
        </w:r>
        <w:r>
          <w:rPr>
            <w:webHidden/>
          </w:rPr>
          <w:tab/>
        </w:r>
        <w:r>
          <w:rPr>
            <w:webHidden/>
          </w:rPr>
          <w:fldChar w:fldCharType="begin"/>
        </w:r>
        <w:r>
          <w:rPr>
            <w:webHidden/>
          </w:rPr>
          <w:instrText xml:space="preserve"> PAGEREF _Toc446518547 \h </w:instrText>
        </w:r>
        <w:r>
          <w:rPr>
            <w:webHidden/>
          </w:rPr>
        </w:r>
        <w:r>
          <w:rPr>
            <w:webHidden/>
          </w:rPr>
          <w:fldChar w:fldCharType="separate"/>
        </w:r>
        <w:r>
          <w:rPr>
            <w:webHidden/>
          </w:rPr>
          <w:t>1</w:t>
        </w:r>
        <w:r>
          <w:rPr>
            <w:webHidden/>
          </w:rPr>
          <w:fldChar w:fldCharType="end"/>
        </w:r>
      </w:hyperlink>
    </w:p>
    <w:p w14:paraId="10261B7F" w14:textId="77777777" w:rsidR="00256AF7" w:rsidRDefault="00256AF7">
      <w:pPr>
        <w:pStyle w:val="Verzeichnis1"/>
        <w:rPr>
          <w:rFonts w:asciiTheme="minorHAnsi" w:eastAsiaTheme="minorEastAsia" w:hAnsiTheme="minorHAnsi" w:cstheme="minorBidi"/>
          <w:b w:val="0"/>
          <w:sz w:val="24"/>
          <w:szCs w:val="24"/>
        </w:rPr>
      </w:pPr>
      <w:hyperlink w:anchor="_Toc446518548" w:history="1">
        <w:r w:rsidRPr="001F6956">
          <w:rPr>
            <w:rStyle w:val="Link"/>
          </w:rPr>
          <w:t>2</w:t>
        </w:r>
        <w:r>
          <w:rPr>
            <w:rFonts w:asciiTheme="minorHAnsi" w:eastAsiaTheme="minorEastAsia" w:hAnsiTheme="minorHAnsi" w:cstheme="minorBidi"/>
            <w:b w:val="0"/>
            <w:sz w:val="24"/>
            <w:szCs w:val="24"/>
          </w:rPr>
          <w:tab/>
        </w:r>
        <w:r w:rsidRPr="001F6956">
          <w:rPr>
            <w:rStyle w:val="Link"/>
          </w:rPr>
          <w:t>Grundlagen</w:t>
        </w:r>
        <w:r>
          <w:rPr>
            <w:webHidden/>
          </w:rPr>
          <w:tab/>
        </w:r>
        <w:r>
          <w:rPr>
            <w:webHidden/>
          </w:rPr>
          <w:fldChar w:fldCharType="begin"/>
        </w:r>
        <w:r>
          <w:rPr>
            <w:webHidden/>
          </w:rPr>
          <w:instrText xml:space="preserve"> PAGEREF _Toc446518548 \h </w:instrText>
        </w:r>
        <w:r>
          <w:rPr>
            <w:webHidden/>
          </w:rPr>
        </w:r>
        <w:r>
          <w:rPr>
            <w:webHidden/>
          </w:rPr>
          <w:fldChar w:fldCharType="separate"/>
        </w:r>
        <w:r>
          <w:rPr>
            <w:webHidden/>
          </w:rPr>
          <w:t>4</w:t>
        </w:r>
        <w:r>
          <w:rPr>
            <w:webHidden/>
          </w:rPr>
          <w:fldChar w:fldCharType="end"/>
        </w:r>
      </w:hyperlink>
    </w:p>
    <w:p w14:paraId="20F98A64" w14:textId="77777777" w:rsidR="00256AF7" w:rsidRDefault="00256AF7">
      <w:pPr>
        <w:pStyle w:val="Verzeichnis2"/>
        <w:rPr>
          <w:rFonts w:asciiTheme="minorHAnsi" w:eastAsiaTheme="minorEastAsia" w:hAnsiTheme="minorHAnsi" w:cstheme="minorBidi"/>
          <w:sz w:val="24"/>
          <w:szCs w:val="24"/>
        </w:rPr>
      </w:pPr>
      <w:hyperlink w:anchor="_Toc446518549" w:history="1">
        <w:r w:rsidRPr="001F6956">
          <w:rPr>
            <w:rStyle w:val="Link"/>
          </w:rPr>
          <w:t>2.1</w:t>
        </w:r>
        <w:r>
          <w:rPr>
            <w:rFonts w:asciiTheme="minorHAnsi" w:eastAsiaTheme="minorEastAsia" w:hAnsiTheme="minorHAnsi" w:cstheme="minorBidi"/>
            <w:sz w:val="24"/>
            <w:szCs w:val="24"/>
          </w:rPr>
          <w:tab/>
        </w:r>
        <w:r w:rsidRPr="001F6956">
          <w:rPr>
            <w:rStyle w:val="Link"/>
          </w:rPr>
          <w:t>Innovation zur Existenzsicherung</w:t>
        </w:r>
        <w:r>
          <w:rPr>
            <w:webHidden/>
          </w:rPr>
          <w:tab/>
        </w:r>
        <w:r>
          <w:rPr>
            <w:webHidden/>
          </w:rPr>
          <w:fldChar w:fldCharType="begin"/>
        </w:r>
        <w:r>
          <w:rPr>
            <w:webHidden/>
          </w:rPr>
          <w:instrText xml:space="preserve"> PAGEREF _Toc446518549 \h </w:instrText>
        </w:r>
        <w:r>
          <w:rPr>
            <w:webHidden/>
          </w:rPr>
        </w:r>
        <w:r>
          <w:rPr>
            <w:webHidden/>
          </w:rPr>
          <w:fldChar w:fldCharType="separate"/>
        </w:r>
        <w:r>
          <w:rPr>
            <w:webHidden/>
          </w:rPr>
          <w:t>4</w:t>
        </w:r>
        <w:r>
          <w:rPr>
            <w:webHidden/>
          </w:rPr>
          <w:fldChar w:fldCharType="end"/>
        </w:r>
      </w:hyperlink>
    </w:p>
    <w:p w14:paraId="203EDB19" w14:textId="77777777" w:rsidR="00256AF7" w:rsidRDefault="00256AF7">
      <w:pPr>
        <w:pStyle w:val="Verzeichnis2"/>
        <w:rPr>
          <w:rFonts w:asciiTheme="minorHAnsi" w:eastAsiaTheme="minorEastAsia" w:hAnsiTheme="minorHAnsi" w:cstheme="minorBidi"/>
          <w:sz w:val="24"/>
          <w:szCs w:val="24"/>
        </w:rPr>
      </w:pPr>
      <w:hyperlink w:anchor="_Toc446518550" w:history="1">
        <w:r w:rsidRPr="001F6956">
          <w:rPr>
            <w:rStyle w:val="Link"/>
          </w:rPr>
          <w:t>2.2</w:t>
        </w:r>
        <w:r>
          <w:rPr>
            <w:rFonts w:asciiTheme="minorHAnsi" w:eastAsiaTheme="minorEastAsia" w:hAnsiTheme="minorHAnsi" w:cstheme="minorBidi"/>
            <w:sz w:val="24"/>
            <w:szCs w:val="24"/>
          </w:rPr>
          <w:tab/>
        </w:r>
        <w:r w:rsidRPr="001F6956">
          <w:rPr>
            <w:rStyle w:val="Link"/>
          </w:rPr>
          <w:t>Innovationssteuerung durch Produkt-Management</w:t>
        </w:r>
        <w:r>
          <w:rPr>
            <w:webHidden/>
          </w:rPr>
          <w:tab/>
        </w:r>
        <w:r>
          <w:rPr>
            <w:webHidden/>
          </w:rPr>
          <w:fldChar w:fldCharType="begin"/>
        </w:r>
        <w:r>
          <w:rPr>
            <w:webHidden/>
          </w:rPr>
          <w:instrText xml:space="preserve"> PAGEREF _Toc446518550 \h </w:instrText>
        </w:r>
        <w:r>
          <w:rPr>
            <w:webHidden/>
          </w:rPr>
        </w:r>
        <w:r>
          <w:rPr>
            <w:webHidden/>
          </w:rPr>
          <w:fldChar w:fldCharType="separate"/>
        </w:r>
        <w:r>
          <w:rPr>
            <w:webHidden/>
          </w:rPr>
          <w:t>7</w:t>
        </w:r>
        <w:r>
          <w:rPr>
            <w:webHidden/>
          </w:rPr>
          <w:fldChar w:fldCharType="end"/>
        </w:r>
      </w:hyperlink>
    </w:p>
    <w:p w14:paraId="26680D79" w14:textId="77777777" w:rsidR="00256AF7" w:rsidRDefault="00256AF7">
      <w:pPr>
        <w:pStyle w:val="Verzeichnis2"/>
        <w:rPr>
          <w:rFonts w:asciiTheme="minorHAnsi" w:eastAsiaTheme="minorEastAsia" w:hAnsiTheme="minorHAnsi" w:cstheme="minorBidi"/>
          <w:sz w:val="24"/>
          <w:szCs w:val="24"/>
        </w:rPr>
      </w:pPr>
      <w:hyperlink w:anchor="_Toc446518551" w:history="1">
        <w:r w:rsidRPr="001F6956">
          <w:rPr>
            <w:rStyle w:val="Link"/>
          </w:rPr>
          <w:t>2.3</w:t>
        </w:r>
        <w:r>
          <w:rPr>
            <w:rFonts w:asciiTheme="minorHAnsi" w:eastAsiaTheme="minorEastAsia" w:hAnsiTheme="minorHAnsi" w:cstheme="minorBidi"/>
            <w:sz w:val="24"/>
            <w:szCs w:val="24"/>
          </w:rPr>
          <w:tab/>
        </w:r>
        <w:r w:rsidRPr="001F6956">
          <w:rPr>
            <w:rStyle w:val="Link"/>
          </w:rPr>
          <w:t>Der Produktlebenszyklus</w:t>
        </w:r>
        <w:r>
          <w:rPr>
            <w:webHidden/>
          </w:rPr>
          <w:tab/>
        </w:r>
        <w:r>
          <w:rPr>
            <w:webHidden/>
          </w:rPr>
          <w:fldChar w:fldCharType="begin"/>
        </w:r>
        <w:r>
          <w:rPr>
            <w:webHidden/>
          </w:rPr>
          <w:instrText xml:space="preserve"> PAGEREF _Toc446518551 \h </w:instrText>
        </w:r>
        <w:r>
          <w:rPr>
            <w:webHidden/>
          </w:rPr>
        </w:r>
        <w:r>
          <w:rPr>
            <w:webHidden/>
          </w:rPr>
          <w:fldChar w:fldCharType="separate"/>
        </w:r>
        <w:r>
          <w:rPr>
            <w:webHidden/>
          </w:rPr>
          <w:t>8</w:t>
        </w:r>
        <w:r>
          <w:rPr>
            <w:webHidden/>
          </w:rPr>
          <w:fldChar w:fldCharType="end"/>
        </w:r>
      </w:hyperlink>
    </w:p>
    <w:p w14:paraId="00D9A810" w14:textId="77777777" w:rsidR="00256AF7" w:rsidRDefault="00256AF7">
      <w:pPr>
        <w:pStyle w:val="Verzeichnis2"/>
        <w:rPr>
          <w:rFonts w:asciiTheme="minorHAnsi" w:eastAsiaTheme="minorEastAsia" w:hAnsiTheme="minorHAnsi" w:cstheme="minorBidi"/>
          <w:sz w:val="24"/>
          <w:szCs w:val="24"/>
        </w:rPr>
      </w:pPr>
      <w:hyperlink w:anchor="_Toc446518552" w:history="1">
        <w:r w:rsidRPr="001F6956">
          <w:rPr>
            <w:rStyle w:val="Link"/>
          </w:rPr>
          <w:t>2.4</w:t>
        </w:r>
        <w:r>
          <w:rPr>
            <w:rFonts w:asciiTheme="minorHAnsi" w:eastAsiaTheme="minorEastAsia" w:hAnsiTheme="minorHAnsi" w:cstheme="minorBidi"/>
            <w:sz w:val="24"/>
            <w:szCs w:val="24"/>
          </w:rPr>
          <w:tab/>
        </w:r>
        <w:r w:rsidRPr="001F6956">
          <w:rPr>
            <w:rStyle w:val="Link"/>
          </w:rPr>
          <w:t>Produktveröffentlichung durch Standards im Release-Management</w:t>
        </w:r>
        <w:r>
          <w:rPr>
            <w:webHidden/>
          </w:rPr>
          <w:tab/>
        </w:r>
        <w:r>
          <w:rPr>
            <w:webHidden/>
          </w:rPr>
          <w:fldChar w:fldCharType="begin"/>
        </w:r>
        <w:r>
          <w:rPr>
            <w:webHidden/>
          </w:rPr>
          <w:instrText xml:space="preserve"> PAGEREF _Toc446518552 \h </w:instrText>
        </w:r>
        <w:r>
          <w:rPr>
            <w:webHidden/>
          </w:rPr>
        </w:r>
        <w:r>
          <w:rPr>
            <w:webHidden/>
          </w:rPr>
          <w:fldChar w:fldCharType="separate"/>
        </w:r>
        <w:r>
          <w:rPr>
            <w:webHidden/>
          </w:rPr>
          <w:t>10</w:t>
        </w:r>
        <w:r>
          <w:rPr>
            <w:webHidden/>
          </w:rPr>
          <w:fldChar w:fldCharType="end"/>
        </w:r>
      </w:hyperlink>
    </w:p>
    <w:p w14:paraId="39111DC4" w14:textId="77777777" w:rsidR="00256AF7" w:rsidRDefault="00256AF7">
      <w:pPr>
        <w:pStyle w:val="Verzeichnis1"/>
        <w:rPr>
          <w:rFonts w:asciiTheme="minorHAnsi" w:eastAsiaTheme="minorEastAsia" w:hAnsiTheme="minorHAnsi" w:cstheme="minorBidi"/>
          <w:b w:val="0"/>
          <w:sz w:val="24"/>
          <w:szCs w:val="24"/>
        </w:rPr>
      </w:pPr>
      <w:hyperlink w:anchor="_Toc446518553" w:history="1">
        <w:r w:rsidRPr="001F6956">
          <w:rPr>
            <w:rStyle w:val="Link"/>
          </w:rPr>
          <w:t>3</w:t>
        </w:r>
        <w:r>
          <w:rPr>
            <w:rFonts w:asciiTheme="minorHAnsi" w:eastAsiaTheme="minorEastAsia" w:hAnsiTheme="minorHAnsi" w:cstheme="minorBidi"/>
            <w:b w:val="0"/>
            <w:sz w:val="24"/>
            <w:szCs w:val="24"/>
          </w:rPr>
          <w:tab/>
        </w:r>
        <w:r w:rsidRPr="001F6956">
          <w:rPr>
            <w:rStyle w:val="Link"/>
          </w:rPr>
          <w:t>Entwurfsaspekte der Release-Management Standardtypen</w:t>
        </w:r>
        <w:r>
          <w:rPr>
            <w:webHidden/>
          </w:rPr>
          <w:tab/>
        </w:r>
        <w:r>
          <w:rPr>
            <w:webHidden/>
          </w:rPr>
          <w:fldChar w:fldCharType="begin"/>
        </w:r>
        <w:r>
          <w:rPr>
            <w:webHidden/>
          </w:rPr>
          <w:instrText xml:space="preserve"> PAGEREF _Toc446518553 \h </w:instrText>
        </w:r>
        <w:r>
          <w:rPr>
            <w:webHidden/>
          </w:rPr>
        </w:r>
        <w:r>
          <w:rPr>
            <w:webHidden/>
          </w:rPr>
          <w:fldChar w:fldCharType="separate"/>
        </w:r>
        <w:r>
          <w:rPr>
            <w:webHidden/>
          </w:rPr>
          <w:t>15</w:t>
        </w:r>
        <w:r>
          <w:rPr>
            <w:webHidden/>
          </w:rPr>
          <w:fldChar w:fldCharType="end"/>
        </w:r>
      </w:hyperlink>
    </w:p>
    <w:p w14:paraId="60AFCBA2" w14:textId="77777777" w:rsidR="00256AF7" w:rsidRDefault="00256AF7">
      <w:pPr>
        <w:pStyle w:val="Verzeichnis2"/>
        <w:rPr>
          <w:rFonts w:asciiTheme="minorHAnsi" w:eastAsiaTheme="minorEastAsia" w:hAnsiTheme="minorHAnsi" w:cstheme="minorBidi"/>
          <w:sz w:val="24"/>
          <w:szCs w:val="24"/>
        </w:rPr>
      </w:pPr>
      <w:hyperlink w:anchor="_Toc446518554" w:history="1">
        <w:r w:rsidRPr="001F6956">
          <w:rPr>
            <w:rStyle w:val="Link"/>
          </w:rPr>
          <w:t>3.1</w:t>
        </w:r>
        <w:r>
          <w:rPr>
            <w:rFonts w:asciiTheme="minorHAnsi" w:eastAsiaTheme="minorEastAsia" w:hAnsiTheme="minorHAnsi" w:cstheme="minorBidi"/>
            <w:sz w:val="24"/>
            <w:szCs w:val="24"/>
          </w:rPr>
          <w:tab/>
        </w:r>
        <w:r w:rsidRPr="001F6956">
          <w:rPr>
            <w:rStyle w:val="Link"/>
          </w:rPr>
          <w:t>Risiken innerhalb der Produktlebenszyklusphasen</w:t>
        </w:r>
        <w:r>
          <w:rPr>
            <w:webHidden/>
          </w:rPr>
          <w:tab/>
        </w:r>
        <w:r>
          <w:rPr>
            <w:webHidden/>
          </w:rPr>
          <w:fldChar w:fldCharType="begin"/>
        </w:r>
        <w:r>
          <w:rPr>
            <w:webHidden/>
          </w:rPr>
          <w:instrText xml:space="preserve"> PAGEREF _Toc446518554 \h </w:instrText>
        </w:r>
        <w:r>
          <w:rPr>
            <w:webHidden/>
          </w:rPr>
        </w:r>
        <w:r>
          <w:rPr>
            <w:webHidden/>
          </w:rPr>
          <w:fldChar w:fldCharType="separate"/>
        </w:r>
        <w:r>
          <w:rPr>
            <w:webHidden/>
          </w:rPr>
          <w:t>15</w:t>
        </w:r>
        <w:r>
          <w:rPr>
            <w:webHidden/>
          </w:rPr>
          <w:fldChar w:fldCharType="end"/>
        </w:r>
      </w:hyperlink>
    </w:p>
    <w:p w14:paraId="5323EC94" w14:textId="77777777" w:rsidR="00256AF7" w:rsidRDefault="00256AF7">
      <w:pPr>
        <w:pStyle w:val="Verzeichnis3"/>
        <w:rPr>
          <w:rFonts w:asciiTheme="minorHAnsi" w:eastAsiaTheme="minorEastAsia" w:hAnsiTheme="minorHAnsi" w:cstheme="minorBidi"/>
          <w:sz w:val="24"/>
          <w:szCs w:val="24"/>
        </w:rPr>
      </w:pPr>
      <w:hyperlink w:anchor="_Toc446518555" w:history="1">
        <w:r w:rsidRPr="001F6956">
          <w:rPr>
            <w:rStyle w:val="Link"/>
          </w:rPr>
          <w:t>3.1.1</w:t>
        </w:r>
        <w:r>
          <w:rPr>
            <w:rFonts w:asciiTheme="minorHAnsi" w:eastAsiaTheme="minorEastAsia" w:hAnsiTheme="minorHAnsi" w:cstheme="minorBidi"/>
            <w:sz w:val="24"/>
            <w:szCs w:val="24"/>
          </w:rPr>
          <w:tab/>
        </w:r>
        <w:r w:rsidRPr="001F6956">
          <w:rPr>
            <w:rStyle w:val="Link"/>
          </w:rPr>
          <w:t>Entwicklung</w:t>
        </w:r>
        <w:r>
          <w:rPr>
            <w:webHidden/>
          </w:rPr>
          <w:tab/>
        </w:r>
        <w:r>
          <w:rPr>
            <w:webHidden/>
          </w:rPr>
          <w:fldChar w:fldCharType="begin"/>
        </w:r>
        <w:r>
          <w:rPr>
            <w:webHidden/>
          </w:rPr>
          <w:instrText xml:space="preserve"> PAGEREF _Toc446518555 \h </w:instrText>
        </w:r>
        <w:r>
          <w:rPr>
            <w:webHidden/>
          </w:rPr>
        </w:r>
        <w:r>
          <w:rPr>
            <w:webHidden/>
          </w:rPr>
          <w:fldChar w:fldCharType="separate"/>
        </w:r>
        <w:r>
          <w:rPr>
            <w:webHidden/>
          </w:rPr>
          <w:t>15</w:t>
        </w:r>
        <w:r>
          <w:rPr>
            <w:webHidden/>
          </w:rPr>
          <w:fldChar w:fldCharType="end"/>
        </w:r>
      </w:hyperlink>
    </w:p>
    <w:p w14:paraId="2437C4BB" w14:textId="77777777" w:rsidR="00256AF7" w:rsidRDefault="00256AF7">
      <w:pPr>
        <w:pStyle w:val="Verzeichnis3"/>
        <w:rPr>
          <w:rFonts w:asciiTheme="minorHAnsi" w:eastAsiaTheme="minorEastAsia" w:hAnsiTheme="minorHAnsi" w:cstheme="minorBidi"/>
          <w:sz w:val="24"/>
          <w:szCs w:val="24"/>
        </w:rPr>
      </w:pPr>
      <w:hyperlink w:anchor="_Toc446518556" w:history="1">
        <w:r w:rsidRPr="001F6956">
          <w:rPr>
            <w:rStyle w:val="Link"/>
          </w:rPr>
          <w:t>3.1.2</w:t>
        </w:r>
        <w:r>
          <w:rPr>
            <w:rFonts w:asciiTheme="minorHAnsi" w:eastAsiaTheme="minorEastAsia" w:hAnsiTheme="minorHAnsi" w:cstheme="minorBidi"/>
            <w:sz w:val="24"/>
            <w:szCs w:val="24"/>
          </w:rPr>
          <w:tab/>
        </w:r>
        <w:r w:rsidRPr="001F6956">
          <w:rPr>
            <w:rStyle w:val="Link"/>
          </w:rPr>
          <w:t>Einführung</w:t>
        </w:r>
        <w:r>
          <w:rPr>
            <w:webHidden/>
          </w:rPr>
          <w:tab/>
        </w:r>
        <w:r>
          <w:rPr>
            <w:webHidden/>
          </w:rPr>
          <w:fldChar w:fldCharType="begin"/>
        </w:r>
        <w:r>
          <w:rPr>
            <w:webHidden/>
          </w:rPr>
          <w:instrText xml:space="preserve"> PAGEREF _Toc446518556 \h </w:instrText>
        </w:r>
        <w:r>
          <w:rPr>
            <w:webHidden/>
          </w:rPr>
        </w:r>
        <w:r>
          <w:rPr>
            <w:webHidden/>
          </w:rPr>
          <w:fldChar w:fldCharType="separate"/>
        </w:r>
        <w:r>
          <w:rPr>
            <w:webHidden/>
          </w:rPr>
          <w:t>15</w:t>
        </w:r>
        <w:r>
          <w:rPr>
            <w:webHidden/>
          </w:rPr>
          <w:fldChar w:fldCharType="end"/>
        </w:r>
      </w:hyperlink>
    </w:p>
    <w:p w14:paraId="0A83010B" w14:textId="77777777" w:rsidR="00256AF7" w:rsidRDefault="00256AF7">
      <w:pPr>
        <w:pStyle w:val="Verzeichnis3"/>
        <w:rPr>
          <w:rFonts w:asciiTheme="minorHAnsi" w:eastAsiaTheme="minorEastAsia" w:hAnsiTheme="minorHAnsi" w:cstheme="minorBidi"/>
          <w:sz w:val="24"/>
          <w:szCs w:val="24"/>
        </w:rPr>
      </w:pPr>
      <w:hyperlink w:anchor="_Toc446518557" w:history="1">
        <w:r w:rsidRPr="001F6956">
          <w:rPr>
            <w:rStyle w:val="Link"/>
          </w:rPr>
          <w:t>3.1.3</w:t>
        </w:r>
        <w:r>
          <w:rPr>
            <w:rFonts w:asciiTheme="minorHAnsi" w:eastAsiaTheme="minorEastAsia" w:hAnsiTheme="minorHAnsi" w:cstheme="minorBidi"/>
            <w:sz w:val="24"/>
            <w:szCs w:val="24"/>
          </w:rPr>
          <w:tab/>
        </w:r>
        <w:r w:rsidRPr="001F6956">
          <w:rPr>
            <w:rStyle w:val="Link"/>
          </w:rPr>
          <w:t>Wachstum</w:t>
        </w:r>
        <w:r>
          <w:rPr>
            <w:webHidden/>
          </w:rPr>
          <w:tab/>
        </w:r>
        <w:r>
          <w:rPr>
            <w:webHidden/>
          </w:rPr>
          <w:fldChar w:fldCharType="begin"/>
        </w:r>
        <w:r>
          <w:rPr>
            <w:webHidden/>
          </w:rPr>
          <w:instrText xml:space="preserve"> PAGEREF _Toc446518557 \h </w:instrText>
        </w:r>
        <w:r>
          <w:rPr>
            <w:webHidden/>
          </w:rPr>
        </w:r>
        <w:r>
          <w:rPr>
            <w:webHidden/>
          </w:rPr>
          <w:fldChar w:fldCharType="separate"/>
        </w:r>
        <w:r>
          <w:rPr>
            <w:webHidden/>
          </w:rPr>
          <w:t>15</w:t>
        </w:r>
        <w:r>
          <w:rPr>
            <w:webHidden/>
          </w:rPr>
          <w:fldChar w:fldCharType="end"/>
        </w:r>
      </w:hyperlink>
    </w:p>
    <w:p w14:paraId="5ECBC4EE" w14:textId="77777777" w:rsidR="00256AF7" w:rsidRDefault="00256AF7">
      <w:pPr>
        <w:pStyle w:val="Verzeichnis3"/>
        <w:rPr>
          <w:rFonts w:asciiTheme="minorHAnsi" w:eastAsiaTheme="minorEastAsia" w:hAnsiTheme="minorHAnsi" w:cstheme="minorBidi"/>
          <w:sz w:val="24"/>
          <w:szCs w:val="24"/>
        </w:rPr>
      </w:pPr>
      <w:hyperlink w:anchor="_Toc446518558" w:history="1">
        <w:r w:rsidRPr="001F6956">
          <w:rPr>
            <w:rStyle w:val="Link"/>
          </w:rPr>
          <w:t>3.1.4</w:t>
        </w:r>
        <w:r>
          <w:rPr>
            <w:rFonts w:asciiTheme="minorHAnsi" w:eastAsiaTheme="minorEastAsia" w:hAnsiTheme="minorHAnsi" w:cstheme="minorBidi"/>
            <w:sz w:val="24"/>
            <w:szCs w:val="24"/>
          </w:rPr>
          <w:tab/>
        </w:r>
        <w:r w:rsidRPr="001F6956">
          <w:rPr>
            <w:rStyle w:val="Link"/>
          </w:rPr>
          <w:t>Reife</w:t>
        </w:r>
        <w:r>
          <w:rPr>
            <w:webHidden/>
          </w:rPr>
          <w:tab/>
        </w:r>
        <w:r>
          <w:rPr>
            <w:webHidden/>
          </w:rPr>
          <w:fldChar w:fldCharType="begin"/>
        </w:r>
        <w:r>
          <w:rPr>
            <w:webHidden/>
          </w:rPr>
          <w:instrText xml:space="preserve"> PAGEREF _Toc446518558 \h </w:instrText>
        </w:r>
        <w:r>
          <w:rPr>
            <w:webHidden/>
          </w:rPr>
        </w:r>
        <w:r>
          <w:rPr>
            <w:webHidden/>
          </w:rPr>
          <w:fldChar w:fldCharType="separate"/>
        </w:r>
        <w:r>
          <w:rPr>
            <w:webHidden/>
          </w:rPr>
          <w:t>15</w:t>
        </w:r>
        <w:r>
          <w:rPr>
            <w:webHidden/>
          </w:rPr>
          <w:fldChar w:fldCharType="end"/>
        </w:r>
      </w:hyperlink>
    </w:p>
    <w:p w14:paraId="4A4ED8AB" w14:textId="77777777" w:rsidR="00256AF7" w:rsidRDefault="00256AF7">
      <w:pPr>
        <w:pStyle w:val="Verzeichnis3"/>
        <w:rPr>
          <w:rFonts w:asciiTheme="minorHAnsi" w:eastAsiaTheme="minorEastAsia" w:hAnsiTheme="minorHAnsi" w:cstheme="minorBidi"/>
          <w:sz w:val="24"/>
          <w:szCs w:val="24"/>
        </w:rPr>
      </w:pPr>
      <w:hyperlink w:anchor="_Toc446518559" w:history="1">
        <w:r w:rsidRPr="001F6956">
          <w:rPr>
            <w:rStyle w:val="Link"/>
          </w:rPr>
          <w:t>3.1.5</w:t>
        </w:r>
        <w:r>
          <w:rPr>
            <w:rFonts w:asciiTheme="minorHAnsi" w:eastAsiaTheme="minorEastAsia" w:hAnsiTheme="minorHAnsi" w:cstheme="minorBidi"/>
            <w:sz w:val="24"/>
            <w:szCs w:val="24"/>
          </w:rPr>
          <w:tab/>
        </w:r>
        <w:r w:rsidRPr="001F6956">
          <w:rPr>
            <w:rStyle w:val="Link"/>
          </w:rPr>
          <w:t>Sättigung</w:t>
        </w:r>
        <w:r>
          <w:rPr>
            <w:webHidden/>
          </w:rPr>
          <w:tab/>
        </w:r>
        <w:r>
          <w:rPr>
            <w:webHidden/>
          </w:rPr>
          <w:fldChar w:fldCharType="begin"/>
        </w:r>
        <w:r>
          <w:rPr>
            <w:webHidden/>
          </w:rPr>
          <w:instrText xml:space="preserve"> PAGEREF _Toc446518559 \h </w:instrText>
        </w:r>
        <w:r>
          <w:rPr>
            <w:webHidden/>
          </w:rPr>
        </w:r>
        <w:r>
          <w:rPr>
            <w:webHidden/>
          </w:rPr>
          <w:fldChar w:fldCharType="separate"/>
        </w:r>
        <w:r>
          <w:rPr>
            <w:webHidden/>
          </w:rPr>
          <w:t>15</w:t>
        </w:r>
        <w:r>
          <w:rPr>
            <w:webHidden/>
          </w:rPr>
          <w:fldChar w:fldCharType="end"/>
        </w:r>
      </w:hyperlink>
    </w:p>
    <w:p w14:paraId="4DDAFBC6" w14:textId="77777777" w:rsidR="00256AF7" w:rsidRDefault="00256AF7">
      <w:pPr>
        <w:pStyle w:val="Verzeichnis3"/>
        <w:rPr>
          <w:rFonts w:asciiTheme="minorHAnsi" w:eastAsiaTheme="minorEastAsia" w:hAnsiTheme="minorHAnsi" w:cstheme="minorBidi"/>
          <w:sz w:val="24"/>
          <w:szCs w:val="24"/>
        </w:rPr>
      </w:pPr>
      <w:hyperlink w:anchor="_Toc446518560" w:history="1">
        <w:r w:rsidRPr="001F6956">
          <w:rPr>
            <w:rStyle w:val="Link"/>
          </w:rPr>
          <w:t>3.1.6</w:t>
        </w:r>
        <w:r>
          <w:rPr>
            <w:rFonts w:asciiTheme="minorHAnsi" w:eastAsiaTheme="minorEastAsia" w:hAnsiTheme="minorHAnsi" w:cstheme="minorBidi"/>
            <w:sz w:val="24"/>
            <w:szCs w:val="24"/>
          </w:rPr>
          <w:tab/>
        </w:r>
        <w:r w:rsidRPr="001F6956">
          <w:rPr>
            <w:rStyle w:val="Link"/>
          </w:rPr>
          <w:t>Entsorgung</w:t>
        </w:r>
        <w:r>
          <w:rPr>
            <w:webHidden/>
          </w:rPr>
          <w:tab/>
        </w:r>
        <w:r>
          <w:rPr>
            <w:webHidden/>
          </w:rPr>
          <w:fldChar w:fldCharType="begin"/>
        </w:r>
        <w:r>
          <w:rPr>
            <w:webHidden/>
          </w:rPr>
          <w:instrText xml:space="preserve"> PAGEREF _Toc446518560 \h </w:instrText>
        </w:r>
        <w:r>
          <w:rPr>
            <w:webHidden/>
          </w:rPr>
        </w:r>
        <w:r>
          <w:rPr>
            <w:webHidden/>
          </w:rPr>
          <w:fldChar w:fldCharType="separate"/>
        </w:r>
        <w:r>
          <w:rPr>
            <w:webHidden/>
          </w:rPr>
          <w:t>16</w:t>
        </w:r>
        <w:r>
          <w:rPr>
            <w:webHidden/>
          </w:rPr>
          <w:fldChar w:fldCharType="end"/>
        </w:r>
      </w:hyperlink>
    </w:p>
    <w:p w14:paraId="64F9CB18" w14:textId="77777777" w:rsidR="00256AF7" w:rsidRDefault="00256AF7">
      <w:pPr>
        <w:pStyle w:val="Verzeichnis3"/>
        <w:rPr>
          <w:rFonts w:asciiTheme="minorHAnsi" w:eastAsiaTheme="minorEastAsia" w:hAnsiTheme="minorHAnsi" w:cstheme="minorBidi"/>
          <w:sz w:val="24"/>
          <w:szCs w:val="24"/>
        </w:rPr>
      </w:pPr>
      <w:hyperlink w:anchor="_Toc446518561" w:history="1">
        <w:r w:rsidRPr="001F6956">
          <w:rPr>
            <w:rStyle w:val="Link"/>
          </w:rPr>
          <w:t>3.1.7</w:t>
        </w:r>
        <w:r>
          <w:rPr>
            <w:rFonts w:asciiTheme="minorHAnsi" w:eastAsiaTheme="minorEastAsia" w:hAnsiTheme="minorHAnsi" w:cstheme="minorBidi"/>
            <w:sz w:val="24"/>
            <w:szCs w:val="24"/>
          </w:rPr>
          <w:tab/>
        </w:r>
        <w:r w:rsidRPr="001F6956">
          <w:rPr>
            <w:rStyle w:val="Link"/>
          </w:rPr>
          <w:t>Zusammenfassung der Risiken der einzelnen Phasen</w:t>
        </w:r>
        <w:r>
          <w:rPr>
            <w:webHidden/>
          </w:rPr>
          <w:tab/>
        </w:r>
        <w:r>
          <w:rPr>
            <w:webHidden/>
          </w:rPr>
          <w:fldChar w:fldCharType="begin"/>
        </w:r>
        <w:r>
          <w:rPr>
            <w:webHidden/>
          </w:rPr>
          <w:instrText xml:space="preserve"> PAGEREF _Toc446518561 \h </w:instrText>
        </w:r>
        <w:r>
          <w:rPr>
            <w:webHidden/>
          </w:rPr>
        </w:r>
        <w:r>
          <w:rPr>
            <w:webHidden/>
          </w:rPr>
          <w:fldChar w:fldCharType="separate"/>
        </w:r>
        <w:r>
          <w:rPr>
            <w:webHidden/>
          </w:rPr>
          <w:t>16</w:t>
        </w:r>
        <w:r>
          <w:rPr>
            <w:webHidden/>
          </w:rPr>
          <w:fldChar w:fldCharType="end"/>
        </w:r>
      </w:hyperlink>
    </w:p>
    <w:p w14:paraId="5DF154B3" w14:textId="77777777" w:rsidR="00256AF7" w:rsidRDefault="00256AF7">
      <w:pPr>
        <w:pStyle w:val="Verzeichnis2"/>
        <w:rPr>
          <w:rFonts w:asciiTheme="minorHAnsi" w:eastAsiaTheme="minorEastAsia" w:hAnsiTheme="minorHAnsi" w:cstheme="minorBidi"/>
          <w:sz w:val="24"/>
          <w:szCs w:val="24"/>
        </w:rPr>
      </w:pPr>
      <w:hyperlink w:anchor="_Toc446518562" w:history="1">
        <w:r w:rsidRPr="001F6956">
          <w:rPr>
            <w:rStyle w:val="Link"/>
          </w:rPr>
          <w:t>3.2</w:t>
        </w:r>
        <w:r>
          <w:rPr>
            <w:rFonts w:asciiTheme="minorHAnsi" w:eastAsiaTheme="minorEastAsia" w:hAnsiTheme="minorHAnsi" w:cstheme="minorBidi"/>
            <w:sz w:val="24"/>
            <w:szCs w:val="24"/>
          </w:rPr>
          <w:tab/>
        </w:r>
        <w:r w:rsidRPr="001F6956">
          <w:rPr>
            <w:rStyle w:val="Link"/>
          </w:rPr>
          <w:t>Methoden des Release-Managements zum Umgang mit Risiken</w:t>
        </w:r>
        <w:r>
          <w:rPr>
            <w:webHidden/>
          </w:rPr>
          <w:tab/>
        </w:r>
        <w:r>
          <w:rPr>
            <w:webHidden/>
          </w:rPr>
          <w:fldChar w:fldCharType="begin"/>
        </w:r>
        <w:r>
          <w:rPr>
            <w:webHidden/>
          </w:rPr>
          <w:instrText xml:space="preserve"> PAGEREF _Toc446518562 \h </w:instrText>
        </w:r>
        <w:r>
          <w:rPr>
            <w:webHidden/>
          </w:rPr>
        </w:r>
        <w:r>
          <w:rPr>
            <w:webHidden/>
          </w:rPr>
          <w:fldChar w:fldCharType="separate"/>
        </w:r>
        <w:r>
          <w:rPr>
            <w:webHidden/>
          </w:rPr>
          <w:t>16</w:t>
        </w:r>
        <w:r>
          <w:rPr>
            <w:webHidden/>
          </w:rPr>
          <w:fldChar w:fldCharType="end"/>
        </w:r>
      </w:hyperlink>
    </w:p>
    <w:p w14:paraId="0E4B2FF8" w14:textId="77777777" w:rsidR="00256AF7" w:rsidRDefault="00256AF7">
      <w:pPr>
        <w:pStyle w:val="Verzeichnis3"/>
        <w:rPr>
          <w:rFonts w:asciiTheme="minorHAnsi" w:eastAsiaTheme="minorEastAsia" w:hAnsiTheme="minorHAnsi" w:cstheme="minorBidi"/>
          <w:sz w:val="24"/>
          <w:szCs w:val="24"/>
        </w:rPr>
      </w:pPr>
      <w:hyperlink w:anchor="_Toc446518563" w:history="1">
        <w:r w:rsidRPr="001F6956">
          <w:rPr>
            <w:rStyle w:val="Link"/>
          </w:rPr>
          <w:t>3.2.1</w:t>
        </w:r>
        <w:r>
          <w:rPr>
            <w:rFonts w:asciiTheme="minorHAnsi" w:eastAsiaTheme="minorEastAsia" w:hAnsiTheme="minorHAnsi" w:cstheme="minorBidi"/>
            <w:sz w:val="24"/>
            <w:szCs w:val="24"/>
          </w:rPr>
          <w:tab/>
        </w:r>
        <w:r w:rsidRPr="001F6956">
          <w:rPr>
            <w:rStyle w:val="Link"/>
          </w:rPr>
          <w:t>Regelungen</w:t>
        </w:r>
        <w:r>
          <w:rPr>
            <w:webHidden/>
          </w:rPr>
          <w:tab/>
        </w:r>
        <w:r>
          <w:rPr>
            <w:webHidden/>
          </w:rPr>
          <w:fldChar w:fldCharType="begin"/>
        </w:r>
        <w:r>
          <w:rPr>
            <w:webHidden/>
          </w:rPr>
          <w:instrText xml:space="preserve"> PAGEREF _Toc446518563 \h </w:instrText>
        </w:r>
        <w:r>
          <w:rPr>
            <w:webHidden/>
          </w:rPr>
        </w:r>
        <w:r>
          <w:rPr>
            <w:webHidden/>
          </w:rPr>
          <w:fldChar w:fldCharType="separate"/>
        </w:r>
        <w:r>
          <w:rPr>
            <w:webHidden/>
          </w:rPr>
          <w:t>16</w:t>
        </w:r>
        <w:r>
          <w:rPr>
            <w:webHidden/>
          </w:rPr>
          <w:fldChar w:fldCharType="end"/>
        </w:r>
      </w:hyperlink>
    </w:p>
    <w:p w14:paraId="757C07DF" w14:textId="77777777" w:rsidR="00256AF7" w:rsidRDefault="00256AF7">
      <w:pPr>
        <w:pStyle w:val="Verzeichnis3"/>
        <w:rPr>
          <w:rFonts w:asciiTheme="minorHAnsi" w:eastAsiaTheme="minorEastAsia" w:hAnsiTheme="minorHAnsi" w:cstheme="minorBidi"/>
          <w:sz w:val="24"/>
          <w:szCs w:val="24"/>
        </w:rPr>
      </w:pPr>
      <w:hyperlink w:anchor="_Toc446518564" w:history="1">
        <w:r w:rsidRPr="001F6956">
          <w:rPr>
            <w:rStyle w:val="Link"/>
          </w:rPr>
          <w:t>3.2.2</w:t>
        </w:r>
        <w:r>
          <w:rPr>
            <w:rFonts w:asciiTheme="minorHAnsi" w:eastAsiaTheme="minorEastAsia" w:hAnsiTheme="minorHAnsi" w:cstheme="minorBidi"/>
            <w:sz w:val="24"/>
            <w:szCs w:val="24"/>
          </w:rPr>
          <w:tab/>
        </w:r>
        <w:r w:rsidRPr="001F6956">
          <w:rPr>
            <w:rStyle w:val="Link"/>
          </w:rPr>
          <w:t>Prozesse</w:t>
        </w:r>
        <w:r>
          <w:rPr>
            <w:webHidden/>
          </w:rPr>
          <w:tab/>
        </w:r>
        <w:r>
          <w:rPr>
            <w:webHidden/>
          </w:rPr>
          <w:fldChar w:fldCharType="begin"/>
        </w:r>
        <w:r>
          <w:rPr>
            <w:webHidden/>
          </w:rPr>
          <w:instrText xml:space="preserve"> PAGEREF _Toc446518564 \h </w:instrText>
        </w:r>
        <w:r>
          <w:rPr>
            <w:webHidden/>
          </w:rPr>
        </w:r>
        <w:r>
          <w:rPr>
            <w:webHidden/>
          </w:rPr>
          <w:fldChar w:fldCharType="separate"/>
        </w:r>
        <w:r>
          <w:rPr>
            <w:webHidden/>
          </w:rPr>
          <w:t>16</w:t>
        </w:r>
        <w:r>
          <w:rPr>
            <w:webHidden/>
          </w:rPr>
          <w:fldChar w:fldCharType="end"/>
        </w:r>
      </w:hyperlink>
    </w:p>
    <w:p w14:paraId="3246DA7E" w14:textId="77777777" w:rsidR="00256AF7" w:rsidRDefault="00256AF7">
      <w:pPr>
        <w:pStyle w:val="Verzeichnis3"/>
        <w:rPr>
          <w:rFonts w:asciiTheme="minorHAnsi" w:eastAsiaTheme="minorEastAsia" w:hAnsiTheme="minorHAnsi" w:cstheme="minorBidi"/>
          <w:sz w:val="24"/>
          <w:szCs w:val="24"/>
        </w:rPr>
      </w:pPr>
      <w:hyperlink w:anchor="_Toc446518565" w:history="1">
        <w:r w:rsidRPr="001F6956">
          <w:rPr>
            <w:rStyle w:val="Link"/>
          </w:rPr>
          <w:t>3.2.3</w:t>
        </w:r>
        <w:r>
          <w:rPr>
            <w:rFonts w:asciiTheme="minorHAnsi" w:eastAsiaTheme="minorEastAsia" w:hAnsiTheme="minorHAnsi" w:cstheme="minorBidi"/>
            <w:sz w:val="24"/>
            <w:szCs w:val="24"/>
          </w:rPr>
          <w:tab/>
        </w:r>
        <w:r w:rsidRPr="001F6956">
          <w:rPr>
            <w:rStyle w:val="Link"/>
          </w:rPr>
          <w:t>Standardisierung</w:t>
        </w:r>
        <w:r>
          <w:rPr>
            <w:webHidden/>
          </w:rPr>
          <w:tab/>
        </w:r>
        <w:r>
          <w:rPr>
            <w:webHidden/>
          </w:rPr>
          <w:fldChar w:fldCharType="begin"/>
        </w:r>
        <w:r>
          <w:rPr>
            <w:webHidden/>
          </w:rPr>
          <w:instrText xml:space="preserve"> PAGEREF _Toc446518565 \h </w:instrText>
        </w:r>
        <w:r>
          <w:rPr>
            <w:webHidden/>
          </w:rPr>
        </w:r>
        <w:r>
          <w:rPr>
            <w:webHidden/>
          </w:rPr>
          <w:fldChar w:fldCharType="separate"/>
        </w:r>
        <w:r>
          <w:rPr>
            <w:webHidden/>
          </w:rPr>
          <w:t>17</w:t>
        </w:r>
        <w:r>
          <w:rPr>
            <w:webHidden/>
          </w:rPr>
          <w:fldChar w:fldCharType="end"/>
        </w:r>
      </w:hyperlink>
    </w:p>
    <w:p w14:paraId="6338DD93" w14:textId="77777777" w:rsidR="00256AF7" w:rsidRDefault="00256AF7">
      <w:pPr>
        <w:pStyle w:val="Verzeichnis3"/>
        <w:rPr>
          <w:rFonts w:asciiTheme="minorHAnsi" w:eastAsiaTheme="minorEastAsia" w:hAnsiTheme="minorHAnsi" w:cstheme="minorBidi"/>
          <w:sz w:val="24"/>
          <w:szCs w:val="24"/>
        </w:rPr>
      </w:pPr>
      <w:hyperlink w:anchor="_Toc446518566" w:history="1">
        <w:r w:rsidRPr="001F6956">
          <w:rPr>
            <w:rStyle w:val="Link"/>
          </w:rPr>
          <w:t>3.2.4</w:t>
        </w:r>
        <w:r>
          <w:rPr>
            <w:rFonts w:asciiTheme="minorHAnsi" w:eastAsiaTheme="minorEastAsia" w:hAnsiTheme="minorHAnsi" w:cstheme="minorBidi"/>
            <w:sz w:val="24"/>
            <w:szCs w:val="24"/>
          </w:rPr>
          <w:tab/>
        </w:r>
        <w:r w:rsidRPr="001F6956">
          <w:rPr>
            <w:rStyle w:val="Link"/>
          </w:rPr>
          <w:t>Automatisierung</w:t>
        </w:r>
        <w:r>
          <w:rPr>
            <w:webHidden/>
          </w:rPr>
          <w:tab/>
        </w:r>
        <w:r>
          <w:rPr>
            <w:webHidden/>
          </w:rPr>
          <w:fldChar w:fldCharType="begin"/>
        </w:r>
        <w:r>
          <w:rPr>
            <w:webHidden/>
          </w:rPr>
          <w:instrText xml:space="preserve"> PAGEREF _Toc446518566 \h </w:instrText>
        </w:r>
        <w:r>
          <w:rPr>
            <w:webHidden/>
          </w:rPr>
        </w:r>
        <w:r>
          <w:rPr>
            <w:webHidden/>
          </w:rPr>
          <w:fldChar w:fldCharType="separate"/>
        </w:r>
        <w:r>
          <w:rPr>
            <w:webHidden/>
          </w:rPr>
          <w:t>17</w:t>
        </w:r>
        <w:r>
          <w:rPr>
            <w:webHidden/>
          </w:rPr>
          <w:fldChar w:fldCharType="end"/>
        </w:r>
      </w:hyperlink>
    </w:p>
    <w:p w14:paraId="17994D63" w14:textId="77777777" w:rsidR="00256AF7" w:rsidRDefault="00256AF7">
      <w:pPr>
        <w:pStyle w:val="Verzeichnis1"/>
        <w:rPr>
          <w:rFonts w:asciiTheme="minorHAnsi" w:eastAsiaTheme="minorEastAsia" w:hAnsiTheme="minorHAnsi" w:cstheme="minorBidi"/>
          <w:b w:val="0"/>
          <w:sz w:val="24"/>
          <w:szCs w:val="24"/>
        </w:rPr>
      </w:pPr>
      <w:hyperlink w:anchor="_Toc446518567" w:history="1">
        <w:r w:rsidRPr="001F6956">
          <w:rPr>
            <w:rStyle w:val="Link"/>
            <w:rFonts w:eastAsiaTheme="minorHAnsi"/>
          </w:rPr>
          <w:t>4</w:t>
        </w:r>
        <w:r>
          <w:rPr>
            <w:rFonts w:asciiTheme="minorHAnsi" w:eastAsiaTheme="minorEastAsia" w:hAnsiTheme="minorHAnsi" w:cstheme="minorBidi"/>
            <w:b w:val="0"/>
            <w:sz w:val="24"/>
            <w:szCs w:val="24"/>
          </w:rPr>
          <w:tab/>
        </w:r>
        <w:r w:rsidRPr="001F6956">
          <w:rPr>
            <w:rStyle w:val="Link"/>
          </w:rPr>
          <w:t>Konstruktion der Standardtypen zum Umgang mit den Risiken der Produktlebenszyklusphasen</w:t>
        </w:r>
        <w:r>
          <w:rPr>
            <w:webHidden/>
          </w:rPr>
          <w:tab/>
        </w:r>
        <w:r>
          <w:rPr>
            <w:webHidden/>
          </w:rPr>
          <w:fldChar w:fldCharType="begin"/>
        </w:r>
        <w:r>
          <w:rPr>
            <w:webHidden/>
          </w:rPr>
          <w:instrText xml:space="preserve"> PAGEREF _Toc446518567 \h </w:instrText>
        </w:r>
        <w:r>
          <w:rPr>
            <w:webHidden/>
          </w:rPr>
        </w:r>
        <w:r>
          <w:rPr>
            <w:webHidden/>
          </w:rPr>
          <w:fldChar w:fldCharType="separate"/>
        </w:r>
        <w:r>
          <w:rPr>
            <w:webHidden/>
          </w:rPr>
          <w:t>18</w:t>
        </w:r>
        <w:r>
          <w:rPr>
            <w:webHidden/>
          </w:rPr>
          <w:fldChar w:fldCharType="end"/>
        </w:r>
      </w:hyperlink>
    </w:p>
    <w:p w14:paraId="6F3A818A" w14:textId="77777777" w:rsidR="00256AF7" w:rsidRDefault="00256AF7">
      <w:pPr>
        <w:pStyle w:val="Verzeichnis2"/>
        <w:rPr>
          <w:rFonts w:asciiTheme="minorHAnsi" w:eastAsiaTheme="minorEastAsia" w:hAnsiTheme="minorHAnsi" w:cstheme="minorBidi"/>
          <w:sz w:val="24"/>
          <w:szCs w:val="24"/>
        </w:rPr>
      </w:pPr>
      <w:hyperlink w:anchor="_Toc446518568" w:history="1">
        <w:r w:rsidRPr="001F6956">
          <w:rPr>
            <w:rStyle w:val="Link"/>
          </w:rPr>
          <w:t>4.1</w:t>
        </w:r>
        <w:r>
          <w:rPr>
            <w:rFonts w:asciiTheme="minorHAnsi" w:eastAsiaTheme="minorEastAsia" w:hAnsiTheme="minorHAnsi" w:cstheme="minorBidi"/>
            <w:sz w:val="24"/>
            <w:szCs w:val="24"/>
          </w:rPr>
          <w:tab/>
        </w:r>
        <w:r w:rsidRPr="001F6956">
          <w:rPr>
            <w:rStyle w:val="Link"/>
          </w:rPr>
          <w:t>DevOps</w:t>
        </w:r>
        <w:r>
          <w:rPr>
            <w:webHidden/>
          </w:rPr>
          <w:tab/>
        </w:r>
        <w:r>
          <w:rPr>
            <w:webHidden/>
          </w:rPr>
          <w:fldChar w:fldCharType="begin"/>
        </w:r>
        <w:r>
          <w:rPr>
            <w:webHidden/>
          </w:rPr>
          <w:instrText xml:space="preserve"> PAGEREF _Toc446518568 \h </w:instrText>
        </w:r>
        <w:r>
          <w:rPr>
            <w:webHidden/>
          </w:rPr>
        </w:r>
        <w:r>
          <w:rPr>
            <w:webHidden/>
          </w:rPr>
          <w:fldChar w:fldCharType="separate"/>
        </w:r>
        <w:r>
          <w:rPr>
            <w:webHidden/>
          </w:rPr>
          <w:t>18</w:t>
        </w:r>
        <w:r>
          <w:rPr>
            <w:webHidden/>
          </w:rPr>
          <w:fldChar w:fldCharType="end"/>
        </w:r>
      </w:hyperlink>
    </w:p>
    <w:p w14:paraId="32887C47" w14:textId="77777777" w:rsidR="00256AF7" w:rsidRDefault="00256AF7">
      <w:pPr>
        <w:pStyle w:val="Verzeichnis2"/>
        <w:rPr>
          <w:rFonts w:asciiTheme="minorHAnsi" w:eastAsiaTheme="minorEastAsia" w:hAnsiTheme="minorHAnsi" w:cstheme="minorBidi"/>
          <w:sz w:val="24"/>
          <w:szCs w:val="24"/>
        </w:rPr>
      </w:pPr>
      <w:hyperlink w:anchor="_Toc446518569" w:history="1">
        <w:r w:rsidRPr="001F6956">
          <w:rPr>
            <w:rStyle w:val="Link"/>
          </w:rPr>
          <w:t>4.2</w:t>
        </w:r>
        <w:r>
          <w:rPr>
            <w:rFonts w:asciiTheme="minorHAnsi" w:eastAsiaTheme="minorEastAsia" w:hAnsiTheme="minorHAnsi" w:cstheme="minorBidi"/>
            <w:sz w:val="24"/>
            <w:szCs w:val="24"/>
          </w:rPr>
          <w:tab/>
        </w:r>
        <w:r w:rsidRPr="001F6956">
          <w:rPr>
            <w:rStyle w:val="Link"/>
          </w:rPr>
          <w:t>Formell</w:t>
        </w:r>
        <w:r>
          <w:rPr>
            <w:webHidden/>
          </w:rPr>
          <w:tab/>
        </w:r>
        <w:r>
          <w:rPr>
            <w:webHidden/>
          </w:rPr>
          <w:fldChar w:fldCharType="begin"/>
        </w:r>
        <w:r>
          <w:rPr>
            <w:webHidden/>
          </w:rPr>
          <w:instrText xml:space="preserve"> PAGEREF _Toc446518569 \h </w:instrText>
        </w:r>
        <w:r>
          <w:rPr>
            <w:webHidden/>
          </w:rPr>
        </w:r>
        <w:r>
          <w:rPr>
            <w:webHidden/>
          </w:rPr>
          <w:fldChar w:fldCharType="separate"/>
        </w:r>
        <w:r>
          <w:rPr>
            <w:webHidden/>
          </w:rPr>
          <w:t>18</w:t>
        </w:r>
        <w:r>
          <w:rPr>
            <w:webHidden/>
          </w:rPr>
          <w:fldChar w:fldCharType="end"/>
        </w:r>
      </w:hyperlink>
    </w:p>
    <w:p w14:paraId="39146E0F" w14:textId="77777777" w:rsidR="00256AF7" w:rsidRDefault="00256AF7">
      <w:pPr>
        <w:pStyle w:val="Verzeichnis2"/>
        <w:rPr>
          <w:rFonts w:asciiTheme="minorHAnsi" w:eastAsiaTheme="minorEastAsia" w:hAnsiTheme="minorHAnsi" w:cstheme="minorBidi"/>
          <w:sz w:val="24"/>
          <w:szCs w:val="24"/>
        </w:rPr>
      </w:pPr>
      <w:hyperlink w:anchor="_Toc446518570" w:history="1">
        <w:r w:rsidRPr="001F6956">
          <w:rPr>
            <w:rStyle w:val="Link"/>
          </w:rPr>
          <w:t>4.3</w:t>
        </w:r>
        <w:r>
          <w:rPr>
            <w:rFonts w:asciiTheme="minorHAnsi" w:eastAsiaTheme="minorEastAsia" w:hAnsiTheme="minorHAnsi" w:cstheme="minorBidi"/>
            <w:sz w:val="24"/>
            <w:szCs w:val="24"/>
          </w:rPr>
          <w:tab/>
        </w:r>
        <w:r w:rsidRPr="001F6956">
          <w:rPr>
            <w:rStyle w:val="Link"/>
          </w:rPr>
          <w:t>Individuell</w:t>
        </w:r>
        <w:r>
          <w:rPr>
            <w:webHidden/>
          </w:rPr>
          <w:tab/>
        </w:r>
        <w:r>
          <w:rPr>
            <w:webHidden/>
          </w:rPr>
          <w:fldChar w:fldCharType="begin"/>
        </w:r>
        <w:r>
          <w:rPr>
            <w:webHidden/>
          </w:rPr>
          <w:instrText xml:space="preserve"> PAGEREF _Toc446518570 \h </w:instrText>
        </w:r>
        <w:r>
          <w:rPr>
            <w:webHidden/>
          </w:rPr>
        </w:r>
        <w:r>
          <w:rPr>
            <w:webHidden/>
          </w:rPr>
          <w:fldChar w:fldCharType="separate"/>
        </w:r>
        <w:r>
          <w:rPr>
            <w:webHidden/>
          </w:rPr>
          <w:t>18</w:t>
        </w:r>
        <w:r>
          <w:rPr>
            <w:webHidden/>
          </w:rPr>
          <w:fldChar w:fldCharType="end"/>
        </w:r>
      </w:hyperlink>
    </w:p>
    <w:p w14:paraId="5FCF0D1D" w14:textId="77777777" w:rsidR="00256AF7" w:rsidRDefault="00256AF7">
      <w:pPr>
        <w:pStyle w:val="Verzeichnis1"/>
        <w:rPr>
          <w:rFonts w:asciiTheme="minorHAnsi" w:eastAsiaTheme="minorEastAsia" w:hAnsiTheme="minorHAnsi" w:cstheme="minorBidi"/>
          <w:b w:val="0"/>
          <w:sz w:val="24"/>
          <w:szCs w:val="24"/>
        </w:rPr>
      </w:pPr>
      <w:hyperlink w:anchor="_Toc446518571" w:history="1">
        <w:r w:rsidRPr="001F6956">
          <w:rPr>
            <w:rStyle w:val="Link"/>
          </w:rPr>
          <w:t>5</w:t>
        </w:r>
        <w:r>
          <w:rPr>
            <w:rFonts w:asciiTheme="minorHAnsi" w:eastAsiaTheme="minorEastAsia" w:hAnsiTheme="minorHAnsi" w:cstheme="minorBidi"/>
            <w:b w:val="0"/>
            <w:sz w:val="24"/>
            <w:szCs w:val="24"/>
          </w:rPr>
          <w:tab/>
        </w:r>
        <w:r w:rsidRPr="001F6956">
          <w:rPr>
            <w:rStyle w:val="Link"/>
          </w:rPr>
          <w:t>Kritische Würdigung der Standardtypen</w:t>
        </w:r>
        <w:r>
          <w:rPr>
            <w:webHidden/>
          </w:rPr>
          <w:tab/>
        </w:r>
        <w:r>
          <w:rPr>
            <w:webHidden/>
          </w:rPr>
          <w:fldChar w:fldCharType="begin"/>
        </w:r>
        <w:r>
          <w:rPr>
            <w:webHidden/>
          </w:rPr>
          <w:instrText xml:space="preserve"> PAGEREF _Toc446518571 \h </w:instrText>
        </w:r>
        <w:r>
          <w:rPr>
            <w:webHidden/>
          </w:rPr>
        </w:r>
        <w:r>
          <w:rPr>
            <w:webHidden/>
          </w:rPr>
          <w:fldChar w:fldCharType="separate"/>
        </w:r>
        <w:r>
          <w:rPr>
            <w:webHidden/>
          </w:rPr>
          <w:t>19</w:t>
        </w:r>
        <w:r>
          <w:rPr>
            <w:webHidden/>
          </w:rPr>
          <w:fldChar w:fldCharType="end"/>
        </w:r>
      </w:hyperlink>
    </w:p>
    <w:p w14:paraId="2536FF4F" w14:textId="77777777" w:rsidR="00256AF7" w:rsidRDefault="00256AF7">
      <w:pPr>
        <w:pStyle w:val="Verzeichnis1"/>
        <w:rPr>
          <w:rFonts w:asciiTheme="minorHAnsi" w:eastAsiaTheme="minorEastAsia" w:hAnsiTheme="minorHAnsi" w:cstheme="minorBidi"/>
          <w:b w:val="0"/>
          <w:sz w:val="24"/>
          <w:szCs w:val="24"/>
        </w:rPr>
      </w:pPr>
      <w:hyperlink w:anchor="_Toc446518572" w:history="1">
        <w:r w:rsidRPr="001F6956">
          <w:rPr>
            <w:rStyle w:val="Link"/>
          </w:rPr>
          <w:t>6</w:t>
        </w:r>
        <w:r>
          <w:rPr>
            <w:rFonts w:asciiTheme="minorHAnsi" w:eastAsiaTheme="minorEastAsia" w:hAnsiTheme="minorHAnsi" w:cstheme="minorBidi"/>
            <w:b w:val="0"/>
            <w:sz w:val="24"/>
            <w:szCs w:val="24"/>
          </w:rPr>
          <w:tab/>
        </w:r>
        <w:r w:rsidRPr="001F6956">
          <w:rPr>
            <w:rStyle w:val="Link"/>
          </w:rPr>
          <w:t>Demonstration der Standardtypen am Fallbeispiel DPDHL Group</w:t>
        </w:r>
        <w:r>
          <w:rPr>
            <w:webHidden/>
          </w:rPr>
          <w:tab/>
        </w:r>
        <w:r>
          <w:rPr>
            <w:webHidden/>
          </w:rPr>
          <w:fldChar w:fldCharType="begin"/>
        </w:r>
        <w:r>
          <w:rPr>
            <w:webHidden/>
          </w:rPr>
          <w:instrText xml:space="preserve"> PAGEREF _Toc446518572 \h </w:instrText>
        </w:r>
        <w:r>
          <w:rPr>
            <w:webHidden/>
          </w:rPr>
        </w:r>
        <w:r>
          <w:rPr>
            <w:webHidden/>
          </w:rPr>
          <w:fldChar w:fldCharType="separate"/>
        </w:r>
        <w:r>
          <w:rPr>
            <w:webHidden/>
          </w:rPr>
          <w:t>20</w:t>
        </w:r>
        <w:r>
          <w:rPr>
            <w:webHidden/>
          </w:rPr>
          <w:fldChar w:fldCharType="end"/>
        </w:r>
      </w:hyperlink>
    </w:p>
    <w:p w14:paraId="49ED3125" w14:textId="77777777" w:rsidR="00256AF7" w:rsidRDefault="00256AF7">
      <w:pPr>
        <w:pStyle w:val="Verzeichnis1"/>
        <w:rPr>
          <w:rFonts w:asciiTheme="minorHAnsi" w:eastAsiaTheme="minorEastAsia" w:hAnsiTheme="minorHAnsi" w:cstheme="minorBidi"/>
          <w:b w:val="0"/>
          <w:sz w:val="24"/>
          <w:szCs w:val="24"/>
        </w:rPr>
      </w:pPr>
      <w:hyperlink w:anchor="_Toc446518573" w:history="1">
        <w:r w:rsidRPr="001F6956">
          <w:rPr>
            <w:rStyle w:val="Link"/>
          </w:rPr>
          <w:t>7</w:t>
        </w:r>
        <w:r>
          <w:rPr>
            <w:rFonts w:asciiTheme="minorHAnsi" w:eastAsiaTheme="minorEastAsia" w:hAnsiTheme="minorHAnsi" w:cstheme="minorBidi"/>
            <w:b w:val="0"/>
            <w:sz w:val="24"/>
            <w:szCs w:val="24"/>
          </w:rPr>
          <w:tab/>
        </w:r>
        <w:r w:rsidRPr="001F6956">
          <w:rPr>
            <w:rStyle w:val="Link"/>
          </w:rPr>
          <w:t>Evaluation der Zielerreichung und Ausblick</w:t>
        </w:r>
        <w:r>
          <w:rPr>
            <w:webHidden/>
          </w:rPr>
          <w:tab/>
        </w:r>
        <w:r>
          <w:rPr>
            <w:webHidden/>
          </w:rPr>
          <w:fldChar w:fldCharType="begin"/>
        </w:r>
        <w:r>
          <w:rPr>
            <w:webHidden/>
          </w:rPr>
          <w:instrText xml:space="preserve"> PAGEREF _Toc446518573 \h </w:instrText>
        </w:r>
        <w:r>
          <w:rPr>
            <w:webHidden/>
          </w:rPr>
        </w:r>
        <w:r>
          <w:rPr>
            <w:webHidden/>
          </w:rPr>
          <w:fldChar w:fldCharType="separate"/>
        </w:r>
        <w:r>
          <w:rPr>
            <w:webHidden/>
          </w:rPr>
          <w:t>21</w:t>
        </w:r>
        <w:r>
          <w:rPr>
            <w:webHidden/>
          </w:rPr>
          <w:fldChar w:fldCharType="end"/>
        </w:r>
      </w:hyperlink>
    </w:p>
    <w:p w14:paraId="2B83422B" w14:textId="77777777" w:rsidR="00256AF7" w:rsidRDefault="00256AF7">
      <w:pPr>
        <w:pStyle w:val="Verzeichnis1"/>
        <w:rPr>
          <w:rFonts w:asciiTheme="minorHAnsi" w:eastAsiaTheme="minorEastAsia" w:hAnsiTheme="minorHAnsi" w:cstheme="minorBidi"/>
          <w:b w:val="0"/>
          <w:sz w:val="24"/>
          <w:szCs w:val="24"/>
        </w:rPr>
      </w:pPr>
      <w:hyperlink w:anchor="_Toc446518574" w:history="1">
        <w:r w:rsidRPr="001F6956">
          <w:rPr>
            <w:rStyle w:val="Link"/>
          </w:rPr>
          <w:t>8</w:t>
        </w:r>
        <w:r>
          <w:rPr>
            <w:rFonts w:asciiTheme="minorHAnsi" w:eastAsiaTheme="minorEastAsia" w:hAnsiTheme="minorHAnsi" w:cstheme="minorBidi"/>
            <w:b w:val="0"/>
            <w:sz w:val="24"/>
            <w:szCs w:val="24"/>
          </w:rPr>
          <w:tab/>
        </w:r>
        <w:r w:rsidRPr="001F6956">
          <w:rPr>
            <w:rStyle w:val="Link"/>
          </w:rPr>
          <w:t>Literaturverzeichnis</w:t>
        </w:r>
        <w:r>
          <w:rPr>
            <w:webHidden/>
          </w:rPr>
          <w:tab/>
        </w:r>
        <w:r>
          <w:rPr>
            <w:webHidden/>
          </w:rPr>
          <w:fldChar w:fldCharType="begin"/>
        </w:r>
        <w:r>
          <w:rPr>
            <w:webHidden/>
          </w:rPr>
          <w:instrText xml:space="preserve"> PAGEREF _Toc446518574 \h </w:instrText>
        </w:r>
        <w:r>
          <w:rPr>
            <w:webHidden/>
          </w:rPr>
        </w:r>
        <w:r>
          <w:rPr>
            <w:webHidden/>
          </w:rPr>
          <w:fldChar w:fldCharType="separate"/>
        </w:r>
        <w:r>
          <w:rPr>
            <w:webHidden/>
          </w:rPr>
          <w:t>22</w:t>
        </w:r>
        <w:r>
          <w:rPr>
            <w:webHidden/>
          </w:rPr>
          <w:fldChar w:fldCharType="end"/>
        </w:r>
      </w:hyperlink>
    </w:p>
    <w:p w14:paraId="658E2A69" w14:textId="77777777" w:rsidR="00256AF7" w:rsidRDefault="00256AF7">
      <w:pPr>
        <w:pStyle w:val="Verzeichnis1"/>
        <w:rPr>
          <w:rFonts w:asciiTheme="minorHAnsi" w:eastAsiaTheme="minorEastAsia" w:hAnsiTheme="minorHAnsi" w:cstheme="minorBidi"/>
          <w:b w:val="0"/>
          <w:sz w:val="24"/>
          <w:szCs w:val="24"/>
        </w:rPr>
      </w:pPr>
      <w:hyperlink w:anchor="_Toc446518575" w:history="1">
        <w:r w:rsidRPr="001F6956">
          <w:rPr>
            <w:rStyle w:val="Link"/>
          </w:rPr>
          <w:t>Erklärung</w:t>
        </w:r>
        <w:r>
          <w:rPr>
            <w:webHidden/>
          </w:rPr>
          <w:tab/>
        </w:r>
        <w:r>
          <w:rPr>
            <w:webHidden/>
          </w:rPr>
          <w:fldChar w:fldCharType="begin"/>
        </w:r>
        <w:r>
          <w:rPr>
            <w:webHidden/>
          </w:rPr>
          <w:instrText xml:space="preserve"> PAGEREF _Toc446518575 \h </w:instrText>
        </w:r>
        <w:r>
          <w:rPr>
            <w:webHidden/>
          </w:rPr>
        </w:r>
        <w:r>
          <w:rPr>
            <w:webHidden/>
          </w:rPr>
          <w:fldChar w:fldCharType="separate"/>
        </w:r>
        <w:r>
          <w:rPr>
            <w:webHidden/>
          </w:rPr>
          <w:t>24</w:t>
        </w:r>
        <w:r>
          <w:rPr>
            <w:webHidden/>
          </w:rPr>
          <w:fldChar w:fldCharType="end"/>
        </w:r>
      </w:hyperlink>
    </w:p>
    <w:p w14:paraId="277748B5" w14:textId="77777777" w:rsidR="00F144F5" w:rsidRPr="00914102" w:rsidRDefault="000C5D7B" w:rsidP="00F144F5">
      <w:r>
        <w:rPr>
          <w:noProof/>
        </w:rPr>
        <w:lastRenderedPageBreak/>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5" w:name="_Toc446518544"/>
      <w:r>
        <w:lastRenderedPageBreak/>
        <w:t>A</w:t>
      </w:r>
      <w:r w:rsidR="00F144F5" w:rsidRPr="00753DE5">
        <w:t>bbildungsverzeichnis</w:t>
      </w:r>
      <w:bookmarkEnd w:id="15"/>
    </w:p>
    <w:p w14:paraId="0658A3F5" w14:textId="77777777" w:rsidR="00BB49B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B49BE" w:rsidRPr="003342F9">
        <w:rPr>
          <w:b/>
          <w:noProof/>
        </w:rPr>
        <w:t>Abbildung 2.1: Zusammenhang Time to Market</w:t>
      </w:r>
      <w:r w:rsidR="00BB49BE">
        <w:rPr>
          <w:noProof/>
        </w:rPr>
        <w:tab/>
      </w:r>
      <w:r w:rsidR="00BB49BE">
        <w:rPr>
          <w:noProof/>
        </w:rPr>
        <w:fldChar w:fldCharType="begin"/>
      </w:r>
      <w:r w:rsidR="00BB49BE">
        <w:rPr>
          <w:noProof/>
        </w:rPr>
        <w:instrText xml:space="preserve"> PAGEREF _Toc446517473 \h </w:instrText>
      </w:r>
      <w:r w:rsidR="00BB49BE">
        <w:rPr>
          <w:noProof/>
        </w:rPr>
      </w:r>
      <w:r w:rsidR="00BB49BE">
        <w:rPr>
          <w:noProof/>
        </w:rPr>
        <w:fldChar w:fldCharType="separate"/>
      </w:r>
      <w:r w:rsidR="00BB49BE">
        <w:rPr>
          <w:noProof/>
        </w:rPr>
        <w:t>6</w:t>
      </w:r>
      <w:r w:rsidR="00BB49BE">
        <w:rPr>
          <w:noProof/>
        </w:rPr>
        <w:fldChar w:fldCharType="end"/>
      </w:r>
    </w:p>
    <w:p w14:paraId="119697F8" w14:textId="77777777" w:rsidR="00BB49BE" w:rsidRDefault="00BB49BE">
      <w:pPr>
        <w:pStyle w:val="Abbildungsverzeichnis"/>
        <w:rPr>
          <w:rFonts w:asciiTheme="minorHAnsi" w:eastAsiaTheme="minorEastAsia" w:hAnsiTheme="minorHAnsi" w:cstheme="minorBidi"/>
          <w:noProof/>
          <w:sz w:val="24"/>
          <w:szCs w:val="24"/>
        </w:rPr>
      </w:pPr>
      <w:r w:rsidRPr="003342F9">
        <w:rPr>
          <w:b/>
          <w:noProof/>
        </w:rPr>
        <w:t>Abbildung 2.2: Zusammenhang Produkt zu Release</w:t>
      </w:r>
      <w:r>
        <w:rPr>
          <w:noProof/>
        </w:rPr>
        <w:tab/>
      </w:r>
      <w:r>
        <w:rPr>
          <w:noProof/>
        </w:rPr>
        <w:fldChar w:fldCharType="begin"/>
      </w:r>
      <w:r>
        <w:rPr>
          <w:noProof/>
        </w:rPr>
        <w:instrText xml:space="preserve"> PAGEREF _Toc446517474 \h </w:instrText>
      </w:r>
      <w:r>
        <w:rPr>
          <w:noProof/>
        </w:rPr>
      </w:r>
      <w:r>
        <w:rPr>
          <w:noProof/>
        </w:rPr>
        <w:fldChar w:fldCharType="separate"/>
      </w:r>
      <w:r>
        <w:rPr>
          <w:noProof/>
        </w:rPr>
        <w:t>11</w:t>
      </w:r>
      <w:r>
        <w:rPr>
          <w:noProof/>
        </w:rPr>
        <w:fldChar w:fldCharType="end"/>
      </w:r>
    </w:p>
    <w:p w14:paraId="5950ADC7" w14:textId="77777777" w:rsidR="00BB49BE" w:rsidRDefault="00BB49BE">
      <w:pPr>
        <w:pStyle w:val="Abbildungsverzeichnis"/>
        <w:rPr>
          <w:rFonts w:asciiTheme="minorHAnsi" w:eastAsiaTheme="minorEastAsia" w:hAnsiTheme="minorHAnsi" w:cstheme="minorBidi"/>
          <w:noProof/>
          <w:sz w:val="24"/>
          <w:szCs w:val="24"/>
        </w:rPr>
      </w:pPr>
      <w:r w:rsidRPr="003342F9">
        <w:rPr>
          <w:b/>
          <w:noProof/>
        </w:rPr>
        <w:t>Abbildung 2.3: Überblick ITIL</w:t>
      </w:r>
      <w:r>
        <w:rPr>
          <w:noProof/>
        </w:rPr>
        <w:tab/>
      </w:r>
      <w:r>
        <w:rPr>
          <w:noProof/>
        </w:rPr>
        <w:fldChar w:fldCharType="begin"/>
      </w:r>
      <w:r>
        <w:rPr>
          <w:noProof/>
        </w:rPr>
        <w:instrText xml:space="preserve"> PAGEREF _Toc446517475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6518545"/>
      <w:r w:rsidRPr="00753DE5">
        <w:lastRenderedPageBreak/>
        <w:t>Tabellenverzeichnis</w:t>
      </w:r>
      <w:bookmarkEnd w:id="16"/>
    </w:p>
    <w:p w14:paraId="2FA4EA1A" w14:textId="77777777" w:rsidR="00BB49B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B49BE" w:rsidRPr="005C5E5D">
        <w:rPr>
          <w:b/>
          <w:noProof/>
        </w:rPr>
        <w:t>Tabelle 2.1: Zuordnung der Produktlebenszyklusphasen</w:t>
      </w:r>
      <w:r w:rsidR="00BB49BE">
        <w:rPr>
          <w:noProof/>
        </w:rPr>
        <w:tab/>
      </w:r>
      <w:r w:rsidR="00BB49BE">
        <w:rPr>
          <w:noProof/>
        </w:rPr>
        <w:fldChar w:fldCharType="begin"/>
      </w:r>
      <w:r w:rsidR="00BB49BE">
        <w:rPr>
          <w:noProof/>
        </w:rPr>
        <w:instrText xml:space="preserve"> PAGEREF _Toc446517468 \h </w:instrText>
      </w:r>
      <w:r w:rsidR="00BB49BE">
        <w:rPr>
          <w:noProof/>
        </w:rPr>
      </w:r>
      <w:r w:rsidR="00BB49BE">
        <w:rPr>
          <w:noProof/>
        </w:rPr>
        <w:fldChar w:fldCharType="separate"/>
      </w:r>
      <w:r w:rsidR="00BB49BE">
        <w:rPr>
          <w:noProof/>
        </w:rPr>
        <w:t>10</w:t>
      </w:r>
      <w:r w:rsidR="00BB49BE">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6518546"/>
      <w:proofErr w:type="spellStart"/>
      <w:r w:rsidRPr="009B052B">
        <w:rPr>
          <w:lang w:val="en-US"/>
        </w:rPr>
        <w:lastRenderedPageBreak/>
        <w:t>Abkürzungsverzeichnis</w:t>
      </w:r>
      <w:bookmarkEnd w:id="18"/>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Ref445636100"/>
      <w:bookmarkStart w:id="20" w:name="_Toc446518547"/>
      <w:r>
        <w:lastRenderedPageBreak/>
        <w:t>Einleitung</w:t>
      </w:r>
      <w:bookmarkEnd w:id="19"/>
      <w:bookmarkEnd w:id="20"/>
    </w:p>
    <w:p w14:paraId="07CC0560" w14:textId="5A0B467D" w:rsidR="00741159" w:rsidRDefault="00741159" w:rsidP="0070203B">
      <w:commentRangeStart w:id="21"/>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1"/>
      <w:r>
        <w:rPr>
          <w:rStyle w:val="Kommentarzeichen"/>
        </w:rPr>
        <w:commentReference w:id="21"/>
      </w:r>
    </w:p>
    <w:p w14:paraId="10A70DE1" w14:textId="1E3FD3CF"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2"/>
      <w:r w:rsidR="00803CAA">
        <w:t>Unternehmen in</w:t>
      </w:r>
      <w:r w:rsidR="00E8229F">
        <w:t xml:space="preserve"> einem freien Markt um Kunden</w:t>
      </w:r>
      <w:commentRangeEnd w:id="22"/>
      <w:r w:rsidR="00803CAA">
        <w:rPr>
          <w:rStyle w:val="Kommentarzeichen"/>
        </w:rPr>
        <w:commentReference w:id="22"/>
      </w:r>
      <w:r w:rsidR="00E8229F">
        <w:t xml:space="preserve">. </w:t>
      </w:r>
      <w:commentRangeStart w:id="23"/>
      <w:r w:rsidR="0028244C">
        <w:t>Mittels Wettbewerbsvorteilen heben sich Unternehmen von der Konkurrenz ab und gewinnen damit Kunden</w:t>
      </w:r>
      <w:commentRangeEnd w:id="23"/>
      <w:r w:rsidR="00803CAA">
        <w:rPr>
          <w:rStyle w:val="Kommentarzeichen"/>
        </w:rPr>
        <w:commentReference w:id="23"/>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4"/>
      <w:r w:rsidR="0028244C">
        <w:t>Dazu</w:t>
      </w:r>
      <w:r w:rsidR="00E8229F">
        <w:t xml:space="preserve"> sind Unternehmen und deren Produkte in einem ständigen Wandel, welcher durch Innovation angetrieben wird. </w:t>
      </w:r>
      <w:commentRangeEnd w:id="24"/>
      <w:r w:rsidR="00803CAA">
        <w:rPr>
          <w:rStyle w:val="Kommentarzeichen"/>
        </w:rPr>
        <w:commentReference w:id="24"/>
      </w:r>
      <w:commentRangeStart w:id="25"/>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5"/>
      <w:r>
        <w:t xml:space="preserve"> verlangt</w:t>
      </w:r>
      <w:r w:rsidR="00803CAA">
        <w:rPr>
          <w:rStyle w:val="Kommentarzeichen"/>
        </w:rPr>
        <w:commentReference w:id="25"/>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6"/>
      <w:r w:rsidR="0028244C">
        <w:t>Innovationen werden durch Investitionen ermöglicht und innerhalb des Produkt</w:t>
      </w:r>
      <w:r w:rsidR="00180BBA">
        <w:t>-M</w:t>
      </w:r>
      <w:r w:rsidR="0028244C">
        <w:t>anagements gesteuert</w:t>
      </w:r>
      <w:commentRangeEnd w:id="26"/>
      <w:r w:rsidR="00803CAA">
        <w:rPr>
          <w:rStyle w:val="Kommentarzeichen"/>
        </w:rPr>
        <w:commentReference w:id="26"/>
      </w:r>
      <w:r w:rsidR="0028244C">
        <w:t>.</w:t>
      </w:r>
      <w:r w:rsidR="00E8229F">
        <w:t xml:space="preserve"> </w:t>
      </w:r>
      <w:commentRangeStart w:id="27"/>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7"/>
      <w:r w:rsidR="00803CAA">
        <w:rPr>
          <w:rStyle w:val="Kommentarzeichen"/>
        </w:rPr>
        <w:commentReference w:id="27"/>
      </w:r>
      <w:r w:rsidR="0028244C">
        <w:t xml:space="preserve">. </w:t>
      </w:r>
      <w:commentRangeStart w:id="28"/>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8"/>
      <w:r w:rsidR="00803CAA">
        <w:rPr>
          <w:rStyle w:val="Kommentarzeichen"/>
        </w:rPr>
        <w:commentReference w:id="28"/>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9"/>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9"/>
      <w:r w:rsidR="00803CAA">
        <w:rPr>
          <w:rStyle w:val="Kommentarzeichen"/>
        </w:rPr>
        <w:commentReference w:id="29"/>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3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30"/>
      <w:r w:rsidR="00803CAA">
        <w:rPr>
          <w:rStyle w:val="Kommentarzeichen"/>
        </w:rPr>
        <w:commentReference w:id="30"/>
      </w:r>
      <w:r w:rsidR="001F123D">
        <w:t>.</w:t>
      </w:r>
      <w:r w:rsidR="00E8229F">
        <w:t xml:space="preserve"> </w:t>
      </w:r>
      <w:commentRangeStart w:id="3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1"/>
      <w:r w:rsidR="00803CAA">
        <w:rPr>
          <w:rStyle w:val="Kommentarzeichen"/>
        </w:rPr>
        <w:commentReference w:id="3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2"/>
      <w:r w:rsidR="00803CAA">
        <w:rPr>
          <w:rStyle w:val="Kommentarzeichen"/>
        </w:rPr>
        <w:commentReference w:id="32"/>
      </w:r>
      <w:commentRangeStart w:id="33"/>
      <w:r w:rsidR="001F123D">
        <w:t>Daher sind Prozesse und Abläufe im IT-Service-Management typischerweise nicht agil, sondern starr</w:t>
      </w:r>
      <w:commentRangeEnd w:id="33"/>
      <w:r w:rsidR="00803CAA">
        <w:rPr>
          <w:rStyle w:val="Kommentarzeichen"/>
        </w:rPr>
        <w:commentReference w:id="33"/>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4"/>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4"/>
      <w:r w:rsidR="00803CAA">
        <w:rPr>
          <w:rStyle w:val="Kommentarzeichen"/>
        </w:rPr>
        <w:commentReference w:id="34"/>
      </w:r>
      <w:r w:rsidR="001F123D">
        <w:t xml:space="preserve">. </w:t>
      </w:r>
      <w:commentRangeStart w:id="35"/>
      <w:r w:rsidR="001F123D">
        <w:t>Neben einer tieferen Zusammenarbeit in einem Team, stehen Standardisierung und Automatisierung sowie der Abbau von Bürokratie im Fokus dieses Ansatzes.</w:t>
      </w:r>
      <w:r w:rsidR="00E8229F">
        <w:t xml:space="preserve"> </w:t>
      </w:r>
      <w:commentRangeEnd w:id="35"/>
      <w:r w:rsidR="00803CAA">
        <w:rPr>
          <w:rStyle w:val="Kommentarzeichen"/>
        </w:rPr>
        <w:commentReference w:id="3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6518548"/>
      <w:r>
        <w:lastRenderedPageBreak/>
        <w:t>Grundlagen</w:t>
      </w:r>
      <w:bookmarkEnd w:id="38"/>
      <w:bookmarkEnd w:id="3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40" w:name="_Ref445029358"/>
      <w:bookmarkStart w:id="41" w:name="_Toc446518549"/>
      <w:r>
        <w:t>Innovation</w:t>
      </w:r>
      <w:r w:rsidR="00461FAA">
        <w:t xml:space="preserve"> </w:t>
      </w:r>
      <w:r w:rsidR="00DB13B7">
        <w:t>zur</w:t>
      </w:r>
      <w:r>
        <w:t xml:space="preserve"> Existenz</w:t>
      </w:r>
      <w:r w:rsidR="00DB13B7">
        <w:t>sicherung</w:t>
      </w:r>
      <w:bookmarkEnd w:id="40"/>
      <w:bookmarkEnd w:id="4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0CC1C372" w:rsidR="00F30DA8" w:rsidRDefault="00253A86" w:rsidP="004530A1">
      <w:pPr>
        <w:pStyle w:val="Beschriftung"/>
        <w:spacing w:after="120" w:line="240" w:lineRule="auto"/>
      </w:pPr>
      <w:bookmarkStart w:id="42" w:name="_Ref445566438"/>
      <w:bookmarkStart w:id="43" w:name="_Ref444943110"/>
      <w:bookmarkStart w:id="44" w:name="_Toc446517473"/>
      <w:r w:rsidRPr="00F30DA8">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1</w:t>
      </w:r>
      <w:r w:rsidR="0053131B">
        <w:rPr>
          <w:b/>
        </w:rPr>
        <w:fldChar w:fldCharType="end"/>
      </w:r>
      <w:bookmarkEnd w:id="42"/>
      <w:r w:rsidRPr="00F30DA8">
        <w:rPr>
          <w:b/>
        </w:rPr>
        <w:t xml:space="preserve">: Zusammenhang Time </w:t>
      </w:r>
      <w:proofErr w:type="spellStart"/>
      <w:r w:rsidRPr="00F30DA8">
        <w:rPr>
          <w:b/>
        </w:rPr>
        <w:t>to</w:t>
      </w:r>
      <w:proofErr w:type="spellEnd"/>
      <w:r w:rsidRPr="00F30DA8">
        <w:rPr>
          <w:b/>
        </w:rPr>
        <w:t xml:space="preserve"> Market</w:t>
      </w:r>
      <w:bookmarkEnd w:id="43"/>
      <w:bookmarkEnd w:id="4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5" w:name="_Ref445650448"/>
      <w:bookmarkStart w:id="46" w:name="_Ref445650466"/>
      <w:bookmarkStart w:id="47" w:name="_Ref445650514"/>
      <w:bookmarkStart w:id="48" w:name="_Ref445650529"/>
      <w:bookmarkStart w:id="49" w:name="_Toc446518550"/>
      <w:r>
        <w:lastRenderedPageBreak/>
        <w:t>Innovationssteuerung</w:t>
      </w:r>
      <w:r w:rsidR="00180BBA">
        <w:t xml:space="preserve"> durch Produkt-</w:t>
      </w:r>
      <w:r w:rsidR="00DB13B7">
        <w:t>Management</w:t>
      </w:r>
      <w:bookmarkEnd w:id="45"/>
      <w:bookmarkEnd w:id="46"/>
      <w:bookmarkEnd w:id="47"/>
      <w:bookmarkEnd w:id="48"/>
      <w:bookmarkEnd w:id="4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0" w:name="_Ref445276009"/>
      <w:bookmarkStart w:id="51" w:name="_Toc446518551"/>
      <w:r>
        <w:t>Der Produktlebenszyklus</w:t>
      </w:r>
      <w:bookmarkEnd w:id="50"/>
      <w:bookmarkEnd w:id="51"/>
    </w:p>
    <w:p w14:paraId="71D7B03C" w14:textId="0CCAF02E"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6A1E49A4"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rsidR="00CF19B9">
            <w:instrText xml:space="preserve">CITATION Len06 \p ", S. 19 ff." \n  \l 1031 </w:instrText>
          </w:r>
          <w:r>
            <w:fldChar w:fldCharType="separate"/>
          </w:r>
          <w:r w:rsidR="00CF19B9">
            <w:rPr>
              <w:noProof/>
            </w:rPr>
            <w:t>(2006, S. 19 ff.)</w:t>
          </w:r>
          <w:r>
            <w:fldChar w:fldCharType="end"/>
          </w:r>
        </w:sdtContent>
      </w:sdt>
      <w:r>
        <w:t xml:space="preserve"> vor:</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lastRenderedPageBreak/>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lastRenderedPageBreak/>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52" w:name="_Ref445303931"/>
      <w:bookmarkStart w:id="53" w:name="_Toc446517468"/>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2"/>
      <w:r w:rsidRPr="00075C67">
        <w:rPr>
          <w:b/>
        </w:rPr>
        <w:t>: Zuordnung der Produktlebenszyklusphasen</w:t>
      </w:r>
      <w:bookmarkEnd w:id="53"/>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54" w:name="_Ref446517190"/>
      <w:bookmarkStart w:id="55" w:name="_Toc446518552"/>
      <w:r>
        <w:t xml:space="preserve">Produktveröffentlichung durch Standards im </w:t>
      </w:r>
      <w:r w:rsidR="00803CAA">
        <w:t>Release-Management</w:t>
      </w:r>
      <w:bookmarkEnd w:id="54"/>
      <w:bookmarkEnd w:id="55"/>
    </w:p>
    <w:p w14:paraId="5219C75E" w14:textId="781F6714"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340301AD" w:rsidR="003C772E" w:rsidRPr="004530A1" w:rsidRDefault="004530A1" w:rsidP="004530A1">
      <w:pPr>
        <w:pStyle w:val="Beschriftung"/>
        <w:spacing w:after="120" w:line="240" w:lineRule="auto"/>
        <w:rPr>
          <w:b/>
        </w:rPr>
      </w:pPr>
      <w:bookmarkStart w:id="56" w:name="_Ref445901269"/>
      <w:bookmarkStart w:id="57" w:name="_Ref445031218"/>
      <w:bookmarkStart w:id="58" w:name="_Toc446517474"/>
      <w:r w:rsidRPr="004530A1">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2</w:t>
      </w:r>
      <w:r w:rsidR="0053131B">
        <w:rPr>
          <w:b/>
        </w:rPr>
        <w:fldChar w:fldCharType="end"/>
      </w:r>
      <w:bookmarkEnd w:id="56"/>
      <w:r w:rsidRPr="004530A1">
        <w:rPr>
          <w:b/>
        </w:rPr>
        <w:t>: Zusammenhang Produkt zu Release</w:t>
      </w:r>
      <w:bookmarkEnd w:id="57"/>
      <w:bookmarkEnd w:id="5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Solch eine Konstellation wird in Kapitel</w:t>
      </w:r>
      <w:r w:rsidR="009D2F47">
        <w:t xml:space="preserve">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w:t>
          </w:r>
          <w:r w:rsidR="00470564">
            <w:rPr>
              <w:noProof/>
            </w:rPr>
            <w:lastRenderedPageBreak/>
            <w:t>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lastRenderedPageBreak/>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4">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58B277EF" w:rsidR="00577DC0" w:rsidRPr="0053131B" w:rsidRDefault="0053131B" w:rsidP="0053131B">
      <w:pPr>
        <w:pStyle w:val="Beschriftung"/>
        <w:spacing w:after="120" w:line="240" w:lineRule="auto"/>
        <w:rPr>
          <w:b/>
        </w:rPr>
      </w:pPr>
      <w:bookmarkStart w:id="59" w:name="_Ref445907730"/>
      <w:bookmarkStart w:id="60" w:name="_Toc446517475"/>
      <w:r w:rsidRPr="0053131B">
        <w:rPr>
          <w:b/>
        </w:rPr>
        <w:t xml:space="preserve">Abbildung </w:t>
      </w:r>
      <w:r w:rsidRPr="0053131B">
        <w:rPr>
          <w:b/>
        </w:rPr>
        <w:fldChar w:fldCharType="begin"/>
      </w:r>
      <w:r w:rsidRPr="0053131B">
        <w:rPr>
          <w:b/>
        </w:rPr>
        <w:instrText xml:space="preserve"> STYLEREF 1 \s </w:instrText>
      </w:r>
      <w:r w:rsidRPr="0053131B">
        <w:rPr>
          <w:b/>
        </w:rPr>
        <w:fldChar w:fldCharType="separate"/>
      </w:r>
      <w:r w:rsidRPr="0053131B">
        <w:rPr>
          <w:b/>
        </w:rPr>
        <w:t>2</w:t>
      </w:r>
      <w:r w:rsidRPr="0053131B">
        <w:rPr>
          <w:b/>
        </w:rPr>
        <w:fldChar w:fldCharType="end"/>
      </w:r>
      <w:r w:rsidRPr="0053131B">
        <w:rPr>
          <w:b/>
        </w:rPr>
        <w:t>.</w:t>
      </w:r>
      <w:r w:rsidRPr="0053131B">
        <w:rPr>
          <w:b/>
        </w:rPr>
        <w:fldChar w:fldCharType="begin"/>
      </w:r>
      <w:r w:rsidRPr="0053131B">
        <w:rPr>
          <w:b/>
        </w:rPr>
        <w:instrText xml:space="preserve"> SEQ Abbildung \* ARABIC \s 1 </w:instrText>
      </w:r>
      <w:r w:rsidRPr="0053131B">
        <w:rPr>
          <w:b/>
        </w:rPr>
        <w:fldChar w:fldCharType="separate"/>
      </w:r>
      <w:r w:rsidRPr="0053131B">
        <w:rPr>
          <w:b/>
        </w:rPr>
        <w:t>3</w:t>
      </w:r>
      <w:r w:rsidRPr="0053131B">
        <w:rPr>
          <w:b/>
        </w:rPr>
        <w:fldChar w:fldCharType="end"/>
      </w:r>
      <w:bookmarkEnd w:id="59"/>
      <w:r w:rsidRPr="0053131B">
        <w:rPr>
          <w:b/>
        </w:rPr>
        <w:t>: Überblick ITIL</w:t>
      </w:r>
      <w:bookmarkEnd w:id="60"/>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w:t>
      </w:r>
      <w:r w:rsidR="009D2F47">
        <w:t xml:space="preserve">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w:t>
      </w:r>
      <w:r w:rsidR="009D2F47">
        <w:lastRenderedPageBreak/>
        <w:t>beitung der Entwurfsaspekte für die Standardtypen aus den Produktlebenszyklusphasen und dem IT-Service-Management.</w:t>
      </w:r>
    </w:p>
    <w:p w14:paraId="41991067" w14:textId="22837A94" w:rsidR="00461FAA" w:rsidRDefault="00461FAA" w:rsidP="00461FAA">
      <w:pPr>
        <w:pStyle w:val="berschrift1"/>
      </w:pPr>
      <w:bookmarkStart w:id="61" w:name="_Ref442963836"/>
      <w:bookmarkStart w:id="62" w:name="_Toc446518553"/>
      <w:r>
        <w:lastRenderedPageBreak/>
        <w:t xml:space="preserve">Entwurfsaspekte der </w:t>
      </w:r>
      <w:r w:rsidR="00803CAA">
        <w:t>Release-Management</w:t>
      </w:r>
      <w:r>
        <w:t xml:space="preserve"> Standardtypen</w:t>
      </w:r>
      <w:bookmarkEnd w:id="61"/>
      <w:bookmarkEnd w:id="62"/>
    </w:p>
    <w:p w14:paraId="140626A5" w14:textId="57520A33" w:rsidR="00175F2D" w:rsidRPr="00175F2D" w:rsidRDefault="00175F2D" w:rsidP="00175F2D">
      <w:r w:rsidRPr="00175F2D">
        <w:rPr>
          <w:highlight w:val="yellow"/>
        </w:rPr>
        <w:t xml:space="preserve">Entwurfsaspekte sind die Risiken </w:t>
      </w:r>
      <w:r w:rsidR="0052128D">
        <w:rPr>
          <w:highlight w:val="yellow"/>
        </w:rPr>
        <w:t xml:space="preserve">der Produktlebenszyklen </w:t>
      </w:r>
      <w:r w:rsidRPr="00175F2D">
        <w:rPr>
          <w:highlight w:val="yellow"/>
        </w:rPr>
        <w:t>u</w:t>
      </w:r>
      <w:r w:rsidR="0052128D">
        <w:rPr>
          <w:highlight w:val="yellow"/>
        </w:rPr>
        <w:t xml:space="preserve">nd die Prozessdefinitionen aus </w:t>
      </w:r>
      <w:r w:rsidR="00F57066">
        <w:rPr>
          <w:highlight w:val="yellow"/>
        </w:rPr>
        <w:t xml:space="preserve"> ITSM</w:t>
      </w:r>
    </w:p>
    <w:p w14:paraId="28170CD2" w14:textId="77777777" w:rsidR="00461FAA" w:rsidRDefault="00461FAA" w:rsidP="00461FAA">
      <w:pPr>
        <w:pStyle w:val="berschrift2"/>
      </w:pPr>
      <w:bookmarkStart w:id="63" w:name="_Toc446518554"/>
      <w:r>
        <w:t>Risiken innerhalb der Produktlebenszyklusphasen</w:t>
      </w:r>
      <w:bookmarkEnd w:id="63"/>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64" w:name="_Toc446518555"/>
      <w:r>
        <w:t>Entwicklung</w:t>
      </w:r>
      <w:bookmarkEnd w:id="64"/>
    </w:p>
    <w:p w14:paraId="1753A01F" w14:textId="5507701D" w:rsidR="00461FAA" w:rsidRDefault="00461FAA" w:rsidP="00461FAA">
      <w:pPr>
        <w:pStyle w:val="berschrift3"/>
      </w:pPr>
      <w:bookmarkStart w:id="65" w:name="_Toc446518556"/>
      <w:r>
        <w:t>Einführung</w:t>
      </w:r>
      <w:bookmarkEnd w:id="65"/>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66" w:name="_Toc446518557"/>
      <w:r>
        <w:t>Wachstum</w:t>
      </w:r>
      <w:bookmarkEnd w:id="66"/>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7" w:name="_Toc446518558"/>
      <w:r>
        <w:t>Reife</w:t>
      </w:r>
      <w:bookmarkEnd w:id="67"/>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8" w:name="_Toc446518559"/>
      <w:r>
        <w:t>Sättigung</w:t>
      </w:r>
      <w:bookmarkEnd w:id="68"/>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9" w:name="_Toc446518560"/>
      <w:r>
        <w:lastRenderedPageBreak/>
        <w:t>Entsorgung</w:t>
      </w:r>
      <w:bookmarkEnd w:id="69"/>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70" w:name="_Toc446518561"/>
      <w:r>
        <w:t>Zusammenfassung der Risiken der einzelnen Phasen</w:t>
      </w:r>
      <w:bookmarkEnd w:id="70"/>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71" w:name="_Toc446518562"/>
      <w:r>
        <w:t xml:space="preserve">Methoden des </w:t>
      </w:r>
      <w:r w:rsidR="00803CAA">
        <w:t>Release-Management</w:t>
      </w:r>
      <w:r>
        <w:t>s zum Umgang mit Risiken</w:t>
      </w:r>
      <w:bookmarkEnd w:id="71"/>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72" w:name="_Ref446516759"/>
      <w:bookmarkStart w:id="73" w:name="_Toc446518563"/>
      <w:r>
        <w:t>Regelungen</w:t>
      </w:r>
      <w:bookmarkEnd w:id="73"/>
    </w:p>
    <w:p w14:paraId="1F1DEBC8" w14:textId="77777777" w:rsidR="00425DD7" w:rsidRDefault="00425DD7" w:rsidP="00425DD7">
      <w:r>
        <w:t>Rechtliche Rahmenbedingungen (Gesetze)</w:t>
      </w:r>
    </w:p>
    <w:p w14:paraId="59EB17A5" w14:textId="77777777" w:rsidR="00425DD7" w:rsidRDefault="00425DD7" w:rsidP="00425DD7">
      <w:r>
        <w:t xml:space="preserve">Richtlinien, z. B. betriebliche Freigabe, BA, Webfreigabe, </w:t>
      </w:r>
      <w:proofErr w:type="spellStart"/>
      <w:r>
        <w:t>Phasegate</w:t>
      </w:r>
      <w:proofErr w:type="spellEnd"/>
      <w:r>
        <w:t xml:space="preserve"> (u. U. abhängig von Gesetzen) -&gt; Übersetzung in allgemeine Begriffe</w:t>
      </w:r>
    </w:p>
    <w:p w14:paraId="1DFA1C57" w14:textId="5EE5784F" w:rsidR="00425DD7" w:rsidRDefault="00425DD7" w:rsidP="00425DD7">
      <w:r>
        <w:t>ISO-20000-1 Norm</w:t>
      </w:r>
    </w:p>
    <w:p w14:paraId="2AF6F36D" w14:textId="25F3E0DC" w:rsidR="00425DD7" w:rsidRPr="00425DD7" w:rsidRDefault="00425DD7" w:rsidP="00425DD7">
      <w:r>
        <w:t xml:space="preserve">ITIL </w:t>
      </w:r>
      <w:proofErr w:type="spellStart"/>
      <w:r>
        <w:t>Policies</w:t>
      </w:r>
      <w:proofErr w:type="spellEnd"/>
    </w:p>
    <w:p w14:paraId="51D3E5F0" w14:textId="384F0277" w:rsidR="00461FAA" w:rsidRDefault="00425DD7" w:rsidP="00461FAA">
      <w:pPr>
        <w:pStyle w:val="berschrift3"/>
      </w:pPr>
      <w:bookmarkStart w:id="74" w:name="_Ref446517322"/>
      <w:bookmarkStart w:id="75" w:name="_Toc446518564"/>
      <w:bookmarkEnd w:id="72"/>
      <w:r>
        <w:t>Prozesse</w:t>
      </w:r>
      <w:bookmarkEnd w:id="74"/>
      <w:bookmarkEnd w:id="75"/>
    </w:p>
    <w:p w14:paraId="1806185D" w14:textId="2DAD5D0C" w:rsidR="00425DD7" w:rsidRDefault="00425DD7" w:rsidP="00461FAA">
      <w:r>
        <w:t>ITIL Prozesse</w:t>
      </w:r>
    </w:p>
    <w:p w14:paraId="3CE1635B" w14:textId="1DC2A140" w:rsidR="00425DD7" w:rsidRDefault="00425DD7" w:rsidP="00461FAA">
      <w:r>
        <w:t>ISO 20000-2</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 xml:space="preserve">Interner </w:t>
      </w:r>
      <w:proofErr w:type="spellStart"/>
      <w:r>
        <w:t>TMg</w:t>
      </w:r>
      <w:proofErr w:type="spellEnd"/>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lastRenderedPageBreak/>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76" w:name="_Toc446518565"/>
      <w:r>
        <w:t>Standardisierung</w:t>
      </w:r>
      <w:bookmarkEnd w:id="76"/>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77" w:name="_Toc446518566"/>
      <w:r>
        <w:t>Automatisierung</w:t>
      </w:r>
      <w:bookmarkEnd w:id="77"/>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8" w:name="_Ref442963953"/>
      <w:bookmarkStart w:id="79" w:name="_Toc446518567"/>
      <w:r>
        <w:lastRenderedPageBreak/>
        <w:t>Ko</w:t>
      </w:r>
      <w:r w:rsidR="00BC71A2">
        <w:t>nstruktion der Standardtypen zum Umgang mit den</w:t>
      </w:r>
      <w:r>
        <w:t xml:space="preserve"> Risiken der Produktlebenszyklusphasen</w:t>
      </w:r>
      <w:bookmarkEnd w:id="78"/>
      <w:bookmarkEnd w:id="79"/>
    </w:p>
    <w:p w14:paraId="52CACDF6" w14:textId="20897398" w:rsidR="00461FAA" w:rsidRDefault="00461FAA" w:rsidP="00461FAA">
      <w:pPr>
        <w:pStyle w:val="berschrift2"/>
      </w:pPr>
      <w:bookmarkStart w:id="80" w:name="_Toc446518568"/>
      <w:proofErr w:type="spellStart"/>
      <w:r>
        <w:t>DevOps</w:t>
      </w:r>
      <w:bookmarkEnd w:id="80"/>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81" w:name="_Toc446518569"/>
      <w:r>
        <w:t>Formell</w:t>
      </w:r>
      <w:bookmarkEnd w:id="81"/>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82" w:name="_Toc446518570"/>
      <w:r>
        <w:t>Individuell</w:t>
      </w:r>
      <w:bookmarkEnd w:id="82"/>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83" w:name="_Ref442964028"/>
      <w:bookmarkStart w:id="84" w:name="_Toc446518571"/>
      <w:r>
        <w:lastRenderedPageBreak/>
        <w:t>Kritische Würdigung der Standardtypen</w:t>
      </w:r>
      <w:bookmarkEnd w:id="83"/>
      <w:bookmarkEnd w:id="84"/>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85" w:name="_Ref442964114"/>
      <w:bookmarkStart w:id="86" w:name="_Toc446518572"/>
      <w:r>
        <w:lastRenderedPageBreak/>
        <w:t>Demonstration der Standardtypen am Fallbeispiel DPDHL Group</w:t>
      </w:r>
      <w:bookmarkEnd w:id="85"/>
      <w:bookmarkEnd w:id="86"/>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87" w:name="_Ref442964164"/>
      <w:bookmarkStart w:id="88" w:name="_Toc446518573"/>
      <w:r>
        <w:lastRenderedPageBreak/>
        <w:t>Evaluation der Zielerreichung und Ausblick</w:t>
      </w:r>
      <w:bookmarkEnd w:id="87"/>
      <w:bookmarkEnd w:id="88"/>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5"/>
          <w:pgSz w:w="11906" w:h="16838"/>
          <w:pgMar w:top="1134" w:right="1418" w:bottom="1134" w:left="2268" w:header="709" w:footer="709" w:gutter="0"/>
          <w:pgNumType w:start="1"/>
          <w:cols w:space="708"/>
        </w:sectPr>
      </w:pPr>
      <w:bookmarkStart w:id="89" w:name="_Toc410799361"/>
      <w:bookmarkStart w:id="90" w:name="_Toc410799446"/>
      <w:bookmarkStart w:id="91" w:name="_Toc410799366"/>
      <w:bookmarkStart w:id="92" w:name="_Toc410799451"/>
      <w:bookmarkStart w:id="93" w:name="_Toc415465661"/>
      <w:bookmarkStart w:id="94" w:name="_Ref418325438"/>
      <w:bookmarkStart w:id="95" w:name="_Ref414785387"/>
      <w:bookmarkStart w:id="96" w:name="_Toc415465643"/>
    </w:p>
    <w:bookmarkEnd w:id="96" w:displacedByCustomXml="next"/>
    <w:bookmarkEnd w:id="95" w:displacedByCustomXml="next"/>
    <w:bookmarkEnd w:id="94" w:displacedByCustomXml="next"/>
    <w:bookmarkEnd w:id="93" w:displacedByCustomXml="next"/>
    <w:bookmarkEnd w:id="92" w:displacedByCustomXml="next"/>
    <w:bookmarkEnd w:id="91" w:displacedByCustomXml="next"/>
    <w:bookmarkEnd w:id="90" w:displacedByCustomXml="next"/>
    <w:bookmarkEnd w:id="89" w:displacedByCustomXml="next"/>
    <w:bookmarkStart w:id="97" w:name="_Toc44651857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7"/>
        </w:p>
        <w:sdt>
          <w:sdtPr>
            <w:id w:val="111145805"/>
            <w:bibliography/>
          </w:sdtPr>
          <w:sdtContent>
            <w:p w14:paraId="5E269042" w14:textId="77777777" w:rsidR="00BB49BE" w:rsidRDefault="00461FAA" w:rsidP="00BB49BE">
              <w:pPr>
                <w:pStyle w:val="Literaturverzeichnis"/>
                <w:rPr>
                  <w:noProof/>
                  <w:sz w:val="24"/>
                  <w:szCs w:val="24"/>
                </w:rPr>
              </w:pPr>
              <w:r>
                <w:fldChar w:fldCharType="begin"/>
              </w:r>
              <w:r>
                <w:instrText>BIBLIOGRAPHY</w:instrText>
              </w:r>
              <w:r>
                <w:fldChar w:fldCharType="separate"/>
              </w:r>
              <w:r w:rsidR="00BB49BE">
                <w:rPr>
                  <w:noProof/>
                </w:rPr>
                <w:t xml:space="preserve">Aumayr, K. J. </w:t>
              </w:r>
              <w:r w:rsidR="00BB49BE">
                <w:rPr>
                  <w:i/>
                  <w:iCs/>
                  <w:noProof/>
                </w:rPr>
                <w:t>Erfolgreiches Produktmanagement. Tool-Box für das professionelle Produktmanagement und Produktmartketing.</w:t>
              </w:r>
              <w:r w:rsidR="00BB49BE">
                <w:rPr>
                  <w:noProof/>
                </w:rPr>
                <w:t xml:space="preserve"> 2. Auflage. Wiesbaden: Gabler, 2009.</w:t>
              </w:r>
            </w:p>
            <w:p w14:paraId="0879159D" w14:textId="77777777" w:rsidR="00BB49BE" w:rsidRDefault="00BB49BE" w:rsidP="00BB49BE">
              <w:pPr>
                <w:pStyle w:val="Literaturverzeichnis"/>
                <w:rPr>
                  <w:noProof/>
                </w:rPr>
              </w:pPr>
              <w:r>
                <w:rPr>
                  <w:noProof/>
                </w:rPr>
                <w:t xml:space="preserve">AXELOS. </w:t>
              </w:r>
              <w:r>
                <w:rPr>
                  <w:i/>
                  <w:iCs/>
                  <w:noProof/>
                </w:rPr>
                <w:t>ITIL Service Transition.</w:t>
              </w:r>
              <w:r>
                <w:rPr>
                  <w:noProof/>
                </w:rPr>
                <w:t xml:space="preserve"> o. O.: TSO, 2011.</w:t>
              </w:r>
            </w:p>
            <w:p w14:paraId="283ECF26" w14:textId="77777777" w:rsidR="00BB49BE" w:rsidRDefault="00BB49BE" w:rsidP="00BB49BE">
              <w:pPr>
                <w:pStyle w:val="Literaturverzeichnis"/>
                <w:rPr>
                  <w:noProof/>
                </w:rPr>
              </w:pPr>
              <w:r>
                <w:rPr>
                  <w:noProof/>
                </w:rPr>
                <w:t xml:space="preserve">Bahke, T. </w:t>
              </w:r>
              <w:r>
                <w:rPr>
                  <w:i/>
                  <w:iCs/>
                  <w:noProof/>
                </w:rPr>
                <w:t>Normen und Wettberwerb.</w:t>
              </w:r>
              <w:r>
                <w:rPr>
                  <w:noProof/>
                </w:rPr>
                <w:t xml:space="preserve"> Berlin: Beuth, 2002.</w:t>
              </w:r>
            </w:p>
            <w:p w14:paraId="0C9DB79B" w14:textId="77777777" w:rsidR="00BB49BE" w:rsidRDefault="00BB49BE" w:rsidP="00BB49B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9995DC6" w14:textId="77777777" w:rsidR="00BB49BE" w:rsidRDefault="00BB49BE" w:rsidP="00BB49B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2BAF2BB4" w14:textId="77777777" w:rsidR="00BB49BE" w:rsidRDefault="00BB49BE" w:rsidP="00BB49BE">
              <w:pPr>
                <w:pStyle w:val="Literaturverzeichnis"/>
                <w:rPr>
                  <w:noProof/>
                </w:rPr>
              </w:pPr>
              <w:r>
                <w:rPr>
                  <w:noProof/>
                </w:rPr>
                <w:t xml:space="preserve">Baumann, J. „DevOps light.“ </w:t>
              </w:r>
              <w:r>
                <w:rPr>
                  <w:i/>
                  <w:iCs/>
                  <w:noProof/>
                </w:rPr>
                <w:t>OBJEKTspektrum</w:t>
              </w:r>
              <w:r>
                <w:rPr>
                  <w:noProof/>
                </w:rPr>
                <w:t>, 27. 02 2015: 42-45.</w:t>
              </w:r>
            </w:p>
            <w:p w14:paraId="7A2C69C2" w14:textId="77777777" w:rsidR="00BB49BE" w:rsidRDefault="00BB49BE" w:rsidP="00BB49BE">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14E241B9" w14:textId="77777777" w:rsidR="00BB49BE" w:rsidRDefault="00BB49BE" w:rsidP="00BB49B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47000EA1" w14:textId="77777777" w:rsidR="00BB49BE" w:rsidRDefault="00BB49BE" w:rsidP="00BB49B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683E07B5" w14:textId="77777777" w:rsidR="00BB49BE" w:rsidRDefault="00BB49BE" w:rsidP="00BB49B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2EBAA710" w14:textId="77777777" w:rsidR="00BB49BE" w:rsidRDefault="00BB49BE" w:rsidP="00BB49BE">
              <w:pPr>
                <w:pStyle w:val="Literaturverzeichnis"/>
                <w:rPr>
                  <w:noProof/>
                </w:rPr>
              </w:pPr>
              <w:r>
                <w:rPr>
                  <w:noProof/>
                </w:rPr>
                <w:t>Ephesos, Heraklit von.</w:t>
              </w:r>
            </w:p>
            <w:p w14:paraId="49A7D167" w14:textId="77777777" w:rsidR="00BB49BE" w:rsidRDefault="00BB49BE" w:rsidP="00BB49B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61925EC" w14:textId="77777777" w:rsidR="00BB49BE" w:rsidRDefault="00BB49BE" w:rsidP="00BB49B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4DD0AFD7" w14:textId="77777777" w:rsidR="00BB49BE" w:rsidRDefault="00BB49BE" w:rsidP="00BB49BE">
              <w:pPr>
                <w:pStyle w:val="Literaturverzeichnis"/>
                <w:rPr>
                  <w:noProof/>
                </w:rPr>
              </w:pPr>
              <w:r>
                <w:rPr>
                  <w:noProof/>
                </w:rPr>
                <w:t xml:space="preserve">Hauschildt, J., und S. Salomo. </w:t>
              </w:r>
              <w:r>
                <w:rPr>
                  <w:i/>
                  <w:iCs/>
                  <w:noProof/>
                </w:rPr>
                <w:t>Innovationsmanagement.</w:t>
              </w:r>
              <w:r>
                <w:rPr>
                  <w:noProof/>
                </w:rPr>
                <w:t xml:space="preserve"> o. O.: Vahlen, 2007.</w:t>
              </w:r>
            </w:p>
            <w:p w14:paraId="59F6B487" w14:textId="77777777" w:rsidR="00BB49BE" w:rsidRDefault="00BB49BE" w:rsidP="00BB49BE">
              <w:pPr>
                <w:pStyle w:val="Literaturverzeichnis"/>
                <w:rPr>
                  <w:noProof/>
                </w:rPr>
              </w:pPr>
              <w:r>
                <w:rPr>
                  <w:noProof/>
                </w:rPr>
                <w:t>Horton, G. http://www.zephram.de/blog/innovationsstrategie/wettbewerbsvorteile-durch-innovation/ (Zugriff am 24. 10 2015).</w:t>
              </w:r>
            </w:p>
            <w:p w14:paraId="68788EAF" w14:textId="77777777" w:rsidR="00BB49BE" w:rsidRDefault="00BB49BE" w:rsidP="00BB49B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7406C223" w14:textId="77777777" w:rsidR="00BB49BE" w:rsidRDefault="00BB49BE" w:rsidP="00BB49BE">
              <w:pPr>
                <w:pStyle w:val="Literaturverzeichnis"/>
                <w:rPr>
                  <w:noProof/>
                </w:rPr>
              </w:pPr>
              <w:r>
                <w:rPr>
                  <w:noProof/>
                </w:rPr>
                <w:t xml:space="preserve">ISO/IEC. </w:t>
              </w:r>
              <w:r>
                <w:rPr>
                  <w:i/>
                  <w:iCs/>
                  <w:noProof/>
                </w:rPr>
                <w:t>ISO/IEC 20000-1.</w:t>
              </w:r>
              <w:r>
                <w:rPr>
                  <w:noProof/>
                </w:rPr>
                <w:t xml:space="preserve"> o. O., 15. 04 2011.</w:t>
              </w:r>
            </w:p>
            <w:p w14:paraId="4252AE81" w14:textId="77777777" w:rsidR="00BB49BE" w:rsidRDefault="00BB49BE" w:rsidP="00BB49BE">
              <w:pPr>
                <w:pStyle w:val="Literaturverzeichnis"/>
                <w:rPr>
                  <w:noProof/>
                </w:rPr>
              </w:pPr>
              <w:r>
                <w:rPr>
                  <w:noProof/>
                </w:rPr>
                <w:t xml:space="preserve">ISO/IEC. </w:t>
              </w:r>
              <w:r>
                <w:rPr>
                  <w:i/>
                  <w:iCs/>
                  <w:noProof/>
                </w:rPr>
                <w:t>ISO/IEC 20000-2.</w:t>
              </w:r>
              <w:r>
                <w:rPr>
                  <w:noProof/>
                </w:rPr>
                <w:t xml:space="preserve"> o. O., 15. 02 2012.</w:t>
              </w:r>
            </w:p>
            <w:p w14:paraId="78FD5304" w14:textId="77777777" w:rsidR="00BB49BE" w:rsidRDefault="00BB49BE" w:rsidP="00BB49B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966BD96" w14:textId="77777777" w:rsidR="00BB49BE" w:rsidRDefault="00BB49BE" w:rsidP="00BB49BE">
              <w:pPr>
                <w:pStyle w:val="Literaturverzeichnis"/>
                <w:rPr>
                  <w:noProof/>
                </w:rPr>
              </w:pPr>
              <w:r>
                <w:rPr>
                  <w:noProof/>
                </w:rPr>
                <w:t xml:space="preserve">Kim, D. </w:t>
              </w:r>
              <w:r>
                <w:rPr>
                  <w:i/>
                  <w:iCs/>
                  <w:noProof/>
                </w:rPr>
                <w:t>The State of Scrum.</w:t>
              </w:r>
              <w:r>
                <w:rPr>
                  <w:noProof/>
                </w:rPr>
                <w:t xml:space="preserve"> State of Scrum, Scrumalliance, 2013.</w:t>
              </w:r>
            </w:p>
            <w:p w14:paraId="6583E427" w14:textId="77777777" w:rsidR="00BB49BE" w:rsidRDefault="00BB49BE" w:rsidP="00BB49B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0FD4A302" w14:textId="77777777" w:rsidR="00BB49BE" w:rsidRDefault="00BB49BE" w:rsidP="00BB49BE">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B7E3A59" w14:textId="77777777" w:rsidR="00BB49BE" w:rsidRDefault="00BB49BE" w:rsidP="00BB49BE">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64915221" w14:textId="77777777" w:rsidR="00BB49BE" w:rsidRDefault="00BB49BE" w:rsidP="00BB49B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3608A81C" w14:textId="77777777" w:rsidR="00BB49BE" w:rsidRDefault="00BB49BE" w:rsidP="00BB49B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5261823" w14:textId="77777777" w:rsidR="00BB49BE" w:rsidRDefault="00BB49BE" w:rsidP="00BB49B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178A1A7" w14:textId="77777777" w:rsidR="00BB49BE" w:rsidRDefault="00BB49BE" w:rsidP="00BB49BE">
              <w:pPr>
                <w:pStyle w:val="Literaturverzeichnis"/>
                <w:rPr>
                  <w:noProof/>
                </w:rPr>
              </w:pPr>
              <w:r>
                <w:rPr>
                  <w:noProof/>
                </w:rPr>
                <w:t>O'Reilly, Tim. „What is Web 2.0? - Design Patters and Business Models for the Next Generation of Software.“ 2005. http://www.oreilly.de/artikel/web20.html (Zugriff am 22. April 2009).</w:t>
              </w:r>
            </w:p>
            <w:p w14:paraId="2BDE3A38" w14:textId="77777777" w:rsidR="00BB49BE" w:rsidRDefault="00BB49BE" w:rsidP="00BB49B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076C32D1" w14:textId="77777777" w:rsidR="00BB49BE" w:rsidRDefault="00BB49BE" w:rsidP="00BB49BE">
              <w:pPr>
                <w:pStyle w:val="Literaturverzeichnis"/>
                <w:rPr>
                  <w:noProof/>
                </w:rPr>
              </w:pPr>
              <w:r>
                <w:rPr>
                  <w:noProof/>
                </w:rPr>
                <w:t xml:space="preserve">Pichler, R. </w:t>
              </w:r>
              <w:r>
                <w:rPr>
                  <w:i/>
                  <w:iCs/>
                  <w:noProof/>
                </w:rPr>
                <w:t>Agiles Produktmanagement mit Scrum.</w:t>
              </w:r>
              <w:r>
                <w:rPr>
                  <w:noProof/>
                </w:rPr>
                <w:t xml:space="preserve"> Heidelberg: dpunkt, 2014.</w:t>
              </w:r>
            </w:p>
            <w:p w14:paraId="5CE61F71" w14:textId="77777777" w:rsidR="00BB49BE" w:rsidRDefault="00BB49BE" w:rsidP="00BB49B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03510FA4" w14:textId="77777777" w:rsidR="00BB49BE" w:rsidRDefault="00BB49BE" w:rsidP="00BB49B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57D1B508" w14:textId="77777777" w:rsidR="00BB49BE" w:rsidRDefault="00BB49BE" w:rsidP="00BB49B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231AE56D" w14:textId="77777777" w:rsidR="00BB49BE" w:rsidRDefault="00BB49BE" w:rsidP="00BB49B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59E05831" w14:textId="77777777" w:rsidR="00BB49BE" w:rsidRDefault="00BB49BE" w:rsidP="00BB49B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EA44897" w14:textId="77777777" w:rsidR="00BB49BE" w:rsidRDefault="00BB49BE" w:rsidP="00BB49B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BB49B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6"/>
          <w:headerReference w:type="default" r:id="rId27"/>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8" w:name="_Toc446518575"/>
      <w:r>
        <w:lastRenderedPageBreak/>
        <w:t>Erklärung</w:t>
      </w:r>
      <w:bookmarkEnd w:id="98"/>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9" w:name="Text15"/>
      <w:r w:rsidR="00783160">
        <w:instrText xml:space="preserve"> FORMTEXT </w:instrText>
      </w:r>
      <w:r w:rsidR="00783160">
        <w:fldChar w:fldCharType="separate"/>
      </w:r>
      <w:r w:rsidR="00783160">
        <w:rPr>
          <w:noProof/>
        </w:rPr>
        <w:t>Lohr, Steve</w:t>
      </w:r>
      <w:r w:rsidR="00783160">
        <w:fldChar w:fldCharType="end"/>
      </w:r>
      <w:bookmarkEnd w:id="99"/>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0" w:name="Text16"/>
      <w:r w:rsidR="00783160">
        <w:instrText xml:space="preserve"> FORMTEXT </w:instrText>
      </w:r>
      <w:r w:rsidR="00783160">
        <w:fldChar w:fldCharType="separate"/>
      </w:r>
      <w:r w:rsidR="00783160">
        <w:rPr>
          <w:noProof/>
        </w:rPr>
        <w:t>9066454</w:t>
      </w:r>
      <w:r w:rsidR="00783160">
        <w:fldChar w:fldCharType="end"/>
      </w:r>
      <w:bookmarkEnd w:id="100"/>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1" w:name="Text17"/>
      <w:r w:rsidR="00783160">
        <w:instrText xml:space="preserve"> FORMTEXT </w:instrText>
      </w:r>
      <w:r w:rsidR="00783160">
        <w:fldChar w:fldCharType="separate"/>
      </w:r>
      <w:r w:rsidR="00783160">
        <w:rPr>
          <w:noProof/>
        </w:rPr>
        <w:t>Wirtschaftsinformatik</w:t>
      </w:r>
      <w:r w:rsidR="00783160">
        <w:fldChar w:fldCharType="end"/>
      </w:r>
      <w:bookmarkEnd w:id="101"/>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8"/>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3-02T15:56:00Z" w:initials="s">
    <w:p w14:paraId="3CDB26B0" w14:textId="4E611325" w:rsidR="00F57066" w:rsidRDefault="00F57066">
      <w:pPr>
        <w:pStyle w:val="Kommentartext"/>
      </w:pPr>
      <w:r>
        <w:rPr>
          <w:rStyle w:val="Kommentarzeichen"/>
        </w:rPr>
        <w:annotationRef/>
      </w:r>
      <w:r>
        <w:t>Wie baue ich das ein?</w:t>
      </w:r>
    </w:p>
  </w:comment>
  <w:comment w:id="22" w:author="steve.lohr@gmx.de" w:date="2016-02-11T14:32:00Z" w:initials="s">
    <w:p w14:paraId="70855CED" w14:textId="1EC9A48D" w:rsidR="00F57066" w:rsidRDefault="00F57066">
      <w:pPr>
        <w:pStyle w:val="Kommentartext"/>
      </w:pPr>
      <w:r>
        <w:rPr>
          <w:rStyle w:val="Kommentarzeichen"/>
        </w:rPr>
        <w:annotationRef/>
      </w:r>
      <w:r>
        <w:t>Quellen?</w:t>
      </w:r>
    </w:p>
  </w:comment>
  <w:comment w:id="23" w:author="steve.lohr@gmx.de" w:date="2016-02-11T14:31:00Z" w:initials="s">
    <w:p w14:paraId="20E23024" w14:textId="405D94F9" w:rsidR="00F57066" w:rsidRDefault="00F57066">
      <w:pPr>
        <w:pStyle w:val="Kommentartext"/>
      </w:pPr>
      <w:r>
        <w:rPr>
          <w:rStyle w:val="Kommentarzeichen"/>
        </w:rPr>
        <w:annotationRef/>
      </w:r>
      <w:r>
        <w:t>Quellen?</w:t>
      </w:r>
    </w:p>
  </w:comment>
  <w:comment w:id="24" w:author="steve.lohr@gmx.de" w:date="2016-02-11T14:32:00Z" w:initials="s">
    <w:p w14:paraId="6128E5FA" w14:textId="4D11D8AE" w:rsidR="00F57066" w:rsidRDefault="00F57066">
      <w:pPr>
        <w:pStyle w:val="Kommentartext"/>
      </w:pPr>
      <w:r>
        <w:rPr>
          <w:rStyle w:val="Kommentarzeichen"/>
        </w:rPr>
        <w:annotationRef/>
      </w:r>
      <w:r>
        <w:t>Quellen?</w:t>
      </w:r>
    </w:p>
  </w:comment>
  <w:comment w:id="25" w:author="steve.lohr@gmx.de" w:date="2016-02-11T14:32:00Z" w:initials="s">
    <w:p w14:paraId="40B27CBA" w14:textId="1B1E3288" w:rsidR="00F57066" w:rsidRDefault="00F57066">
      <w:pPr>
        <w:pStyle w:val="Kommentartext"/>
      </w:pPr>
      <w:r>
        <w:rPr>
          <w:rStyle w:val="Kommentarzeichen"/>
        </w:rPr>
        <w:annotationRef/>
      </w:r>
      <w:r>
        <w:t>Quellen?</w:t>
      </w:r>
    </w:p>
  </w:comment>
  <w:comment w:id="26" w:author="steve.lohr@gmx.de" w:date="2016-02-11T14:32:00Z" w:initials="s">
    <w:p w14:paraId="38BA8732" w14:textId="6DFC41EA" w:rsidR="00F57066" w:rsidRDefault="00F57066">
      <w:pPr>
        <w:pStyle w:val="Kommentartext"/>
      </w:pPr>
      <w:r>
        <w:rPr>
          <w:rStyle w:val="Kommentarzeichen"/>
        </w:rPr>
        <w:annotationRef/>
      </w:r>
      <w:r>
        <w:t>Quellen?</w:t>
      </w:r>
    </w:p>
  </w:comment>
  <w:comment w:id="27" w:author="steve.lohr@gmx.de" w:date="2016-02-11T14:32:00Z" w:initials="s">
    <w:p w14:paraId="0179A1A0" w14:textId="7E139582" w:rsidR="00F57066" w:rsidRDefault="00F57066">
      <w:pPr>
        <w:pStyle w:val="Kommentartext"/>
      </w:pPr>
      <w:r>
        <w:rPr>
          <w:rStyle w:val="Kommentarzeichen"/>
        </w:rPr>
        <w:annotationRef/>
      </w:r>
      <w:r>
        <w:t>Quellen?</w:t>
      </w:r>
    </w:p>
  </w:comment>
  <w:comment w:id="28" w:author="steve.lohr@gmx.de" w:date="2016-02-11T14:34:00Z" w:initials="s">
    <w:p w14:paraId="5867A21B" w14:textId="3DDD025B" w:rsidR="00F57066" w:rsidRDefault="00F57066">
      <w:pPr>
        <w:pStyle w:val="Kommentartext"/>
      </w:pPr>
      <w:r>
        <w:rPr>
          <w:rStyle w:val="Kommentarzeichen"/>
        </w:rPr>
        <w:annotationRef/>
      </w:r>
      <w:r>
        <w:t>Quellen?</w:t>
      </w:r>
    </w:p>
  </w:comment>
  <w:comment w:id="29" w:author="steve.lohr@gmx.de" w:date="2016-02-11T14:35:00Z" w:initials="s">
    <w:p w14:paraId="66A7B45B" w14:textId="1978B5B3" w:rsidR="00F57066" w:rsidRDefault="00F57066">
      <w:pPr>
        <w:pStyle w:val="Kommentartext"/>
      </w:pPr>
      <w:r>
        <w:rPr>
          <w:rStyle w:val="Kommentarzeichen"/>
        </w:rPr>
        <w:annotationRef/>
      </w:r>
      <w:r>
        <w:t>Quelle?</w:t>
      </w:r>
    </w:p>
  </w:comment>
  <w:comment w:id="30" w:author="steve.lohr@gmx.de" w:date="2016-02-11T14:35:00Z" w:initials="s">
    <w:p w14:paraId="46DF64F3" w14:textId="7B457D30" w:rsidR="00F57066" w:rsidRDefault="00F57066">
      <w:pPr>
        <w:pStyle w:val="Kommentartext"/>
      </w:pPr>
      <w:r>
        <w:rPr>
          <w:rStyle w:val="Kommentarzeichen"/>
        </w:rPr>
        <w:annotationRef/>
      </w:r>
      <w:r>
        <w:t>Quelle?</w:t>
      </w:r>
    </w:p>
  </w:comment>
  <w:comment w:id="31" w:author="steve.lohr@gmx.de" w:date="2016-02-11T14:36:00Z" w:initials="s">
    <w:p w14:paraId="250ACCFB" w14:textId="39268141" w:rsidR="00F57066" w:rsidRDefault="00F57066">
      <w:pPr>
        <w:pStyle w:val="Kommentartext"/>
      </w:pPr>
      <w:r>
        <w:rPr>
          <w:rStyle w:val="Kommentarzeichen"/>
        </w:rPr>
        <w:annotationRef/>
      </w:r>
      <w:r>
        <w:t>Quellen?</w:t>
      </w:r>
    </w:p>
  </w:comment>
  <w:comment w:id="32" w:author="steve.lohr@gmx.de" w:date="2016-02-11T14:37:00Z" w:initials="s">
    <w:p w14:paraId="153963AC" w14:textId="13D9F872" w:rsidR="00F57066" w:rsidRDefault="00F57066">
      <w:pPr>
        <w:pStyle w:val="Kommentartext"/>
      </w:pPr>
      <w:r>
        <w:rPr>
          <w:rStyle w:val="Kommentarzeichen"/>
        </w:rPr>
        <w:annotationRef/>
      </w:r>
      <w:r>
        <w:t>Quellen?</w:t>
      </w:r>
    </w:p>
  </w:comment>
  <w:comment w:id="33" w:author="steve.lohr@gmx.de" w:date="2016-02-11T14:37:00Z" w:initials="s">
    <w:p w14:paraId="2C1CF473" w14:textId="766F6959" w:rsidR="00F57066" w:rsidRDefault="00F57066">
      <w:pPr>
        <w:pStyle w:val="Kommentartext"/>
      </w:pPr>
      <w:r>
        <w:rPr>
          <w:rStyle w:val="Kommentarzeichen"/>
        </w:rPr>
        <w:annotationRef/>
      </w:r>
      <w:r>
        <w:t>Quellen?</w:t>
      </w:r>
    </w:p>
  </w:comment>
  <w:comment w:id="34" w:author="steve.lohr@gmx.de" w:date="2016-02-11T14:38:00Z" w:initials="s">
    <w:p w14:paraId="72E4F7F6" w14:textId="68D93145" w:rsidR="00F57066" w:rsidRDefault="00F57066">
      <w:pPr>
        <w:pStyle w:val="Kommentartext"/>
      </w:pPr>
      <w:r>
        <w:rPr>
          <w:rStyle w:val="Kommentarzeichen"/>
        </w:rPr>
        <w:annotationRef/>
      </w:r>
      <w:r>
        <w:t>Quellen?</w:t>
      </w:r>
    </w:p>
  </w:comment>
  <w:comment w:id="35" w:author="steve.lohr@gmx.de" w:date="2016-02-11T14:38:00Z" w:initials="s">
    <w:p w14:paraId="6F4407B8" w14:textId="4ACB5FC8" w:rsidR="00F57066" w:rsidRDefault="00F57066">
      <w:pPr>
        <w:pStyle w:val="Kommentartext"/>
      </w:pPr>
      <w:r>
        <w:rPr>
          <w:rStyle w:val="Kommentarzeichen"/>
        </w:rPr>
        <w:annotationRef/>
      </w:r>
      <w:r>
        <w:t>Quelle?</w:t>
      </w:r>
    </w:p>
  </w:comment>
  <w:comment w:id="36" w:author="steve.lohr@gmx.de" w:date="2016-02-11T14:39:00Z" w:initials="s">
    <w:p w14:paraId="5914F1CE" w14:textId="3190C329" w:rsidR="00F57066" w:rsidRDefault="00F57066">
      <w:pPr>
        <w:pStyle w:val="Kommentartext"/>
      </w:pPr>
      <w:r>
        <w:rPr>
          <w:rStyle w:val="Kommentarzeichen"/>
        </w:rPr>
        <w:annotationRef/>
      </w:r>
      <w:r>
        <w:t>Quelle?</w:t>
      </w:r>
    </w:p>
  </w:comment>
  <w:comment w:id="37" w:author="steve.lohr@gmx.de" w:date="2016-02-11T14:40:00Z" w:initials="s">
    <w:p w14:paraId="7FEA2712" w14:textId="2A87F839" w:rsidR="00F57066" w:rsidRDefault="00F57066">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84579" w14:textId="77777777" w:rsidR="00133D32" w:rsidRDefault="00133D32">
      <w:r>
        <w:separator/>
      </w:r>
    </w:p>
    <w:p w14:paraId="086E1CD6" w14:textId="77777777" w:rsidR="00133D32" w:rsidRDefault="00133D32"/>
    <w:p w14:paraId="0354E41C" w14:textId="77777777" w:rsidR="00133D32" w:rsidRDefault="00133D32"/>
  </w:endnote>
  <w:endnote w:type="continuationSeparator" w:id="0">
    <w:p w14:paraId="5841E6FA" w14:textId="77777777" w:rsidR="00133D32" w:rsidRDefault="00133D32">
      <w:r>
        <w:continuationSeparator/>
      </w:r>
    </w:p>
    <w:p w14:paraId="7346F536" w14:textId="77777777" w:rsidR="00133D32" w:rsidRDefault="00133D32"/>
    <w:p w14:paraId="043A0425" w14:textId="77777777" w:rsidR="00133D32" w:rsidRDefault="00133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F57066" w:rsidRDefault="00F57066">
    <w:pPr>
      <w:pStyle w:val="Fuzeile"/>
      <w:framePr w:wrap="around" w:vAnchor="text" w:hAnchor="margin" w:xAlign="right" w:y="1"/>
    </w:pPr>
    <w:r>
      <w:fldChar w:fldCharType="begin"/>
    </w:r>
    <w:r>
      <w:instrText xml:space="preserve">PAGE  </w:instrText>
    </w:r>
    <w:r>
      <w:fldChar w:fldCharType="end"/>
    </w:r>
  </w:p>
  <w:p w14:paraId="7140BEF8" w14:textId="77777777" w:rsidR="00F57066" w:rsidRDefault="00F5706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F57066" w:rsidRDefault="00F5706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F57066" w:rsidRDefault="00F57066">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F57066" w:rsidRDefault="00F57066">
    <w:pPr>
      <w:pStyle w:val="Fuzeile"/>
      <w:pBdr>
        <w:bottom w:val="single" w:sz="6" w:space="1" w:color="auto"/>
      </w:pBdr>
      <w:spacing w:before="0" w:line="240" w:lineRule="auto"/>
      <w:ind w:right="-2"/>
      <w:jc w:val="center"/>
      <w:rPr>
        <w:rFonts w:eastAsia="Times New Roman"/>
        <w:sz w:val="16"/>
      </w:rPr>
    </w:pPr>
  </w:p>
  <w:p w14:paraId="7BBE1A81" w14:textId="77777777" w:rsidR="00F57066" w:rsidRDefault="00F5706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F57066" w:rsidRDefault="00F57066">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F57066" w:rsidRDefault="00F57066">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070D8" w14:textId="77777777" w:rsidR="00133D32" w:rsidRDefault="00133D32" w:rsidP="00106448">
      <w:pPr>
        <w:spacing w:before="60" w:after="60" w:line="240" w:lineRule="auto"/>
      </w:pPr>
      <w:r>
        <w:separator/>
      </w:r>
    </w:p>
  </w:footnote>
  <w:footnote w:type="continuationSeparator" w:id="0">
    <w:p w14:paraId="0772F7AC" w14:textId="77777777" w:rsidR="00133D32" w:rsidRDefault="00133D32">
      <w:r>
        <w:continuationSeparator/>
      </w:r>
    </w:p>
  </w:footnote>
  <w:footnote w:type="continuationNotice" w:id="1">
    <w:p w14:paraId="337833BE" w14:textId="77777777" w:rsidR="00133D32" w:rsidRDefault="00133D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F57066" w:rsidRDefault="00F57066">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F57066" w:rsidRDefault="00F5706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256AF7">
      <w:rPr>
        <w:noProof/>
      </w:rPr>
      <w:t>23</w:t>
    </w:r>
    <w:r>
      <w:fldChar w:fldCharType="end"/>
    </w:r>
  </w:p>
  <w:p w14:paraId="4E19B897" w14:textId="77777777" w:rsidR="00F57066" w:rsidRDefault="00F57066"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F57066" w:rsidRDefault="00F5706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256AF7">
      <w:rPr>
        <w:noProof/>
      </w:rPr>
      <w:t>24</w:t>
    </w:r>
    <w:r>
      <w:fldChar w:fldCharType="end"/>
    </w:r>
  </w:p>
  <w:p w14:paraId="79D4B611" w14:textId="77777777" w:rsidR="00F57066" w:rsidRDefault="00F57066"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F57066" w:rsidRDefault="00F57066"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256AF7">
      <w:rPr>
        <w:noProof/>
      </w:rPr>
      <w:t>I</w:t>
    </w:r>
    <w:r>
      <w:fldChar w:fldCharType="end"/>
    </w:r>
  </w:p>
  <w:p w14:paraId="519499C0" w14:textId="77777777" w:rsidR="00F57066" w:rsidRDefault="00F5706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F57066" w:rsidRDefault="00F57066">
    <w:pPr>
      <w:pStyle w:val="Kopfzeile"/>
      <w:pBdr>
        <w:bottom w:val="single" w:sz="6" w:space="1" w:color="auto"/>
      </w:pBdr>
      <w:tabs>
        <w:tab w:val="clear" w:pos="9072"/>
        <w:tab w:val="left" w:pos="7000"/>
      </w:tabs>
    </w:pPr>
    <w:r>
      <w:tab/>
    </w:r>
  </w:p>
  <w:p w14:paraId="2930D97B" w14:textId="77777777" w:rsidR="00F57066" w:rsidRDefault="00F5706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F57066" w:rsidRDefault="00F5706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256AF7">
      <w:rPr>
        <w:noProof/>
      </w:rPr>
      <w:t>I</w:t>
    </w:r>
    <w:r>
      <w:fldChar w:fldCharType="end"/>
    </w:r>
  </w:p>
  <w:p w14:paraId="547EF2D1" w14:textId="77777777" w:rsidR="00F57066" w:rsidRDefault="00F5706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F57066" w:rsidRDefault="00F5706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256AF7">
      <w:rPr>
        <w:noProof/>
      </w:rPr>
      <w:t>III</w:t>
    </w:r>
    <w:r>
      <w:fldChar w:fldCharType="end"/>
    </w:r>
  </w:p>
  <w:p w14:paraId="4B67AB85" w14:textId="77777777" w:rsidR="00F57066" w:rsidRDefault="00F5706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F57066" w:rsidRDefault="00F5706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256AF7">
      <w:rPr>
        <w:noProof/>
      </w:rPr>
      <w:t>IV</w:t>
    </w:r>
    <w:r>
      <w:fldChar w:fldCharType="end"/>
    </w:r>
  </w:p>
  <w:p w14:paraId="445F50FB" w14:textId="77777777" w:rsidR="00F57066" w:rsidRDefault="00F5706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F57066" w:rsidRDefault="00F5706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256AF7">
      <w:rPr>
        <w:noProof/>
      </w:rPr>
      <w:t>V</w:t>
    </w:r>
    <w:r>
      <w:fldChar w:fldCharType="end"/>
    </w:r>
  </w:p>
  <w:p w14:paraId="6D345E0B" w14:textId="77777777" w:rsidR="00F57066" w:rsidRDefault="00F57066">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F57066" w:rsidRDefault="00F57066">
    <w:pPr>
      <w:pStyle w:val="Kopfzeile"/>
      <w:pBdr>
        <w:bottom w:val="single" w:sz="6" w:space="1" w:color="auto"/>
      </w:pBdr>
      <w:tabs>
        <w:tab w:val="clear" w:pos="9072"/>
        <w:tab w:val="left" w:pos="6720"/>
        <w:tab w:val="right" w:pos="8222"/>
      </w:tabs>
    </w:pPr>
    <w:fldSimple w:instr=" STYLEREF  &quot;Überschrift 1&quot; ">
      <w:r w:rsidR="00256AF7">
        <w:rPr>
          <w:noProof/>
        </w:rPr>
        <w:t>Einleitung</w:t>
      </w:r>
    </w:fldSimple>
    <w:r>
      <w:tab/>
    </w:r>
    <w:r>
      <w:tab/>
    </w:r>
    <w:r>
      <w:fldChar w:fldCharType="begin"/>
    </w:r>
    <w:r>
      <w:instrText xml:space="preserve"> PAGE </w:instrText>
    </w:r>
    <w:r>
      <w:fldChar w:fldCharType="separate"/>
    </w:r>
    <w:r w:rsidR="00256AF7">
      <w:rPr>
        <w:noProof/>
      </w:rPr>
      <w:t>1</w:t>
    </w:r>
    <w:r>
      <w:fldChar w:fldCharType="end"/>
    </w:r>
  </w:p>
  <w:p w14:paraId="5DCA97F4" w14:textId="77777777" w:rsidR="00F57066" w:rsidRDefault="00F57066">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F57066" w:rsidRDefault="00F57066"/>
  <w:p w14:paraId="3EFEA5EC" w14:textId="77777777" w:rsidR="00F57066" w:rsidRDefault="00F5706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19"/>
  </w:num>
  <w:num w:numId="9">
    <w:abstractNumId w:val="16"/>
  </w:num>
  <w:num w:numId="10">
    <w:abstractNumId w:val="5"/>
  </w:num>
  <w:num w:numId="11">
    <w:abstractNumId w:val="9"/>
  </w:num>
  <w:num w:numId="12">
    <w:abstractNumId w:val="10"/>
  </w:num>
  <w:num w:numId="13">
    <w:abstractNumId w:val="20"/>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2EBB"/>
    <w:rsid w:val="000A4B7F"/>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3D32"/>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5297D"/>
    <w:rsid w:val="00854A67"/>
    <w:rsid w:val="008601DB"/>
    <w:rsid w:val="00862C60"/>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58E9"/>
    <w:rsid w:val="00BF6329"/>
    <w:rsid w:val="00BF7373"/>
    <w:rsid w:val="00C001A7"/>
    <w:rsid w:val="00C02769"/>
    <w:rsid w:val="00C02A1B"/>
    <w:rsid w:val="00C02ED5"/>
    <w:rsid w:val="00C031C1"/>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18</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19</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20</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21</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22</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23</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25</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26</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27</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28</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14</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15</b:RefOrder>
  </b:Source>
</b:Sources>
</file>

<file path=customXml/itemProps1.xml><?xml version="1.0" encoding="utf-8"?>
<ds:datastoreItem xmlns:ds="http://schemas.openxmlformats.org/officeDocument/2006/customXml" ds:itemID="{3CFED38A-0173-DC44-B379-3979E5F0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31</Pages>
  <Words>6206</Words>
  <Characters>39102</Characters>
  <Application>Microsoft Macintosh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45218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64</cp:revision>
  <cp:lastPrinted>2005-07-19T18:06:00Z</cp:lastPrinted>
  <dcterms:created xsi:type="dcterms:W3CDTF">2016-01-27T20:00:00Z</dcterms:created>
  <dcterms:modified xsi:type="dcterms:W3CDTF">2016-03-23T16:47:00Z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