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r w:rsidRPr="00A86762">
        <w:t xml:space="preserve">FernUniversität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B4347A" w:rsidRPr="00914102" w:rsidRDefault="00B4347A" w:rsidP="00A65D39">
                            <w:pPr>
                              <w:pStyle w:val="Vorgelegt"/>
                            </w:pPr>
                            <w:r>
                              <w:t>Vorgelegt der Fakultät für Wirtschaftswissenschaft</w:t>
                            </w:r>
                          </w:p>
                          <w:p w14:paraId="2DA42285" w14:textId="77777777" w:rsidR="00B4347A" w:rsidRDefault="00B4347A" w:rsidP="00A65D39">
                            <w:pPr>
                              <w:pStyle w:val="Vorgelegt"/>
                            </w:pPr>
                            <w:r w:rsidRPr="00914102">
                              <w:t xml:space="preserve">der </w:t>
                            </w:r>
                            <w:r>
                              <w:t>Fern</w:t>
                            </w:r>
                            <w:r w:rsidRPr="00914102">
                              <w:t xml:space="preserve">Universität </w:t>
                            </w:r>
                            <w:r>
                              <w:t>in Hagen</w:t>
                            </w:r>
                          </w:p>
                          <w:p w14:paraId="0CCD095C" w14:textId="77777777" w:rsidR="00B4347A" w:rsidRDefault="00B4347A" w:rsidP="00A65D39">
                            <w:pPr>
                              <w:pStyle w:val="Vorgelegt"/>
                            </w:pPr>
                            <w:r>
                              <w:t>Lehrstuhl für Betriebswirtschaftslehre,</w:t>
                            </w:r>
                          </w:p>
                          <w:p w14:paraId="30ECB503" w14:textId="77777777" w:rsidR="00B4347A" w:rsidRPr="00D2428A" w:rsidRDefault="00B4347A"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B4347A" w:rsidRPr="00914102" w:rsidRDefault="00B4347A" w:rsidP="00A65D39">
                      <w:pPr>
                        <w:pStyle w:val="Vorgelegt"/>
                      </w:pPr>
                      <w:r>
                        <w:t>Vorgelegt der Fakultät für Wirtschaftswissenschaft</w:t>
                      </w:r>
                    </w:p>
                    <w:p w14:paraId="2DA42285" w14:textId="77777777" w:rsidR="00B4347A" w:rsidRDefault="00B4347A"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B4347A" w:rsidRDefault="00B4347A" w:rsidP="00A65D39">
                      <w:pPr>
                        <w:pStyle w:val="Vorgelegt"/>
                      </w:pPr>
                      <w:r>
                        <w:t>Lehrstuhl für Betriebswirtschaftslehre,</w:t>
                      </w:r>
                    </w:p>
                    <w:p w14:paraId="30ECB503" w14:textId="77777777" w:rsidR="00B4347A" w:rsidRPr="00D2428A" w:rsidRDefault="00B4347A"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4E9D7786" w:rsidR="00234858" w:rsidRDefault="00234858" w:rsidP="001B14D2">
      <w:pPr>
        <w:pStyle w:val="MetadatenStudent2"/>
      </w:pPr>
      <w:r>
        <w:t>Betreuer:</w:t>
      </w:r>
      <w:r>
        <w:tab/>
      </w:r>
      <w:r w:rsidR="0074599A">
        <w:fldChar w:fldCharType="begin">
          <w:ffData>
            <w:name w:val="Text7"/>
            <w:enabled/>
            <w:calcOnExit w:val="0"/>
            <w:textInput>
              <w:default w:val="Christian Grawe, M.Sc."/>
            </w:textInput>
          </w:ffData>
        </w:fldChar>
      </w:r>
      <w:bookmarkStart w:id="6" w:name="Text7"/>
      <w:r w:rsidR="0074599A">
        <w:instrText xml:space="preserve"> FORMTEXT </w:instrText>
      </w:r>
      <w:r w:rsidR="0074599A">
        <w:fldChar w:fldCharType="separate"/>
      </w:r>
      <w:r w:rsidR="0074599A">
        <w:rPr>
          <w:noProof/>
        </w:rPr>
        <w:t>Christian Grawe, M.Sc.</w:t>
      </w:r>
      <w:r w:rsidR="0074599A">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19E18E6B" w14:textId="77777777" w:rsidR="00F144F5" w:rsidRDefault="00F144F5" w:rsidP="00871C56">
      <w:pPr>
        <w:pStyle w:val="berschrift1nichtimVerzeichnis"/>
      </w:pPr>
      <w:r w:rsidRPr="00914102">
        <w:lastRenderedPageBreak/>
        <w:t>Inhaltsverzeichnis</w:t>
      </w:r>
    </w:p>
    <w:p w14:paraId="40D1FDB2" w14:textId="77777777" w:rsidR="00A41F5D"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56884956" w:history="1">
        <w:r w:rsidR="00A41F5D" w:rsidRPr="006047B0">
          <w:rPr>
            <w:rStyle w:val="Link"/>
          </w:rPr>
          <w:t>Abbildungsverzeichnis</w:t>
        </w:r>
        <w:r w:rsidR="00A41F5D">
          <w:rPr>
            <w:webHidden/>
          </w:rPr>
          <w:tab/>
        </w:r>
        <w:r w:rsidR="00A41F5D">
          <w:rPr>
            <w:webHidden/>
          </w:rPr>
          <w:fldChar w:fldCharType="begin"/>
        </w:r>
        <w:r w:rsidR="00A41F5D">
          <w:rPr>
            <w:webHidden/>
          </w:rPr>
          <w:instrText xml:space="preserve"> PAGEREF _Toc456884956 \h </w:instrText>
        </w:r>
        <w:r w:rsidR="00A41F5D">
          <w:rPr>
            <w:webHidden/>
          </w:rPr>
        </w:r>
        <w:r w:rsidR="00A41F5D">
          <w:rPr>
            <w:webHidden/>
          </w:rPr>
          <w:fldChar w:fldCharType="separate"/>
        </w:r>
        <w:r w:rsidR="00A41F5D">
          <w:rPr>
            <w:webHidden/>
          </w:rPr>
          <w:t>II</w:t>
        </w:r>
        <w:r w:rsidR="00A41F5D">
          <w:rPr>
            <w:webHidden/>
          </w:rPr>
          <w:fldChar w:fldCharType="end"/>
        </w:r>
      </w:hyperlink>
    </w:p>
    <w:p w14:paraId="52FE72F3" w14:textId="77777777" w:rsidR="00A41F5D" w:rsidRDefault="005F5E76">
      <w:pPr>
        <w:pStyle w:val="Verzeichnis1"/>
        <w:rPr>
          <w:rFonts w:asciiTheme="minorHAnsi" w:eastAsiaTheme="minorEastAsia" w:hAnsiTheme="minorHAnsi" w:cstheme="minorBidi"/>
          <w:b w:val="0"/>
          <w:sz w:val="24"/>
          <w:szCs w:val="24"/>
        </w:rPr>
      </w:pPr>
      <w:hyperlink w:anchor="_Toc456884957" w:history="1">
        <w:r w:rsidR="00A41F5D" w:rsidRPr="006047B0">
          <w:rPr>
            <w:rStyle w:val="Link"/>
          </w:rPr>
          <w:t>Tabellenverzeichnis</w:t>
        </w:r>
        <w:r w:rsidR="00A41F5D">
          <w:rPr>
            <w:webHidden/>
          </w:rPr>
          <w:tab/>
        </w:r>
        <w:r w:rsidR="00A41F5D">
          <w:rPr>
            <w:webHidden/>
          </w:rPr>
          <w:fldChar w:fldCharType="begin"/>
        </w:r>
        <w:r w:rsidR="00A41F5D">
          <w:rPr>
            <w:webHidden/>
          </w:rPr>
          <w:instrText xml:space="preserve"> PAGEREF _Toc456884957 \h </w:instrText>
        </w:r>
        <w:r w:rsidR="00A41F5D">
          <w:rPr>
            <w:webHidden/>
          </w:rPr>
        </w:r>
        <w:r w:rsidR="00A41F5D">
          <w:rPr>
            <w:webHidden/>
          </w:rPr>
          <w:fldChar w:fldCharType="separate"/>
        </w:r>
        <w:r w:rsidR="00A41F5D">
          <w:rPr>
            <w:webHidden/>
          </w:rPr>
          <w:t>III</w:t>
        </w:r>
        <w:r w:rsidR="00A41F5D">
          <w:rPr>
            <w:webHidden/>
          </w:rPr>
          <w:fldChar w:fldCharType="end"/>
        </w:r>
      </w:hyperlink>
    </w:p>
    <w:p w14:paraId="068CB397" w14:textId="77777777" w:rsidR="00A41F5D" w:rsidRDefault="005F5E76">
      <w:pPr>
        <w:pStyle w:val="Verzeichnis1"/>
        <w:rPr>
          <w:rFonts w:asciiTheme="minorHAnsi" w:eastAsiaTheme="minorEastAsia" w:hAnsiTheme="minorHAnsi" w:cstheme="minorBidi"/>
          <w:b w:val="0"/>
          <w:sz w:val="24"/>
          <w:szCs w:val="24"/>
        </w:rPr>
      </w:pPr>
      <w:hyperlink w:anchor="_Toc456884958" w:history="1">
        <w:r w:rsidR="00A41F5D" w:rsidRPr="006047B0">
          <w:rPr>
            <w:rStyle w:val="Link"/>
            <w:lang w:val="en-US"/>
          </w:rPr>
          <w:t>Abkürzungsverzeichnis</w:t>
        </w:r>
        <w:r w:rsidR="00A41F5D">
          <w:rPr>
            <w:webHidden/>
          </w:rPr>
          <w:tab/>
        </w:r>
        <w:r w:rsidR="00A41F5D">
          <w:rPr>
            <w:webHidden/>
          </w:rPr>
          <w:fldChar w:fldCharType="begin"/>
        </w:r>
        <w:r w:rsidR="00A41F5D">
          <w:rPr>
            <w:webHidden/>
          </w:rPr>
          <w:instrText xml:space="preserve"> PAGEREF _Toc456884958 \h </w:instrText>
        </w:r>
        <w:r w:rsidR="00A41F5D">
          <w:rPr>
            <w:webHidden/>
          </w:rPr>
        </w:r>
        <w:r w:rsidR="00A41F5D">
          <w:rPr>
            <w:webHidden/>
          </w:rPr>
          <w:fldChar w:fldCharType="separate"/>
        </w:r>
        <w:r w:rsidR="00A41F5D">
          <w:rPr>
            <w:webHidden/>
          </w:rPr>
          <w:t>IV</w:t>
        </w:r>
        <w:r w:rsidR="00A41F5D">
          <w:rPr>
            <w:webHidden/>
          </w:rPr>
          <w:fldChar w:fldCharType="end"/>
        </w:r>
      </w:hyperlink>
    </w:p>
    <w:p w14:paraId="5ED25D21" w14:textId="77777777" w:rsidR="00A41F5D" w:rsidRDefault="005F5E76">
      <w:pPr>
        <w:pStyle w:val="Verzeichnis1"/>
        <w:rPr>
          <w:rFonts w:asciiTheme="minorHAnsi" w:eastAsiaTheme="minorEastAsia" w:hAnsiTheme="minorHAnsi" w:cstheme="minorBidi"/>
          <w:b w:val="0"/>
          <w:sz w:val="24"/>
          <w:szCs w:val="24"/>
        </w:rPr>
      </w:pPr>
      <w:hyperlink w:anchor="_Toc456884959" w:history="1">
        <w:r w:rsidR="00A41F5D" w:rsidRPr="006047B0">
          <w:rPr>
            <w:rStyle w:val="Link"/>
          </w:rPr>
          <w:t>1</w:t>
        </w:r>
        <w:r w:rsidR="00A41F5D">
          <w:rPr>
            <w:rFonts w:asciiTheme="minorHAnsi" w:eastAsiaTheme="minorEastAsia" w:hAnsiTheme="minorHAnsi" w:cstheme="minorBidi"/>
            <w:b w:val="0"/>
            <w:sz w:val="24"/>
            <w:szCs w:val="24"/>
          </w:rPr>
          <w:tab/>
        </w:r>
        <w:r w:rsidR="00A41F5D" w:rsidRPr="006047B0">
          <w:rPr>
            <w:rStyle w:val="Link"/>
          </w:rPr>
          <w:t>Einleitung</w:t>
        </w:r>
        <w:r w:rsidR="00A41F5D">
          <w:rPr>
            <w:webHidden/>
          </w:rPr>
          <w:tab/>
        </w:r>
        <w:r w:rsidR="00A41F5D">
          <w:rPr>
            <w:webHidden/>
          </w:rPr>
          <w:fldChar w:fldCharType="begin"/>
        </w:r>
        <w:r w:rsidR="00A41F5D">
          <w:rPr>
            <w:webHidden/>
          </w:rPr>
          <w:instrText xml:space="preserve"> PAGEREF _Toc456884959 \h </w:instrText>
        </w:r>
        <w:r w:rsidR="00A41F5D">
          <w:rPr>
            <w:webHidden/>
          </w:rPr>
        </w:r>
        <w:r w:rsidR="00A41F5D">
          <w:rPr>
            <w:webHidden/>
          </w:rPr>
          <w:fldChar w:fldCharType="separate"/>
        </w:r>
        <w:r w:rsidR="00A41F5D">
          <w:rPr>
            <w:webHidden/>
          </w:rPr>
          <w:t>1</w:t>
        </w:r>
        <w:r w:rsidR="00A41F5D">
          <w:rPr>
            <w:webHidden/>
          </w:rPr>
          <w:fldChar w:fldCharType="end"/>
        </w:r>
      </w:hyperlink>
    </w:p>
    <w:p w14:paraId="474B9A72" w14:textId="77777777" w:rsidR="00A41F5D" w:rsidRDefault="005F5E76">
      <w:pPr>
        <w:pStyle w:val="Verzeichnis1"/>
        <w:rPr>
          <w:rFonts w:asciiTheme="minorHAnsi" w:eastAsiaTheme="minorEastAsia" w:hAnsiTheme="minorHAnsi" w:cstheme="minorBidi"/>
          <w:b w:val="0"/>
          <w:sz w:val="24"/>
          <w:szCs w:val="24"/>
        </w:rPr>
      </w:pPr>
      <w:hyperlink w:anchor="_Toc456884960" w:history="1">
        <w:r w:rsidR="00A41F5D" w:rsidRPr="006047B0">
          <w:rPr>
            <w:rStyle w:val="Link"/>
          </w:rPr>
          <w:t>2</w:t>
        </w:r>
        <w:r w:rsidR="00A41F5D">
          <w:rPr>
            <w:rFonts w:asciiTheme="minorHAnsi" w:eastAsiaTheme="minorEastAsia" w:hAnsiTheme="minorHAnsi" w:cstheme="minorBidi"/>
            <w:b w:val="0"/>
            <w:sz w:val="24"/>
            <w:szCs w:val="24"/>
          </w:rPr>
          <w:tab/>
        </w:r>
        <w:r w:rsidR="00A41F5D" w:rsidRPr="006047B0">
          <w:rPr>
            <w:rStyle w:val="Link"/>
          </w:rPr>
          <w:t>Grundlagen</w:t>
        </w:r>
        <w:r w:rsidR="00A41F5D">
          <w:rPr>
            <w:webHidden/>
          </w:rPr>
          <w:tab/>
        </w:r>
        <w:r w:rsidR="00A41F5D">
          <w:rPr>
            <w:webHidden/>
          </w:rPr>
          <w:fldChar w:fldCharType="begin"/>
        </w:r>
        <w:r w:rsidR="00A41F5D">
          <w:rPr>
            <w:webHidden/>
          </w:rPr>
          <w:instrText xml:space="preserve"> PAGEREF _Toc456884960 \h </w:instrText>
        </w:r>
        <w:r w:rsidR="00A41F5D">
          <w:rPr>
            <w:webHidden/>
          </w:rPr>
        </w:r>
        <w:r w:rsidR="00A41F5D">
          <w:rPr>
            <w:webHidden/>
          </w:rPr>
          <w:fldChar w:fldCharType="separate"/>
        </w:r>
        <w:r w:rsidR="00A41F5D">
          <w:rPr>
            <w:webHidden/>
          </w:rPr>
          <w:t>3</w:t>
        </w:r>
        <w:r w:rsidR="00A41F5D">
          <w:rPr>
            <w:webHidden/>
          </w:rPr>
          <w:fldChar w:fldCharType="end"/>
        </w:r>
      </w:hyperlink>
    </w:p>
    <w:p w14:paraId="3A70F0FD" w14:textId="77777777" w:rsidR="00A41F5D" w:rsidRDefault="005F5E76">
      <w:pPr>
        <w:pStyle w:val="Verzeichnis2"/>
        <w:rPr>
          <w:rFonts w:asciiTheme="minorHAnsi" w:eastAsiaTheme="minorEastAsia" w:hAnsiTheme="minorHAnsi" w:cstheme="minorBidi"/>
          <w:sz w:val="24"/>
          <w:szCs w:val="24"/>
        </w:rPr>
      </w:pPr>
      <w:hyperlink w:anchor="_Toc456884961" w:history="1">
        <w:r w:rsidR="00A41F5D" w:rsidRPr="006047B0">
          <w:rPr>
            <w:rStyle w:val="Link"/>
          </w:rPr>
          <w:t>2.1</w:t>
        </w:r>
        <w:r w:rsidR="00A41F5D">
          <w:rPr>
            <w:rFonts w:asciiTheme="minorHAnsi" w:eastAsiaTheme="minorEastAsia" w:hAnsiTheme="minorHAnsi" w:cstheme="minorBidi"/>
            <w:sz w:val="24"/>
            <w:szCs w:val="24"/>
          </w:rPr>
          <w:tab/>
        </w:r>
        <w:r w:rsidR="00A41F5D" w:rsidRPr="006047B0">
          <w:rPr>
            <w:rStyle w:val="Link"/>
          </w:rPr>
          <w:t>Innovation zur Existenzsicherung</w:t>
        </w:r>
        <w:r w:rsidR="00A41F5D">
          <w:rPr>
            <w:webHidden/>
          </w:rPr>
          <w:tab/>
        </w:r>
        <w:r w:rsidR="00A41F5D">
          <w:rPr>
            <w:webHidden/>
          </w:rPr>
          <w:fldChar w:fldCharType="begin"/>
        </w:r>
        <w:r w:rsidR="00A41F5D">
          <w:rPr>
            <w:webHidden/>
          </w:rPr>
          <w:instrText xml:space="preserve"> PAGEREF _Toc456884961 \h </w:instrText>
        </w:r>
        <w:r w:rsidR="00A41F5D">
          <w:rPr>
            <w:webHidden/>
          </w:rPr>
        </w:r>
        <w:r w:rsidR="00A41F5D">
          <w:rPr>
            <w:webHidden/>
          </w:rPr>
          <w:fldChar w:fldCharType="separate"/>
        </w:r>
        <w:r w:rsidR="00A41F5D">
          <w:rPr>
            <w:webHidden/>
          </w:rPr>
          <w:t>3</w:t>
        </w:r>
        <w:r w:rsidR="00A41F5D">
          <w:rPr>
            <w:webHidden/>
          </w:rPr>
          <w:fldChar w:fldCharType="end"/>
        </w:r>
      </w:hyperlink>
    </w:p>
    <w:p w14:paraId="19D9F121" w14:textId="77777777" w:rsidR="00A41F5D" w:rsidRDefault="005F5E76">
      <w:pPr>
        <w:pStyle w:val="Verzeichnis2"/>
        <w:rPr>
          <w:rFonts w:asciiTheme="minorHAnsi" w:eastAsiaTheme="minorEastAsia" w:hAnsiTheme="minorHAnsi" w:cstheme="minorBidi"/>
          <w:sz w:val="24"/>
          <w:szCs w:val="24"/>
        </w:rPr>
      </w:pPr>
      <w:hyperlink w:anchor="_Toc456884962" w:history="1">
        <w:r w:rsidR="00A41F5D" w:rsidRPr="006047B0">
          <w:rPr>
            <w:rStyle w:val="Link"/>
          </w:rPr>
          <w:t>2.2</w:t>
        </w:r>
        <w:r w:rsidR="00A41F5D">
          <w:rPr>
            <w:rFonts w:asciiTheme="minorHAnsi" w:eastAsiaTheme="minorEastAsia" w:hAnsiTheme="minorHAnsi" w:cstheme="minorBidi"/>
            <w:sz w:val="24"/>
            <w:szCs w:val="24"/>
          </w:rPr>
          <w:tab/>
        </w:r>
        <w:r w:rsidR="00A41F5D" w:rsidRPr="006047B0">
          <w:rPr>
            <w:rStyle w:val="Link"/>
          </w:rPr>
          <w:t>Innovationssteuerung durch Produkt-Management</w:t>
        </w:r>
        <w:r w:rsidR="00A41F5D">
          <w:rPr>
            <w:webHidden/>
          </w:rPr>
          <w:tab/>
        </w:r>
        <w:r w:rsidR="00A41F5D">
          <w:rPr>
            <w:webHidden/>
          </w:rPr>
          <w:fldChar w:fldCharType="begin"/>
        </w:r>
        <w:r w:rsidR="00A41F5D">
          <w:rPr>
            <w:webHidden/>
          </w:rPr>
          <w:instrText xml:space="preserve"> PAGEREF _Toc456884962 \h </w:instrText>
        </w:r>
        <w:r w:rsidR="00A41F5D">
          <w:rPr>
            <w:webHidden/>
          </w:rPr>
        </w:r>
        <w:r w:rsidR="00A41F5D">
          <w:rPr>
            <w:webHidden/>
          </w:rPr>
          <w:fldChar w:fldCharType="separate"/>
        </w:r>
        <w:r w:rsidR="00A41F5D">
          <w:rPr>
            <w:webHidden/>
          </w:rPr>
          <w:t>6</w:t>
        </w:r>
        <w:r w:rsidR="00A41F5D">
          <w:rPr>
            <w:webHidden/>
          </w:rPr>
          <w:fldChar w:fldCharType="end"/>
        </w:r>
      </w:hyperlink>
    </w:p>
    <w:p w14:paraId="590442F2" w14:textId="77777777" w:rsidR="00A41F5D" w:rsidRDefault="005F5E76">
      <w:pPr>
        <w:pStyle w:val="Verzeichnis2"/>
        <w:rPr>
          <w:rFonts w:asciiTheme="minorHAnsi" w:eastAsiaTheme="minorEastAsia" w:hAnsiTheme="minorHAnsi" w:cstheme="minorBidi"/>
          <w:sz w:val="24"/>
          <w:szCs w:val="24"/>
        </w:rPr>
      </w:pPr>
      <w:hyperlink w:anchor="_Toc456884963" w:history="1">
        <w:r w:rsidR="00A41F5D" w:rsidRPr="006047B0">
          <w:rPr>
            <w:rStyle w:val="Link"/>
          </w:rPr>
          <w:t>2.3</w:t>
        </w:r>
        <w:r w:rsidR="00A41F5D">
          <w:rPr>
            <w:rFonts w:asciiTheme="minorHAnsi" w:eastAsiaTheme="minorEastAsia" w:hAnsiTheme="minorHAnsi" w:cstheme="minorBidi"/>
            <w:sz w:val="24"/>
            <w:szCs w:val="24"/>
          </w:rPr>
          <w:tab/>
        </w:r>
        <w:r w:rsidR="00A41F5D" w:rsidRPr="006047B0">
          <w:rPr>
            <w:rStyle w:val="Link"/>
          </w:rPr>
          <w:t>Der Produktlebenszyklus</w:t>
        </w:r>
        <w:r w:rsidR="00A41F5D">
          <w:rPr>
            <w:webHidden/>
          </w:rPr>
          <w:tab/>
        </w:r>
        <w:r w:rsidR="00A41F5D">
          <w:rPr>
            <w:webHidden/>
          </w:rPr>
          <w:fldChar w:fldCharType="begin"/>
        </w:r>
        <w:r w:rsidR="00A41F5D">
          <w:rPr>
            <w:webHidden/>
          </w:rPr>
          <w:instrText xml:space="preserve"> PAGEREF _Toc456884963 \h </w:instrText>
        </w:r>
        <w:r w:rsidR="00A41F5D">
          <w:rPr>
            <w:webHidden/>
          </w:rPr>
        </w:r>
        <w:r w:rsidR="00A41F5D">
          <w:rPr>
            <w:webHidden/>
          </w:rPr>
          <w:fldChar w:fldCharType="separate"/>
        </w:r>
        <w:r w:rsidR="00A41F5D">
          <w:rPr>
            <w:webHidden/>
          </w:rPr>
          <w:t>7</w:t>
        </w:r>
        <w:r w:rsidR="00A41F5D">
          <w:rPr>
            <w:webHidden/>
          </w:rPr>
          <w:fldChar w:fldCharType="end"/>
        </w:r>
      </w:hyperlink>
    </w:p>
    <w:p w14:paraId="13893474" w14:textId="77777777" w:rsidR="00A41F5D" w:rsidRDefault="005F5E76">
      <w:pPr>
        <w:pStyle w:val="Verzeichnis2"/>
        <w:rPr>
          <w:rFonts w:asciiTheme="minorHAnsi" w:eastAsiaTheme="minorEastAsia" w:hAnsiTheme="minorHAnsi" w:cstheme="minorBidi"/>
          <w:sz w:val="24"/>
          <w:szCs w:val="24"/>
        </w:rPr>
      </w:pPr>
      <w:hyperlink w:anchor="_Toc456884964" w:history="1">
        <w:r w:rsidR="00A41F5D" w:rsidRPr="006047B0">
          <w:rPr>
            <w:rStyle w:val="Link"/>
          </w:rPr>
          <w:t>2.4</w:t>
        </w:r>
        <w:r w:rsidR="00A41F5D">
          <w:rPr>
            <w:rFonts w:asciiTheme="minorHAnsi" w:eastAsiaTheme="minorEastAsia" w:hAnsiTheme="minorHAnsi" w:cstheme="minorBidi"/>
            <w:sz w:val="24"/>
            <w:szCs w:val="24"/>
          </w:rPr>
          <w:tab/>
        </w:r>
        <w:r w:rsidR="00A41F5D" w:rsidRPr="006047B0">
          <w:rPr>
            <w:rStyle w:val="Link"/>
          </w:rPr>
          <w:t>Produktveröffentlichung durch Standards im Release-Management</w:t>
        </w:r>
        <w:r w:rsidR="00A41F5D">
          <w:rPr>
            <w:webHidden/>
          </w:rPr>
          <w:tab/>
        </w:r>
        <w:r w:rsidR="00A41F5D">
          <w:rPr>
            <w:webHidden/>
          </w:rPr>
          <w:fldChar w:fldCharType="begin"/>
        </w:r>
        <w:r w:rsidR="00A41F5D">
          <w:rPr>
            <w:webHidden/>
          </w:rPr>
          <w:instrText xml:space="preserve"> PAGEREF _Toc456884964 \h </w:instrText>
        </w:r>
        <w:r w:rsidR="00A41F5D">
          <w:rPr>
            <w:webHidden/>
          </w:rPr>
        </w:r>
        <w:r w:rsidR="00A41F5D">
          <w:rPr>
            <w:webHidden/>
          </w:rPr>
          <w:fldChar w:fldCharType="separate"/>
        </w:r>
        <w:r w:rsidR="00A41F5D">
          <w:rPr>
            <w:webHidden/>
          </w:rPr>
          <w:t>11</w:t>
        </w:r>
        <w:r w:rsidR="00A41F5D">
          <w:rPr>
            <w:webHidden/>
          </w:rPr>
          <w:fldChar w:fldCharType="end"/>
        </w:r>
      </w:hyperlink>
    </w:p>
    <w:p w14:paraId="11AE0742" w14:textId="77777777" w:rsidR="00A41F5D" w:rsidRDefault="005F5E76">
      <w:pPr>
        <w:pStyle w:val="Verzeichnis1"/>
        <w:rPr>
          <w:rFonts w:asciiTheme="minorHAnsi" w:eastAsiaTheme="minorEastAsia" w:hAnsiTheme="minorHAnsi" w:cstheme="minorBidi"/>
          <w:b w:val="0"/>
          <w:sz w:val="24"/>
          <w:szCs w:val="24"/>
        </w:rPr>
      </w:pPr>
      <w:hyperlink w:anchor="_Toc456884965" w:history="1">
        <w:r w:rsidR="00A41F5D" w:rsidRPr="006047B0">
          <w:rPr>
            <w:rStyle w:val="Link"/>
          </w:rPr>
          <w:t>3</w:t>
        </w:r>
        <w:r w:rsidR="00A41F5D">
          <w:rPr>
            <w:rFonts w:asciiTheme="minorHAnsi" w:eastAsiaTheme="minorEastAsia" w:hAnsiTheme="minorHAnsi" w:cstheme="minorBidi"/>
            <w:b w:val="0"/>
            <w:sz w:val="24"/>
            <w:szCs w:val="24"/>
          </w:rPr>
          <w:tab/>
        </w:r>
        <w:r w:rsidR="00A41F5D" w:rsidRPr="006047B0">
          <w:rPr>
            <w:rStyle w:val="Link"/>
          </w:rPr>
          <w:t>Risiken im Produktlebenszyklus als Basis der Standardtypen</w:t>
        </w:r>
        <w:r w:rsidR="00A41F5D">
          <w:rPr>
            <w:webHidden/>
          </w:rPr>
          <w:tab/>
        </w:r>
        <w:r w:rsidR="00A41F5D">
          <w:rPr>
            <w:webHidden/>
          </w:rPr>
          <w:fldChar w:fldCharType="begin"/>
        </w:r>
        <w:r w:rsidR="00A41F5D">
          <w:rPr>
            <w:webHidden/>
          </w:rPr>
          <w:instrText xml:space="preserve"> PAGEREF _Toc456884965 \h </w:instrText>
        </w:r>
        <w:r w:rsidR="00A41F5D">
          <w:rPr>
            <w:webHidden/>
          </w:rPr>
        </w:r>
        <w:r w:rsidR="00A41F5D">
          <w:rPr>
            <w:webHidden/>
          </w:rPr>
          <w:fldChar w:fldCharType="separate"/>
        </w:r>
        <w:r w:rsidR="00A41F5D">
          <w:rPr>
            <w:webHidden/>
          </w:rPr>
          <w:t>16</w:t>
        </w:r>
        <w:r w:rsidR="00A41F5D">
          <w:rPr>
            <w:webHidden/>
          </w:rPr>
          <w:fldChar w:fldCharType="end"/>
        </w:r>
      </w:hyperlink>
    </w:p>
    <w:p w14:paraId="5C591C88" w14:textId="77777777" w:rsidR="00A41F5D" w:rsidRDefault="005F5E76">
      <w:pPr>
        <w:pStyle w:val="Verzeichnis2"/>
        <w:rPr>
          <w:rFonts w:asciiTheme="minorHAnsi" w:eastAsiaTheme="minorEastAsia" w:hAnsiTheme="minorHAnsi" w:cstheme="minorBidi"/>
          <w:sz w:val="24"/>
          <w:szCs w:val="24"/>
        </w:rPr>
      </w:pPr>
      <w:hyperlink w:anchor="_Toc456884966" w:history="1">
        <w:r w:rsidR="00A41F5D" w:rsidRPr="006047B0">
          <w:rPr>
            <w:rStyle w:val="Link"/>
          </w:rPr>
          <w:t>3.1</w:t>
        </w:r>
        <w:r w:rsidR="00A41F5D">
          <w:rPr>
            <w:rFonts w:asciiTheme="minorHAnsi" w:eastAsiaTheme="minorEastAsia" w:hAnsiTheme="minorHAnsi" w:cstheme="minorBidi"/>
            <w:sz w:val="24"/>
            <w:szCs w:val="24"/>
          </w:rPr>
          <w:tab/>
        </w:r>
        <w:r w:rsidR="00A41F5D" w:rsidRPr="006047B0">
          <w:rPr>
            <w:rStyle w:val="Link"/>
          </w:rPr>
          <w:t>Entwicklung</w:t>
        </w:r>
        <w:r w:rsidR="00A41F5D">
          <w:rPr>
            <w:webHidden/>
          </w:rPr>
          <w:tab/>
        </w:r>
        <w:r w:rsidR="00A41F5D">
          <w:rPr>
            <w:webHidden/>
          </w:rPr>
          <w:fldChar w:fldCharType="begin"/>
        </w:r>
        <w:r w:rsidR="00A41F5D">
          <w:rPr>
            <w:webHidden/>
          </w:rPr>
          <w:instrText xml:space="preserve"> PAGEREF _Toc456884966 \h </w:instrText>
        </w:r>
        <w:r w:rsidR="00A41F5D">
          <w:rPr>
            <w:webHidden/>
          </w:rPr>
        </w:r>
        <w:r w:rsidR="00A41F5D">
          <w:rPr>
            <w:webHidden/>
          </w:rPr>
          <w:fldChar w:fldCharType="separate"/>
        </w:r>
        <w:r w:rsidR="00A41F5D">
          <w:rPr>
            <w:webHidden/>
          </w:rPr>
          <w:t>16</w:t>
        </w:r>
        <w:r w:rsidR="00A41F5D">
          <w:rPr>
            <w:webHidden/>
          </w:rPr>
          <w:fldChar w:fldCharType="end"/>
        </w:r>
      </w:hyperlink>
    </w:p>
    <w:p w14:paraId="61A87807" w14:textId="77777777" w:rsidR="00A41F5D" w:rsidRDefault="005F5E76">
      <w:pPr>
        <w:pStyle w:val="Verzeichnis2"/>
        <w:rPr>
          <w:rFonts w:asciiTheme="minorHAnsi" w:eastAsiaTheme="minorEastAsia" w:hAnsiTheme="minorHAnsi" w:cstheme="minorBidi"/>
          <w:sz w:val="24"/>
          <w:szCs w:val="24"/>
        </w:rPr>
      </w:pPr>
      <w:hyperlink w:anchor="_Toc456884967" w:history="1">
        <w:r w:rsidR="00A41F5D" w:rsidRPr="006047B0">
          <w:rPr>
            <w:rStyle w:val="Link"/>
          </w:rPr>
          <w:t>3.2</w:t>
        </w:r>
        <w:r w:rsidR="00A41F5D">
          <w:rPr>
            <w:rFonts w:asciiTheme="minorHAnsi" w:eastAsiaTheme="minorEastAsia" w:hAnsiTheme="minorHAnsi" w:cstheme="minorBidi"/>
            <w:sz w:val="24"/>
            <w:szCs w:val="24"/>
          </w:rPr>
          <w:tab/>
        </w:r>
        <w:r w:rsidR="00A41F5D" w:rsidRPr="006047B0">
          <w:rPr>
            <w:rStyle w:val="Link"/>
          </w:rPr>
          <w:t>Einführung</w:t>
        </w:r>
        <w:r w:rsidR="00A41F5D">
          <w:rPr>
            <w:webHidden/>
          </w:rPr>
          <w:tab/>
        </w:r>
        <w:r w:rsidR="00A41F5D">
          <w:rPr>
            <w:webHidden/>
          </w:rPr>
          <w:fldChar w:fldCharType="begin"/>
        </w:r>
        <w:r w:rsidR="00A41F5D">
          <w:rPr>
            <w:webHidden/>
          </w:rPr>
          <w:instrText xml:space="preserve"> PAGEREF _Toc456884967 \h </w:instrText>
        </w:r>
        <w:r w:rsidR="00A41F5D">
          <w:rPr>
            <w:webHidden/>
          </w:rPr>
        </w:r>
        <w:r w:rsidR="00A41F5D">
          <w:rPr>
            <w:webHidden/>
          </w:rPr>
          <w:fldChar w:fldCharType="separate"/>
        </w:r>
        <w:r w:rsidR="00A41F5D">
          <w:rPr>
            <w:webHidden/>
          </w:rPr>
          <w:t>17</w:t>
        </w:r>
        <w:r w:rsidR="00A41F5D">
          <w:rPr>
            <w:webHidden/>
          </w:rPr>
          <w:fldChar w:fldCharType="end"/>
        </w:r>
      </w:hyperlink>
    </w:p>
    <w:p w14:paraId="17119098" w14:textId="77777777" w:rsidR="00A41F5D" w:rsidRDefault="005F5E76">
      <w:pPr>
        <w:pStyle w:val="Verzeichnis2"/>
        <w:rPr>
          <w:rFonts w:asciiTheme="minorHAnsi" w:eastAsiaTheme="minorEastAsia" w:hAnsiTheme="minorHAnsi" w:cstheme="minorBidi"/>
          <w:sz w:val="24"/>
          <w:szCs w:val="24"/>
        </w:rPr>
      </w:pPr>
      <w:hyperlink w:anchor="_Toc456884968" w:history="1">
        <w:r w:rsidR="00A41F5D" w:rsidRPr="006047B0">
          <w:rPr>
            <w:rStyle w:val="Link"/>
          </w:rPr>
          <w:t>3.3</w:t>
        </w:r>
        <w:r w:rsidR="00A41F5D">
          <w:rPr>
            <w:rFonts w:asciiTheme="minorHAnsi" w:eastAsiaTheme="minorEastAsia" w:hAnsiTheme="minorHAnsi" w:cstheme="minorBidi"/>
            <w:sz w:val="24"/>
            <w:szCs w:val="24"/>
          </w:rPr>
          <w:tab/>
        </w:r>
        <w:r w:rsidR="00A41F5D" w:rsidRPr="006047B0">
          <w:rPr>
            <w:rStyle w:val="Link"/>
          </w:rPr>
          <w:t>Wachstum</w:t>
        </w:r>
        <w:r w:rsidR="00A41F5D">
          <w:rPr>
            <w:webHidden/>
          </w:rPr>
          <w:tab/>
        </w:r>
        <w:r w:rsidR="00A41F5D">
          <w:rPr>
            <w:webHidden/>
          </w:rPr>
          <w:fldChar w:fldCharType="begin"/>
        </w:r>
        <w:r w:rsidR="00A41F5D">
          <w:rPr>
            <w:webHidden/>
          </w:rPr>
          <w:instrText xml:space="preserve"> PAGEREF _Toc456884968 \h </w:instrText>
        </w:r>
        <w:r w:rsidR="00A41F5D">
          <w:rPr>
            <w:webHidden/>
          </w:rPr>
        </w:r>
        <w:r w:rsidR="00A41F5D">
          <w:rPr>
            <w:webHidden/>
          </w:rPr>
          <w:fldChar w:fldCharType="separate"/>
        </w:r>
        <w:r w:rsidR="00A41F5D">
          <w:rPr>
            <w:webHidden/>
          </w:rPr>
          <w:t>18</w:t>
        </w:r>
        <w:r w:rsidR="00A41F5D">
          <w:rPr>
            <w:webHidden/>
          </w:rPr>
          <w:fldChar w:fldCharType="end"/>
        </w:r>
      </w:hyperlink>
    </w:p>
    <w:p w14:paraId="17E4C7DA" w14:textId="77777777" w:rsidR="00A41F5D" w:rsidRDefault="005F5E76">
      <w:pPr>
        <w:pStyle w:val="Verzeichnis2"/>
        <w:rPr>
          <w:rFonts w:asciiTheme="minorHAnsi" w:eastAsiaTheme="minorEastAsia" w:hAnsiTheme="minorHAnsi" w:cstheme="minorBidi"/>
          <w:sz w:val="24"/>
          <w:szCs w:val="24"/>
        </w:rPr>
      </w:pPr>
      <w:hyperlink w:anchor="_Toc456884969" w:history="1">
        <w:r w:rsidR="00A41F5D" w:rsidRPr="006047B0">
          <w:rPr>
            <w:rStyle w:val="Link"/>
          </w:rPr>
          <w:t>3.4</w:t>
        </w:r>
        <w:r w:rsidR="00A41F5D">
          <w:rPr>
            <w:rFonts w:asciiTheme="minorHAnsi" w:eastAsiaTheme="minorEastAsia" w:hAnsiTheme="minorHAnsi" w:cstheme="minorBidi"/>
            <w:sz w:val="24"/>
            <w:szCs w:val="24"/>
          </w:rPr>
          <w:tab/>
        </w:r>
        <w:r w:rsidR="00A41F5D" w:rsidRPr="006047B0">
          <w:rPr>
            <w:rStyle w:val="Link"/>
          </w:rPr>
          <w:t>Reife</w:t>
        </w:r>
        <w:r w:rsidR="00A41F5D">
          <w:rPr>
            <w:webHidden/>
          </w:rPr>
          <w:tab/>
        </w:r>
        <w:r w:rsidR="00A41F5D">
          <w:rPr>
            <w:webHidden/>
          </w:rPr>
          <w:fldChar w:fldCharType="begin"/>
        </w:r>
        <w:r w:rsidR="00A41F5D">
          <w:rPr>
            <w:webHidden/>
          </w:rPr>
          <w:instrText xml:space="preserve"> PAGEREF _Toc456884969 \h </w:instrText>
        </w:r>
        <w:r w:rsidR="00A41F5D">
          <w:rPr>
            <w:webHidden/>
          </w:rPr>
        </w:r>
        <w:r w:rsidR="00A41F5D">
          <w:rPr>
            <w:webHidden/>
          </w:rPr>
          <w:fldChar w:fldCharType="separate"/>
        </w:r>
        <w:r w:rsidR="00A41F5D">
          <w:rPr>
            <w:webHidden/>
          </w:rPr>
          <w:t>19</w:t>
        </w:r>
        <w:r w:rsidR="00A41F5D">
          <w:rPr>
            <w:webHidden/>
          </w:rPr>
          <w:fldChar w:fldCharType="end"/>
        </w:r>
      </w:hyperlink>
    </w:p>
    <w:p w14:paraId="3ED3A540" w14:textId="77777777" w:rsidR="00A41F5D" w:rsidRDefault="005F5E76">
      <w:pPr>
        <w:pStyle w:val="Verzeichnis2"/>
        <w:rPr>
          <w:rFonts w:asciiTheme="minorHAnsi" w:eastAsiaTheme="minorEastAsia" w:hAnsiTheme="minorHAnsi" w:cstheme="minorBidi"/>
          <w:sz w:val="24"/>
          <w:szCs w:val="24"/>
        </w:rPr>
      </w:pPr>
      <w:hyperlink w:anchor="_Toc456884970" w:history="1">
        <w:r w:rsidR="00A41F5D" w:rsidRPr="006047B0">
          <w:rPr>
            <w:rStyle w:val="Link"/>
          </w:rPr>
          <w:t>3.5</w:t>
        </w:r>
        <w:r w:rsidR="00A41F5D">
          <w:rPr>
            <w:rFonts w:asciiTheme="minorHAnsi" w:eastAsiaTheme="minorEastAsia" w:hAnsiTheme="minorHAnsi" w:cstheme="minorBidi"/>
            <w:sz w:val="24"/>
            <w:szCs w:val="24"/>
          </w:rPr>
          <w:tab/>
        </w:r>
        <w:r w:rsidR="00A41F5D" w:rsidRPr="006047B0">
          <w:rPr>
            <w:rStyle w:val="Link"/>
          </w:rPr>
          <w:t>Entsorgung</w:t>
        </w:r>
        <w:r w:rsidR="00A41F5D">
          <w:rPr>
            <w:webHidden/>
          </w:rPr>
          <w:tab/>
        </w:r>
        <w:r w:rsidR="00A41F5D">
          <w:rPr>
            <w:webHidden/>
          </w:rPr>
          <w:fldChar w:fldCharType="begin"/>
        </w:r>
        <w:r w:rsidR="00A41F5D">
          <w:rPr>
            <w:webHidden/>
          </w:rPr>
          <w:instrText xml:space="preserve"> PAGEREF _Toc456884970 \h </w:instrText>
        </w:r>
        <w:r w:rsidR="00A41F5D">
          <w:rPr>
            <w:webHidden/>
          </w:rPr>
        </w:r>
        <w:r w:rsidR="00A41F5D">
          <w:rPr>
            <w:webHidden/>
          </w:rPr>
          <w:fldChar w:fldCharType="separate"/>
        </w:r>
        <w:r w:rsidR="00A41F5D">
          <w:rPr>
            <w:webHidden/>
          </w:rPr>
          <w:t>19</w:t>
        </w:r>
        <w:r w:rsidR="00A41F5D">
          <w:rPr>
            <w:webHidden/>
          </w:rPr>
          <w:fldChar w:fldCharType="end"/>
        </w:r>
      </w:hyperlink>
    </w:p>
    <w:p w14:paraId="587764C9" w14:textId="77777777" w:rsidR="00A41F5D" w:rsidRDefault="005F5E76">
      <w:pPr>
        <w:pStyle w:val="Verzeichnis2"/>
        <w:rPr>
          <w:rFonts w:asciiTheme="minorHAnsi" w:eastAsiaTheme="minorEastAsia" w:hAnsiTheme="minorHAnsi" w:cstheme="minorBidi"/>
          <w:sz w:val="24"/>
          <w:szCs w:val="24"/>
        </w:rPr>
      </w:pPr>
      <w:hyperlink w:anchor="_Toc456884971" w:history="1">
        <w:r w:rsidR="00A41F5D" w:rsidRPr="006047B0">
          <w:rPr>
            <w:rStyle w:val="Link"/>
          </w:rPr>
          <w:t>3.6</w:t>
        </w:r>
        <w:r w:rsidR="00A41F5D">
          <w:rPr>
            <w:rFonts w:asciiTheme="minorHAnsi" w:eastAsiaTheme="minorEastAsia" w:hAnsiTheme="minorHAnsi" w:cstheme="minorBidi"/>
            <w:sz w:val="24"/>
            <w:szCs w:val="24"/>
          </w:rPr>
          <w:tab/>
        </w:r>
        <w:r w:rsidR="00A41F5D" w:rsidRPr="006047B0">
          <w:rPr>
            <w:rStyle w:val="Link"/>
          </w:rPr>
          <w:t>Zusammenfassung der Risiken in den Phasen</w:t>
        </w:r>
        <w:r w:rsidR="00A41F5D">
          <w:rPr>
            <w:webHidden/>
          </w:rPr>
          <w:tab/>
        </w:r>
        <w:r w:rsidR="00A41F5D">
          <w:rPr>
            <w:webHidden/>
          </w:rPr>
          <w:fldChar w:fldCharType="begin"/>
        </w:r>
        <w:r w:rsidR="00A41F5D">
          <w:rPr>
            <w:webHidden/>
          </w:rPr>
          <w:instrText xml:space="preserve"> PAGEREF _Toc456884971 \h </w:instrText>
        </w:r>
        <w:r w:rsidR="00A41F5D">
          <w:rPr>
            <w:webHidden/>
          </w:rPr>
        </w:r>
        <w:r w:rsidR="00A41F5D">
          <w:rPr>
            <w:webHidden/>
          </w:rPr>
          <w:fldChar w:fldCharType="separate"/>
        </w:r>
        <w:r w:rsidR="00A41F5D">
          <w:rPr>
            <w:webHidden/>
          </w:rPr>
          <w:t>20</w:t>
        </w:r>
        <w:r w:rsidR="00A41F5D">
          <w:rPr>
            <w:webHidden/>
          </w:rPr>
          <w:fldChar w:fldCharType="end"/>
        </w:r>
      </w:hyperlink>
    </w:p>
    <w:p w14:paraId="7762595E" w14:textId="77777777" w:rsidR="00A41F5D" w:rsidRDefault="005F5E76">
      <w:pPr>
        <w:pStyle w:val="Verzeichnis1"/>
        <w:rPr>
          <w:rFonts w:asciiTheme="minorHAnsi" w:eastAsiaTheme="minorEastAsia" w:hAnsiTheme="minorHAnsi" w:cstheme="minorBidi"/>
          <w:b w:val="0"/>
          <w:sz w:val="24"/>
          <w:szCs w:val="24"/>
        </w:rPr>
      </w:pPr>
      <w:hyperlink w:anchor="_Toc456884972" w:history="1">
        <w:r w:rsidR="00A41F5D" w:rsidRPr="006047B0">
          <w:rPr>
            <w:rStyle w:val="Link"/>
          </w:rPr>
          <w:t>4</w:t>
        </w:r>
        <w:r w:rsidR="00A41F5D">
          <w:rPr>
            <w:rFonts w:asciiTheme="minorHAnsi" w:eastAsiaTheme="minorEastAsia" w:hAnsiTheme="minorHAnsi" w:cstheme="minorBidi"/>
            <w:b w:val="0"/>
            <w:sz w:val="24"/>
            <w:szCs w:val="24"/>
          </w:rPr>
          <w:tab/>
        </w:r>
        <w:r w:rsidR="00A41F5D" w:rsidRPr="006047B0">
          <w:rPr>
            <w:rStyle w:val="Link"/>
          </w:rPr>
          <w:t>Faktoren des Release-Managements zum Umgang mit Risiken</w:t>
        </w:r>
        <w:r w:rsidR="00A41F5D">
          <w:rPr>
            <w:webHidden/>
          </w:rPr>
          <w:tab/>
        </w:r>
        <w:r w:rsidR="00A41F5D">
          <w:rPr>
            <w:webHidden/>
          </w:rPr>
          <w:fldChar w:fldCharType="begin"/>
        </w:r>
        <w:r w:rsidR="00A41F5D">
          <w:rPr>
            <w:webHidden/>
          </w:rPr>
          <w:instrText xml:space="preserve"> PAGEREF _Toc456884972 \h </w:instrText>
        </w:r>
        <w:r w:rsidR="00A41F5D">
          <w:rPr>
            <w:webHidden/>
          </w:rPr>
        </w:r>
        <w:r w:rsidR="00A41F5D">
          <w:rPr>
            <w:webHidden/>
          </w:rPr>
          <w:fldChar w:fldCharType="separate"/>
        </w:r>
        <w:r w:rsidR="00A41F5D">
          <w:rPr>
            <w:webHidden/>
          </w:rPr>
          <w:t>23</w:t>
        </w:r>
        <w:r w:rsidR="00A41F5D">
          <w:rPr>
            <w:webHidden/>
          </w:rPr>
          <w:fldChar w:fldCharType="end"/>
        </w:r>
      </w:hyperlink>
    </w:p>
    <w:p w14:paraId="130B7000" w14:textId="77777777" w:rsidR="00A41F5D" w:rsidRDefault="005F5E76">
      <w:pPr>
        <w:pStyle w:val="Verzeichnis2"/>
        <w:rPr>
          <w:rFonts w:asciiTheme="minorHAnsi" w:eastAsiaTheme="minorEastAsia" w:hAnsiTheme="minorHAnsi" w:cstheme="minorBidi"/>
          <w:sz w:val="24"/>
          <w:szCs w:val="24"/>
        </w:rPr>
      </w:pPr>
      <w:hyperlink w:anchor="_Toc456884973" w:history="1">
        <w:r w:rsidR="00A41F5D" w:rsidRPr="006047B0">
          <w:rPr>
            <w:rStyle w:val="Link"/>
          </w:rPr>
          <w:t>4.1</w:t>
        </w:r>
        <w:r w:rsidR="00A41F5D">
          <w:rPr>
            <w:rFonts w:asciiTheme="minorHAnsi" w:eastAsiaTheme="minorEastAsia" w:hAnsiTheme="minorHAnsi" w:cstheme="minorBidi"/>
            <w:sz w:val="24"/>
            <w:szCs w:val="24"/>
          </w:rPr>
          <w:tab/>
        </w:r>
        <w:r w:rsidR="00A41F5D" w:rsidRPr="006047B0">
          <w:rPr>
            <w:rStyle w:val="Link"/>
          </w:rPr>
          <w:t>Transition Planning and Support</w:t>
        </w:r>
        <w:r w:rsidR="00A41F5D">
          <w:rPr>
            <w:webHidden/>
          </w:rPr>
          <w:tab/>
        </w:r>
        <w:r w:rsidR="00A41F5D">
          <w:rPr>
            <w:webHidden/>
          </w:rPr>
          <w:fldChar w:fldCharType="begin"/>
        </w:r>
        <w:r w:rsidR="00A41F5D">
          <w:rPr>
            <w:webHidden/>
          </w:rPr>
          <w:instrText xml:space="preserve"> PAGEREF _Toc456884973 \h </w:instrText>
        </w:r>
        <w:r w:rsidR="00A41F5D">
          <w:rPr>
            <w:webHidden/>
          </w:rPr>
        </w:r>
        <w:r w:rsidR="00A41F5D">
          <w:rPr>
            <w:webHidden/>
          </w:rPr>
          <w:fldChar w:fldCharType="separate"/>
        </w:r>
        <w:r w:rsidR="00A41F5D">
          <w:rPr>
            <w:webHidden/>
          </w:rPr>
          <w:t>23</w:t>
        </w:r>
        <w:r w:rsidR="00A41F5D">
          <w:rPr>
            <w:webHidden/>
          </w:rPr>
          <w:fldChar w:fldCharType="end"/>
        </w:r>
      </w:hyperlink>
    </w:p>
    <w:p w14:paraId="38D4656D" w14:textId="77777777" w:rsidR="00A41F5D" w:rsidRDefault="005F5E76">
      <w:pPr>
        <w:pStyle w:val="Verzeichnis2"/>
        <w:rPr>
          <w:rFonts w:asciiTheme="minorHAnsi" w:eastAsiaTheme="minorEastAsia" w:hAnsiTheme="minorHAnsi" w:cstheme="minorBidi"/>
          <w:sz w:val="24"/>
          <w:szCs w:val="24"/>
        </w:rPr>
      </w:pPr>
      <w:hyperlink w:anchor="_Toc456884974" w:history="1">
        <w:r w:rsidR="00A41F5D" w:rsidRPr="006047B0">
          <w:rPr>
            <w:rStyle w:val="Link"/>
          </w:rPr>
          <w:t>4.2</w:t>
        </w:r>
        <w:r w:rsidR="00A41F5D">
          <w:rPr>
            <w:rFonts w:asciiTheme="minorHAnsi" w:eastAsiaTheme="minorEastAsia" w:hAnsiTheme="minorHAnsi" w:cstheme="minorBidi"/>
            <w:sz w:val="24"/>
            <w:szCs w:val="24"/>
          </w:rPr>
          <w:tab/>
        </w:r>
        <w:r w:rsidR="00A41F5D" w:rsidRPr="006047B0">
          <w:rPr>
            <w:rStyle w:val="Link"/>
          </w:rPr>
          <w:t>Change Management</w:t>
        </w:r>
        <w:r w:rsidR="00A41F5D">
          <w:rPr>
            <w:webHidden/>
          </w:rPr>
          <w:tab/>
        </w:r>
        <w:r w:rsidR="00A41F5D">
          <w:rPr>
            <w:webHidden/>
          </w:rPr>
          <w:fldChar w:fldCharType="begin"/>
        </w:r>
        <w:r w:rsidR="00A41F5D">
          <w:rPr>
            <w:webHidden/>
          </w:rPr>
          <w:instrText xml:space="preserve"> PAGEREF _Toc456884974 \h </w:instrText>
        </w:r>
        <w:r w:rsidR="00A41F5D">
          <w:rPr>
            <w:webHidden/>
          </w:rPr>
        </w:r>
        <w:r w:rsidR="00A41F5D">
          <w:rPr>
            <w:webHidden/>
          </w:rPr>
          <w:fldChar w:fldCharType="separate"/>
        </w:r>
        <w:r w:rsidR="00A41F5D">
          <w:rPr>
            <w:webHidden/>
          </w:rPr>
          <w:t>25</w:t>
        </w:r>
        <w:r w:rsidR="00A41F5D">
          <w:rPr>
            <w:webHidden/>
          </w:rPr>
          <w:fldChar w:fldCharType="end"/>
        </w:r>
      </w:hyperlink>
    </w:p>
    <w:p w14:paraId="4743CDA1" w14:textId="77777777" w:rsidR="00A41F5D" w:rsidRDefault="005F5E76">
      <w:pPr>
        <w:pStyle w:val="Verzeichnis2"/>
        <w:rPr>
          <w:rFonts w:asciiTheme="minorHAnsi" w:eastAsiaTheme="minorEastAsia" w:hAnsiTheme="minorHAnsi" w:cstheme="minorBidi"/>
          <w:sz w:val="24"/>
          <w:szCs w:val="24"/>
        </w:rPr>
      </w:pPr>
      <w:hyperlink w:anchor="_Toc456884975" w:history="1">
        <w:r w:rsidR="00A41F5D" w:rsidRPr="006047B0">
          <w:rPr>
            <w:rStyle w:val="Link"/>
          </w:rPr>
          <w:t>4.3</w:t>
        </w:r>
        <w:r w:rsidR="00A41F5D">
          <w:rPr>
            <w:rFonts w:asciiTheme="minorHAnsi" w:eastAsiaTheme="minorEastAsia" w:hAnsiTheme="minorHAnsi" w:cstheme="minorBidi"/>
            <w:sz w:val="24"/>
            <w:szCs w:val="24"/>
          </w:rPr>
          <w:tab/>
        </w:r>
        <w:r w:rsidR="00A41F5D" w:rsidRPr="006047B0">
          <w:rPr>
            <w:rStyle w:val="Link"/>
          </w:rPr>
          <w:t>Service Asset And Configuration Management</w:t>
        </w:r>
        <w:r w:rsidR="00A41F5D">
          <w:rPr>
            <w:webHidden/>
          </w:rPr>
          <w:tab/>
        </w:r>
        <w:r w:rsidR="00A41F5D">
          <w:rPr>
            <w:webHidden/>
          </w:rPr>
          <w:fldChar w:fldCharType="begin"/>
        </w:r>
        <w:r w:rsidR="00A41F5D">
          <w:rPr>
            <w:webHidden/>
          </w:rPr>
          <w:instrText xml:space="preserve"> PAGEREF _Toc456884975 \h </w:instrText>
        </w:r>
        <w:r w:rsidR="00A41F5D">
          <w:rPr>
            <w:webHidden/>
          </w:rPr>
        </w:r>
        <w:r w:rsidR="00A41F5D">
          <w:rPr>
            <w:webHidden/>
          </w:rPr>
          <w:fldChar w:fldCharType="separate"/>
        </w:r>
        <w:r w:rsidR="00A41F5D">
          <w:rPr>
            <w:webHidden/>
          </w:rPr>
          <w:t>28</w:t>
        </w:r>
        <w:r w:rsidR="00A41F5D">
          <w:rPr>
            <w:webHidden/>
          </w:rPr>
          <w:fldChar w:fldCharType="end"/>
        </w:r>
      </w:hyperlink>
    </w:p>
    <w:p w14:paraId="0F347AD3" w14:textId="77777777" w:rsidR="00A41F5D" w:rsidRDefault="005F5E76">
      <w:pPr>
        <w:pStyle w:val="Verzeichnis2"/>
        <w:rPr>
          <w:rFonts w:asciiTheme="minorHAnsi" w:eastAsiaTheme="minorEastAsia" w:hAnsiTheme="minorHAnsi" w:cstheme="minorBidi"/>
          <w:sz w:val="24"/>
          <w:szCs w:val="24"/>
        </w:rPr>
      </w:pPr>
      <w:hyperlink w:anchor="_Toc456884976" w:history="1">
        <w:r w:rsidR="00A41F5D" w:rsidRPr="006047B0">
          <w:rPr>
            <w:rStyle w:val="Link"/>
          </w:rPr>
          <w:t>4.4</w:t>
        </w:r>
        <w:r w:rsidR="00A41F5D">
          <w:rPr>
            <w:rFonts w:asciiTheme="minorHAnsi" w:eastAsiaTheme="minorEastAsia" w:hAnsiTheme="minorHAnsi" w:cstheme="minorBidi"/>
            <w:sz w:val="24"/>
            <w:szCs w:val="24"/>
          </w:rPr>
          <w:tab/>
        </w:r>
        <w:r w:rsidR="00A41F5D" w:rsidRPr="006047B0">
          <w:rPr>
            <w:rStyle w:val="Link"/>
          </w:rPr>
          <w:t>Release And Deployment Management</w:t>
        </w:r>
        <w:r w:rsidR="00A41F5D">
          <w:rPr>
            <w:webHidden/>
          </w:rPr>
          <w:tab/>
        </w:r>
        <w:r w:rsidR="00A41F5D">
          <w:rPr>
            <w:webHidden/>
          </w:rPr>
          <w:fldChar w:fldCharType="begin"/>
        </w:r>
        <w:r w:rsidR="00A41F5D">
          <w:rPr>
            <w:webHidden/>
          </w:rPr>
          <w:instrText xml:space="preserve"> PAGEREF _Toc456884976 \h </w:instrText>
        </w:r>
        <w:r w:rsidR="00A41F5D">
          <w:rPr>
            <w:webHidden/>
          </w:rPr>
        </w:r>
        <w:r w:rsidR="00A41F5D">
          <w:rPr>
            <w:webHidden/>
          </w:rPr>
          <w:fldChar w:fldCharType="separate"/>
        </w:r>
        <w:r w:rsidR="00A41F5D">
          <w:rPr>
            <w:webHidden/>
          </w:rPr>
          <w:t>29</w:t>
        </w:r>
        <w:r w:rsidR="00A41F5D">
          <w:rPr>
            <w:webHidden/>
          </w:rPr>
          <w:fldChar w:fldCharType="end"/>
        </w:r>
      </w:hyperlink>
    </w:p>
    <w:p w14:paraId="6B58A241" w14:textId="77777777" w:rsidR="00A41F5D" w:rsidRDefault="005F5E76">
      <w:pPr>
        <w:pStyle w:val="Verzeichnis2"/>
        <w:rPr>
          <w:rFonts w:asciiTheme="minorHAnsi" w:eastAsiaTheme="minorEastAsia" w:hAnsiTheme="minorHAnsi" w:cstheme="minorBidi"/>
          <w:sz w:val="24"/>
          <w:szCs w:val="24"/>
        </w:rPr>
      </w:pPr>
      <w:hyperlink w:anchor="_Toc456884977" w:history="1">
        <w:r w:rsidR="00A41F5D" w:rsidRPr="006047B0">
          <w:rPr>
            <w:rStyle w:val="Link"/>
          </w:rPr>
          <w:t>4.5</w:t>
        </w:r>
        <w:r w:rsidR="00A41F5D">
          <w:rPr>
            <w:rFonts w:asciiTheme="minorHAnsi" w:eastAsiaTheme="minorEastAsia" w:hAnsiTheme="minorHAnsi" w:cstheme="minorBidi"/>
            <w:sz w:val="24"/>
            <w:szCs w:val="24"/>
          </w:rPr>
          <w:tab/>
        </w:r>
        <w:r w:rsidR="00A41F5D" w:rsidRPr="006047B0">
          <w:rPr>
            <w:rStyle w:val="Link"/>
          </w:rPr>
          <w:t>Service Validation And Testing</w:t>
        </w:r>
        <w:r w:rsidR="00A41F5D">
          <w:rPr>
            <w:webHidden/>
          </w:rPr>
          <w:tab/>
        </w:r>
        <w:r w:rsidR="00A41F5D">
          <w:rPr>
            <w:webHidden/>
          </w:rPr>
          <w:fldChar w:fldCharType="begin"/>
        </w:r>
        <w:r w:rsidR="00A41F5D">
          <w:rPr>
            <w:webHidden/>
          </w:rPr>
          <w:instrText xml:space="preserve"> PAGEREF _Toc456884977 \h </w:instrText>
        </w:r>
        <w:r w:rsidR="00A41F5D">
          <w:rPr>
            <w:webHidden/>
          </w:rPr>
        </w:r>
        <w:r w:rsidR="00A41F5D">
          <w:rPr>
            <w:webHidden/>
          </w:rPr>
          <w:fldChar w:fldCharType="separate"/>
        </w:r>
        <w:r w:rsidR="00A41F5D">
          <w:rPr>
            <w:webHidden/>
          </w:rPr>
          <w:t>32</w:t>
        </w:r>
        <w:r w:rsidR="00A41F5D">
          <w:rPr>
            <w:webHidden/>
          </w:rPr>
          <w:fldChar w:fldCharType="end"/>
        </w:r>
      </w:hyperlink>
    </w:p>
    <w:p w14:paraId="42557AE5" w14:textId="77777777" w:rsidR="00A41F5D" w:rsidRDefault="005F5E76">
      <w:pPr>
        <w:pStyle w:val="Verzeichnis2"/>
        <w:rPr>
          <w:rFonts w:asciiTheme="minorHAnsi" w:eastAsiaTheme="minorEastAsia" w:hAnsiTheme="minorHAnsi" w:cstheme="minorBidi"/>
          <w:sz w:val="24"/>
          <w:szCs w:val="24"/>
        </w:rPr>
      </w:pPr>
      <w:hyperlink w:anchor="_Toc456884978" w:history="1">
        <w:r w:rsidR="00A41F5D" w:rsidRPr="006047B0">
          <w:rPr>
            <w:rStyle w:val="Link"/>
          </w:rPr>
          <w:t>4.6</w:t>
        </w:r>
        <w:r w:rsidR="00A41F5D">
          <w:rPr>
            <w:rFonts w:asciiTheme="minorHAnsi" w:eastAsiaTheme="minorEastAsia" w:hAnsiTheme="minorHAnsi" w:cstheme="minorBidi"/>
            <w:sz w:val="24"/>
            <w:szCs w:val="24"/>
          </w:rPr>
          <w:tab/>
        </w:r>
        <w:r w:rsidR="00A41F5D" w:rsidRPr="006047B0">
          <w:rPr>
            <w:rStyle w:val="Link"/>
          </w:rPr>
          <w:t>Change Evaluation</w:t>
        </w:r>
        <w:r w:rsidR="00A41F5D">
          <w:rPr>
            <w:webHidden/>
          </w:rPr>
          <w:tab/>
        </w:r>
        <w:r w:rsidR="00A41F5D">
          <w:rPr>
            <w:webHidden/>
          </w:rPr>
          <w:fldChar w:fldCharType="begin"/>
        </w:r>
        <w:r w:rsidR="00A41F5D">
          <w:rPr>
            <w:webHidden/>
          </w:rPr>
          <w:instrText xml:space="preserve"> PAGEREF _Toc456884978 \h </w:instrText>
        </w:r>
        <w:r w:rsidR="00A41F5D">
          <w:rPr>
            <w:webHidden/>
          </w:rPr>
        </w:r>
        <w:r w:rsidR="00A41F5D">
          <w:rPr>
            <w:webHidden/>
          </w:rPr>
          <w:fldChar w:fldCharType="separate"/>
        </w:r>
        <w:r w:rsidR="00A41F5D">
          <w:rPr>
            <w:webHidden/>
          </w:rPr>
          <w:t>36</w:t>
        </w:r>
        <w:r w:rsidR="00A41F5D">
          <w:rPr>
            <w:webHidden/>
          </w:rPr>
          <w:fldChar w:fldCharType="end"/>
        </w:r>
      </w:hyperlink>
    </w:p>
    <w:p w14:paraId="64587097" w14:textId="77777777" w:rsidR="00A41F5D" w:rsidRDefault="005F5E76">
      <w:pPr>
        <w:pStyle w:val="Verzeichnis2"/>
        <w:rPr>
          <w:rFonts w:asciiTheme="minorHAnsi" w:eastAsiaTheme="minorEastAsia" w:hAnsiTheme="minorHAnsi" w:cstheme="minorBidi"/>
          <w:sz w:val="24"/>
          <w:szCs w:val="24"/>
        </w:rPr>
      </w:pPr>
      <w:hyperlink w:anchor="_Toc456884979" w:history="1">
        <w:r w:rsidR="00A41F5D" w:rsidRPr="006047B0">
          <w:rPr>
            <w:rStyle w:val="Link"/>
          </w:rPr>
          <w:t>4.7</w:t>
        </w:r>
        <w:r w:rsidR="00A41F5D">
          <w:rPr>
            <w:rFonts w:asciiTheme="minorHAnsi" w:eastAsiaTheme="minorEastAsia" w:hAnsiTheme="minorHAnsi" w:cstheme="minorBidi"/>
            <w:sz w:val="24"/>
            <w:szCs w:val="24"/>
          </w:rPr>
          <w:tab/>
        </w:r>
        <w:r w:rsidR="00A41F5D" w:rsidRPr="006047B0">
          <w:rPr>
            <w:rStyle w:val="Link"/>
          </w:rPr>
          <w:t>Knowledge Management</w:t>
        </w:r>
        <w:r w:rsidR="00A41F5D">
          <w:rPr>
            <w:webHidden/>
          </w:rPr>
          <w:tab/>
        </w:r>
        <w:r w:rsidR="00A41F5D">
          <w:rPr>
            <w:webHidden/>
          </w:rPr>
          <w:fldChar w:fldCharType="begin"/>
        </w:r>
        <w:r w:rsidR="00A41F5D">
          <w:rPr>
            <w:webHidden/>
          </w:rPr>
          <w:instrText xml:space="preserve"> PAGEREF _Toc456884979 \h </w:instrText>
        </w:r>
        <w:r w:rsidR="00A41F5D">
          <w:rPr>
            <w:webHidden/>
          </w:rPr>
        </w:r>
        <w:r w:rsidR="00A41F5D">
          <w:rPr>
            <w:webHidden/>
          </w:rPr>
          <w:fldChar w:fldCharType="separate"/>
        </w:r>
        <w:r w:rsidR="00A41F5D">
          <w:rPr>
            <w:webHidden/>
          </w:rPr>
          <w:t>37</w:t>
        </w:r>
        <w:r w:rsidR="00A41F5D">
          <w:rPr>
            <w:webHidden/>
          </w:rPr>
          <w:fldChar w:fldCharType="end"/>
        </w:r>
      </w:hyperlink>
    </w:p>
    <w:p w14:paraId="2FE4430C" w14:textId="77777777" w:rsidR="00A41F5D" w:rsidRDefault="005F5E76">
      <w:pPr>
        <w:pStyle w:val="Verzeichnis2"/>
        <w:rPr>
          <w:rFonts w:asciiTheme="minorHAnsi" w:eastAsiaTheme="minorEastAsia" w:hAnsiTheme="minorHAnsi" w:cstheme="minorBidi"/>
          <w:sz w:val="24"/>
          <w:szCs w:val="24"/>
        </w:rPr>
      </w:pPr>
      <w:hyperlink w:anchor="_Toc456884980" w:history="1">
        <w:r w:rsidR="00A41F5D" w:rsidRPr="006047B0">
          <w:rPr>
            <w:rStyle w:val="Link"/>
          </w:rPr>
          <w:t>4.8</w:t>
        </w:r>
        <w:r w:rsidR="00A41F5D">
          <w:rPr>
            <w:rFonts w:asciiTheme="minorHAnsi" w:eastAsiaTheme="minorEastAsia" w:hAnsiTheme="minorHAnsi" w:cstheme="minorBidi"/>
            <w:sz w:val="24"/>
            <w:szCs w:val="24"/>
          </w:rPr>
          <w:tab/>
        </w:r>
        <w:r w:rsidR="00A41F5D" w:rsidRPr="006047B0">
          <w:rPr>
            <w:rStyle w:val="Link"/>
          </w:rPr>
          <w:t>Zusammenfassung der Faktoren des Release-Managements</w:t>
        </w:r>
        <w:r w:rsidR="00A41F5D">
          <w:rPr>
            <w:webHidden/>
          </w:rPr>
          <w:tab/>
        </w:r>
        <w:r w:rsidR="00A41F5D">
          <w:rPr>
            <w:webHidden/>
          </w:rPr>
          <w:fldChar w:fldCharType="begin"/>
        </w:r>
        <w:r w:rsidR="00A41F5D">
          <w:rPr>
            <w:webHidden/>
          </w:rPr>
          <w:instrText xml:space="preserve"> PAGEREF _Toc456884980 \h </w:instrText>
        </w:r>
        <w:r w:rsidR="00A41F5D">
          <w:rPr>
            <w:webHidden/>
          </w:rPr>
        </w:r>
        <w:r w:rsidR="00A41F5D">
          <w:rPr>
            <w:webHidden/>
          </w:rPr>
          <w:fldChar w:fldCharType="separate"/>
        </w:r>
        <w:r w:rsidR="00A41F5D">
          <w:rPr>
            <w:webHidden/>
          </w:rPr>
          <w:t>38</w:t>
        </w:r>
        <w:r w:rsidR="00A41F5D">
          <w:rPr>
            <w:webHidden/>
          </w:rPr>
          <w:fldChar w:fldCharType="end"/>
        </w:r>
      </w:hyperlink>
    </w:p>
    <w:p w14:paraId="62ECF64E" w14:textId="77777777" w:rsidR="00A41F5D" w:rsidRDefault="005F5E76">
      <w:pPr>
        <w:pStyle w:val="Verzeichnis1"/>
        <w:rPr>
          <w:rFonts w:asciiTheme="minorHAnsi" w:eastAsiaTheme="minorEastAsia" w:hAnsiTheme="minorHAnsi" w:cstheme="minorBidi"/>
          <w:b w:val="0"/>
          <w:sz w:val="24"/>
          <w:szCs w:val="24"/>
        </w:rPr>
      </w:pPr>
      <w:hyperlink w:anchor="_Toc456884981" w:history="1">
        <w:r w:rsidR="00A41F5D" w:rsidRPr="006047B0">
          <w:rPr>
            <w:rStyle w:val="Link"/>
          </w:rPr>
          <w:t>5</w:t>
        </w:r>
        <w:r w:rsidR="00A41F5D">
          <w:rPr>
            <w:rFonts w:asciiTheme="minorHAnsi" w:eastAsiaTheme="minorEastAsia" w:hAnsiTheme="minorHAnsi" w:cstheme="minorBidi"/>
            <w:b w:val="0"/>
            <w:sz w:val="24"/>
            <w:szCs w:val="24"/>
          </w:rPr>
          <w:tab/>
        </w:r>
        <w:r w:rsidR="00A41F5D" w:rsidRPr="006047B0">
          <w:rPr>
            <w:rStyle w:val="Link"/>
          </w:rPr>
          <w:t>Ableitung der Standardtypen aus den Faktoren und Risiken</w:t>
        </w:r>
        <w:r w:rsidR="00A41F5D">
          <w:rPr>
            <w:webHidden/>
          </w:rPr>
          <w:tab/>
        </w:r>
        <w:r w:rsidR="00A41F5D">
          <w:rPr>
            <w:webHidden/>
          </w:rPr>
          <w:fldChar w:fldCharType="begin"/>
        </w:r>
        <w:r w:rsidR="00A41F5D">
          <w:rPr>
            <w:webHidden/>
          </w:rPr>
          <w:instrText xml:space="preserve"> PAGEREF _Toc456884981 \h </w:instrText>
        </w:r>
        <w:r w:rsidR="00A41F5D">
          <w:rPr>
            <w:webHidden/>
          </w:rPr>
        </w:r>
        <w:r w:rsidR="00A41F5D">
          <w:rPr>
            <w:webHidden/>
          </w:rPr>
          <w:fldChar w:fldCharType="separate"/>
        </w:r>
        <w:r w:rsidR="00A41F5D">
          <w:rPr>
            <w:webHidden/>
          </w:rPr>
          <w:t>40</w:t>
        </w:r>
        <w:r w:rsidR="00A41F5D">
          <w:rPr>
            <w:webHidden/>
          </w:rPr>
          <w:fldChar w:fldCharType="end"/>
        </w:r>
      </w:hyperlink>
    </w:p>
    <w:p w14:paraId="37B1EB19" w14:textId="77777777" w:rsidR="00A41F5D" w:rsidRDefault="005F5E76">
      <w:pPr>
        <w:pStyle w:val="Verzeichnis2"/>
        <w:rPr>
          <w:rFonts w:asciiTheme="minorHAnsi" w:eastAsiaTheme="minorEastAsia" w:hAnsiTheme="minorHAnsi" w:cstheme="minorBidi"/>
          <w:sz w:val="24"/>
          <w:szCs w:val="24"/>
        </w:rPr>
      </w:pPr>
      <w:hyperlink w:anchor="_Toc456884982" w:history="1">
        <w:r w:rsidR="00A41F5D" w:rsidRPr="006047B0">
          <w:rPr>
            <w:rStyle w:val="Link"/>
          </w:rPr>
          <w:t>5.1</w:t>
        </w:r>
        <w:r w:rsidR="00A41F5D">
          <w:rPr>
            <w:rFonts w:asciiTheme="minorHAnsi" w:eastAsiaTheme="minorEastAsia" w:hAnsiTheme="minorHAnsi" w:cstheme="minorBidi"/>
            <w:sz w:val="24"/>
            <w:szCs w:val="24"/>
          </w:rPr>
          <w:tab/>
        </w:r>
        <w:r w:rsidR="00A41F5D" w:rsidRPr="006047B0">
          <w:rPr>
            <w:rStyle w:val="Link"/>
          </w:rPr>
          <w:t>Zeit</w:t>
        </w:r>
        <w:r w:rsidR="00A41F5D">
          <w:rPr>
            <w:webHidden/>
          </w:rPr>
          <w:tab/>
        </w:r>
        <w:r w:rsidR="00A41F5D">
          <w:rPr>
            <w:webHidden/>
          </w:rPr>
          <w:fldChar w:fldCharType="begin"/>
        </w:r>
        <w:r w:rsidR="00A41F5D">
          <w:rPr>
            <w:webHidden/>
          </w:rPr>
          <w:instrText xml:space="preserve"> PAGEREF _Toc456884982 \h </w:instrText>
        </w:r>
        <w:r w:rsidR="00A41F5D">
          <w:rPr>
            <w:webHidden/>
          </w:rPr>
        </w:r>
        <w:r w:rsidR="00A41F5D">
          <w:rPr>
            <w:webHidden/>
          </w:rPr>
          <w:fldChar w:fldCharType="separate"/>
        </w:r>
        <w:r w:rsidR="00A41F5D">
          <w:rPr>
            <w:webHidden/>
          </w:rPr>
          <w:t>40</w:t>
        </w:r>
        <w:r w:rsidR="00A41F5D">
          <w:rPr>
            <w:webHidden/>
          </w:rPr>
          <w:fldChar w:fldCharType="end"/>
        </w:r>
      </w:hyperlink>
    </w:p>
    <w:p w14:paraId="3F94F2FA" w14:textId="77777777" w:rsidR="00A41F5D" w:rsidRDefault="005F5E76">
      <w:pPr>
        <w:pStyle w:val="Verzeichnis2"/>
        <w:rPr>
          <w:rFonts w:asciiTheme="minorHAnsi" w:eastAsiaTheme="minorEastAsia" w:hAnsiTheme="minorHAnsi" w:cstheme="minorBidi"/>
          <w:sz w:val="24"/>
          <w:szCs w:val="24"/>
        </w:rPr>
      </w:pPr>
      <w:hyperlink w:anchor="_Toc456884983" w:history="1">
        <w:r w:rsidR="00A41F5D" w:rsidRPr="006047B0">
          <w:rPr>
            <w:rStyle w:val="Link"/>
          </w:rPr>
          <w:t>5.2</w:t>
        </w:r>
        <w:r w:rsidR="00A41F5D">
          <w:rPr>
            <w:rFonts w:asciiTheme="minorHAnsi" w:eastAsiaTheme="minorEastAsia" w:hAnsiTheme="minorHAnsi" w:cstheme="minorBidi"/>
            <w:sz w:val="24"/>
            <w:szCs w:val="24"/>
          </w:rPr>
          <w:tab/>
        </w:r>
        <w:r w:rsidR="00A41F5D" w:rsidRPr="006047B0">
          <w:rPr>
            <w:rStyle w:val="Link"/>
          </w:rPr>
          <w:t>Kosten</w:t>
        </w:r>
        <w:r w:rsidR="00A41F5D">
          <w:rPr>
            <w:webHidden/>
          </w:rPr>
          <w:tab/>
        </w:r>
        <w:r w:rsidR="00A41F5D">
          <w:rPr>
            <w:webHidden/>
          </w:rPr>
          <w:fldChar w:fldCharType="begin"/>
        </w:r>
        <w:r w:rsidR="00A41F5D">
          <w:rPr>
            <w:webHidden/>
          </w:rPr>
          <w:instrText xml:space="preserve"> PAGEREF _Toc456884983 \h </w:instrText>
        </w:r>
        <w:r w:rsidR="00A41F5D">
          <w:rPr>
            <w:webHidden/>
          </w:rPr>
        </w:r>
        <w:r w:rsidR="00A41F5D">
          <w:rPr>
            <w:webHidden/>
          </w:rPr>
          <w:fldChar w:fldCharType="separate"/>
        </w:r>
        <w:r w:rsidR="00A41F5D">
          <w:rPr>
            <w:webHidden/>
          </w:rPr>
          <w:t>41</w:t>
        </w:r>
        <w:r w:rsidR="00A41F5D">
          <w:rPr>
            <w:webHidden/>
          </w:rPr>
          <w:fldChar w:fldCharType="end"/>
        </w:r>
      </w:hyperlink>
    </w:p>
    <w:p w14:paraId="503A32F1" w14:textId="77777777" w:rsidR="00A41F5D" w:rsidRDefault="005F5E76">
      <w:pPr>
        <w:pStyle w:val="Verzeichnis2"/>
        <w:rPr>
          <w:rFonts w:asciiTheme="minorHAnsi" w:eastAsiaTheme="minorEastAsia" w:hAnsiTheme="minorHAnsi" w:cstheme="minorBidi"/>
          <w:sz w:val="24"/>
          <w:szCs w:val="24"/>
        </w:rPr>
      </w:pPr>
      <w:hyperlink w:anchor="_Toc456884984" w:history="1">
        <w:r w:rsidR="00A41F5D" w:rsidRPr="006047B0">
          <w:rPr>
            <w:rStyle w:val="Link"/>
          </w:rPr>
          <w:t>5.3</w:t>
        </w:r>
        <w:r w:rsidR="00A41F5D">
          <w:rPr>
            <w:rFonts w:asciiTheme="minorHAnsi" w:eastAsiaTheme="minorEastAsia" w:hAnsiTheme="minorHAnsi" w:cstheme="minorBidi"/>
            <w:sz w:val="24"/>
            <w:szCs w:val="24"/>
          </w:rPr>
          <w:tab/>
        </w:r>
        <w:r w:rsidR="00A41F5D" w:rsidRPr="006047B0">
          <w:rPr>
            <w:rStyle w:val="Link"/>
          </w:rPr>
          <w:t>Zusammenfassung der Standardtypen</w:t>
        </w:r>
        <w:r w:rsidR="00A41F5D">
          <w:rPr>
            <w:webHidden/>
          </w:rPr>
          <w:tab/>
        </w:r>
        <w:r w:rsidR="00A41F5D">
          <w:rPr>
            <w:webHidden/>
          </w:rPr>
          <w:fldChar w:fldCharType="begin"/>
        </w:r>
        <w:r w:rsidR="00A41F5D">
          <w:rPr>
            <w:webHidden/>
          </w:rPr>
          <w:instrText xml:space="preserve"> PAGEREF _Toc456884984 \h </w:instrText>
        </w:r>
        <w:r w:rsidR="00A41F5D">
          <w:rPr>
            <w:webHidden/>
          </w:rPr>
        </w:r>
        <w:r w:rsidR="00A41F5D">
          <w:rPr>
            <w:webHidden/>
          </w:rPr>
          <w:fldChar w:fldCharType="separate"/>
        </w:r>
        <w:r w:rsidR="00A41F5D">
          <w:rPr>
            <w:webHidden/>
          </w:rPr>
          <w:t>43</w:t>
        </w:r>
        <w:r w:rsidR="00A41F5D">
          <w:rPr>
            <w:webHidden/>
          </w:rPr>
          <w:fldChar w:fldCharType="end"/>
        </w:r>
      </w:hyperlink>
    </w:p>
    <w:p w14:paraId="63C12463" w14:textId="77777777" w:rsidR="00A41F5D" w:rsidRDefault="005F5E76">
      <w:pPr>
        <w:pStyle w:val="Verzeichnis1"/>
        <w:rPr>
          <w:rFonts w:asciiTheme="minorHAnsi" w:eastAsiaTheme="minorEastAsia" w:hAnsiTheme="minorHAnsi" w:cstheme="minorBidi"/>
          <w:b w:val="0"/>
          <w:sz w:val="24"/>
          <w:szCs w:val="24"/>
        </w:rPr>
      </w:pPr>
      <w:hyperlink w:anchor="_Toc456884985" w:history="1">
        <w:r w:rsidR="00A41F5D" w:rsidRPr="006047B0">
          <w:rPr>
            <w:rStyle w:val="Link"/>
          </w:rPr>
          <w:t>6</w:t>
        </w:r>
        <w:r w:rsidR="00A41F5D">
          <w:rPr>
            <w:rFonts w:asciiTheme="minorHAnsi" w:eastAsiaTheme="minorEastAsia" w:hAnsiTheme="minorHAnsi" w:cstheme="minorBidi"/>
            <w:b w:val="0"/>
            <w:sz w:val="24"/>
            <w:szCs w:val="24"/>
          </w:rPr>
          <w:tab/>
        </w:r>
        <w:r w:rsidR="00A41F5D" w:rsidRPr="006047B0">
          <w:rPr>
            <w:rStyle w:val="Link"/>
          </w:rPr>
          <w:t>Kritische Würdigung der Standardtypen</w:t>
        </w:r>
        <w:r w:rsidR="00A41F5D">
          <w:rPr>
            <w:webHidden/>
          </w:rPr>
          <w:tab/>
        </w:r>
        <w:r w:rsidR="00A41F5D">
          <w:rPr>
            <w:webHidden/>
          </w:rPr>
          <w:fldChar w:fldCharType="begin"/>
        </w:r>
        <w:r w:rsidR="00A41F5D">
          <w:rPr>
            <w:webHidden/>
          </w:rPr>
          <w:instrText xml:space="preserve"> PAGEREF _Toc456884985 \h </w:instrText>
        </w:r>
        <w:r w:rsidR="00A41F5D">
          <w:rPr>
            <w:webHidden/>
          </w:rPr>
        </w:r>
        <w:r w:rsidR="00A41F5D">
          <w:rPr>
            <w:webHidden/>
          </w:rPr>
          <w:fldChar w:fldCharType="separate"/>
        </w:r>
        <w:r w:rsidR="00A41F5D">
          <w:rPr>
            <w:webHidden/>
          </w:rPr>
          <w:t>45</w:t>
        </w:r>
        <w:r w:rsidR="00A41F5D">
          <w:rPr>
            <w:webHidden/>
          </w:rPr>
          <w:fldChar w:fldCharType="end"/>
        </w:r>
      </w:hyperlink>
    </w:p>
    <w:p w14:paraId="039DC5D5" w14:textId="77777777" w:rsidR="00A41F5D" w:rsidRDefault="005F5E76">
      <w:pPr>
        <w:pStyle w:val="Verzeichnis1"/>
        <w:rPr>
          <w:rFonts w:asciiTheme="minorHAnsi" w:eastAsiaTheme="minorEastAsia" w:hAnsiTheme="minorHAnsi" w:cstheme="minorBidi"/>
          <w:b w:val="0"/>
          <w:sz w:val="24"/>
          <w:szCs w:val="24"/>
        </w:rPr>
      </w:pPr>
      <w:hyperlink w:anchor="_Toc456884986" w:history="1">
        <w:r w:rsidR="00A41F5D" w:rsidRPr="006047B0">
          <w:rPr>
            <w:rStyle w:val="Link"/>
          </w:rPr>
          <w:t>7</w:t>
        </w:r>
        <w:r w:rsidR="00A41F5D">
          <w:rPr>
            <w:rFonts w:asciiTheme="minorHAnsi" w:eastAsiaTheme="minorEastAsia" w:hAnsiTheme="minorHAnsi" w:cstheme="minorBidi"/>
            <w:b w:val="0"/>
            <w:sz w:val="24"/>
            <w:szCs w:val="24"/>
          </w:rPr>
          <w:tab/>
        </w:r>
        <w:r w:rsidR="00A41F5D" w:rsidRPr="006047B0">
          <w:rPr>
            <w:rStyle w:val="Link"/>
          </w:rPr>
          <w:t>Evaluation der Zielerreichung und Ausblick</w:t>
        </w:r>
        <w:r w:rsidR="00A41F5D">
          <w:rPr>
            <w:webHidden/>
          </w:rPr>
          <w:tab/>
        </w:r>
        <w:r w:rsidR="00A41F5D">
          <w:rPr>
            <w:webHidden/>
          </w:rPr>
          <w:fldChar w:fldCharType="begin"/>
        </w:r>
        <w:r w:rsidR="00A41F5D">
          <w:rPr>
            <w:webHidden/>
          </w:rPr>
          <w:instrText xml:space="preserve"> PAGEREF _Toc456884986 \h </w:instrText>
        </w:r>
        <w:r w:rsidR="00A41F5D">
          <w:rPr>
            <w:webHidden/>
          </w:rPr>
        </w:r>
        <w:r w:rsidR="00A41F5D">
          <w:rPr>
            <w:webHidden/>
          </w:rPr>
          <w:fldChar w:fldCharType="separate"/>
        </w:r>
        <w:r w:rsidR="00A41F5D">
          <w:rPr>
            <w:webHidden/>
          </w:rPr>
          <w:t>46</w:t>
        </w:r>
        <w:r w:rsidR="00A41F5D">
          <w:rPr>
            <w:webHidden/>
          </w:rPr>
          <w:fldChar w:fldCharType="end"/>
        </w:r>
      </w:hyperlink>
    </w:p>
    <w:p w14:paraId="56BB2404" w14:textId="77777777" w:rsidR="00A41F5D" w:rsidRDefault="005F5E76">
      <w:pPr>
        <w:pStyle w:val="Verzeichnis1"/>
        <w:rPr>
          <w:rFonts w:asciiTheme="minorHAnsi" w:eastAsiaTheme="minorEastAsia" w:hAnsiTheme="minorHAnsi" w:cstheme="minorBidi"/>
          <w:b w:val="0"/>
          <w:sz w:val="24"/>
          <w:szCs w:val="24"/>
        </w:rPr>
      </w:pPr>
      <w:hyperlink w:anchor="_Toc456884987" w:history="1">
        <w:r w:rsidR="00A41F5D" w:rsidRPr="006047B0">
          <w:rPr>
            <w:rStyle w:val="Link"/>
          </w:rPr>
          <w:t>8</w:t>
        </w:r>
        <w:r w:rsidR="00A41F5D">
          <w:rPr>
            <w:rFonts w:asciiTheme="minorHAnsi" w:eastAsiaTheme="minorEastAsia" w:hAnsiTheme="minorHAnsi" w:cstheme="minorBidi"/>
            <w:b w:val="0"/>
            <w:sz w:val="24"/>
            <w:szCs w:val="24"/>
          </w:rPr>
          <w:tab/>
        </w:r>
        <w:r w:rsidR="00A41F5D" w:rsidRPr="006047B0">
          <w:rPr>
            <w:rStyle w:val="Link"/>
          </w:rPr>
          <w:t>Literaturverzeichnis</w:t>
        </w:r>
        <w:r w:rsidR="00A41F5D">
          <w:rPr>
            <w:webHidden/>
          </w:rPr>
          <w:tab/>
        </w:r>
        <w:r w:rsidR="00A41F5D">
          <w:rPr>
            <w:webHidden/>
          </w:rPr>
          <w:fldChar w:fldCharType="begin"/>
        </w:r>
        <w:r w:rsidR="00A41F5D">
          <w:rPr>
            <w:webHidden/>
          </w:rPr>
          <w:instrText xml:space="preserve"> PAGEREF _Toc456884987 \h </w:instrText>
        </w:r>
        <w:r w:rsidR="00A41F5D">
          <w:rPr>
            <w:webHidden/>
          </w:rPr>
        </w:r>
        <w:r w:rsidR="00A41F5D">
          <w:rPr>
            <w:webHidden/>
          </w:rPr>
          <w:fldChar w:fldCharType="separate"/>
        </w:r>
        <w:r w:rsidR="00A41F5D">
          <w:rPr>
            <w:webHidden/>
          </w:rPr>
          <w:t>47</w:t>
        </w:r>
        <w:r w:rsidR="00A41F5D">
          <w:rPr>
            <w:webHidden/>
          </w:rPr>
          <w:fldChar w:fldCharType="end"/>
        </w:r>
      </w:hyperlink>
    </w:p>
    <w:p w14:paraId="64618AA9" w14:textId="77777777" w:rsidR="00A41F5D" w:rsidRDefault="005F5E76">
      <w:pPr>
        <w:pStyle w:val="Verzeichnis1"/>
        <w:rPr>
          <w:rFonts w:asciiTheme="minorHAnsi" w:eastAsiaTheme="minorEastAsia" w:hAnsiTheme="minorHAnsi" w:cstheme="minorBidi"/>
          <w:b w:val="0"/>
          <w:sz w:val="24"/>
          <w:szCs w:val="24"/>
        </w:rPr>
      </w:pPr>
      <w:hyperlink w:anchor="_Toc456884988" w:history="1">
        <w:r w:rsidR="00A41F5D" w:rsidRPr="006047B0">
          <w:rPr>
            <w:rStyle w:val="Link"/>
          </w:rPr>
          <w:t>Erklärung</w:t>
        </w:r>
        <w:r w:rsidR="00A41F5D">
          <w:rPr>
            <w:webHidden/>
          </w:rPr>
          <w:tab/>
        </w:r>
        <w:r w:rsidR="00A41F5D">
          <w:rPr>
            <w:webHidden/>
          </w:rPr>
          <w:fldChar w:fldCharType="begin"/>
        </w:r>
        <w:r w:rsidR="00A41F5D">
          <w:rPr>
            <w:webHidden/>
          </w:rPr>
          <w:instrText xml:space="preserve"> PAGEREF _Toc456884988 \h </w:instrText>
        </w:r>
        <w:r w:rsidR="00A41F5D">
          <w:rPr>
            <w:webHidden/>
          </w:rPr>
        </w:r>
        <w:r w:rsidR="00A41F5D">
          <w:rPr>
            <w:webHidden/>
          </w:rPr>
          <w:fldChar w:fldCharType="separate"/>
        </w:r>
        <w:r w:rsidR="00A41F5D">
          <w:rPr>
            <w:webHidden/>
          </w:rPr>
          <w:t>50</w:t>
        </w:r>
        <w:r w:rsidR="00A41F5D">
          <w:rPr>
            <w:webHidden/>
          </w:rPr>
          <w:fldChar w:fldCharType="end"/>
        </w:r>
      </w:hyperlink>
    </w:p>
    <w:p w14:paraId="262D21AB" w14:textId="006E4CEF" w:rsidR="00F144F5" w:rsidRPr="00914102" w:rsidRDefault="000C5D7B" w:rsidP="00EA4433">
      <w:pPr>
        <w:pStyle w:val="Verzeichnis1"/>
        <w:sectPr w:rsidR="00F144F5" w:rsidRPr="00914102">
          <w:headerReference w:type="default" r:id="rId12"/>
          <w:pgSz w:w="11906" w:h="16838"/>
          <w:pgMar w:top="1134" w:right="1418" w:bottom="1134" w:left="2268" w:header="708" w:footer="708" w:gutter="0"/>
          <w:pgNumType w:fmt="upperRoman" w:start="1"/>
          <w:cols w:space="708"/>
        </w:sectPr>
      </w:pPr>
      <w:r>
        <w:fldChar w:fldCharType="end"/>
      </w:r>
    </w:p>
    <w:p w14:paraId="2C7175C3" w14:textId="54E42615" w:rsidR="00F144F5" w:rsidRPr="00753DE5" w:rsidRDefault="00BB49BE" w:rsidP="00753DE5">
      <w:pPr>
        <w:pStyle w:val="berschrift1ohneNummerierung"/>
      </w:pPr>
      <w:bookmarkStart w:id="10" w:name="_Toc456884956"/>
      <w:r>
        <w:lastRenderedPageBreak/>
        <w:t>A</w:t>
      </w:r>
      <w:r w:rsidR="00F144F5" w:rsidRPr="00753DE5">
        <w:t>bbildungsverzeichnis</w:t>
      </w:r>
      <w:bookmarkEnd w:id="10"/>
    </w:p>
    <w:p w14:paraId="5EF58A68" w14:textId="77777777" w:rsidR="00A41F5D"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A41F5D">
        <w:rPr>
          <w:noProof/>
        </w:rPr>
        <w:t>Abbildung 2.1: Zusammenhang Time to Market</w:t>
      </w:r>
      <w:r w:rsidR="00A41F5D">
        <w:rPr>
          <w:noProof/>
        </w:rPr>
        <w:tab/>
      </w:r>
      <w:r w:rsidR="00A41F5D">
        <w:rPr>
          <w:noProof/>
        </w:rPr>
        <w:fldChar w:fldCharType="begin"/>
      </w:r>
      <w:r w:rsidR="00A41F5D">
        <w:rPr>
          <w:noProof/>
        </w:rPr>
        <w:instrText xml:space="preserve"> PAGEREF _Toc456884989 \h </w:instrText>
      </w:r>
      <w:r w:rsidR="00A41F5D">
        <w:rPr>
          <w:noProof/>
        </w:rPr>
      </w:r>
      <w:r w:rsidR="00A41F5D">
        <w:rPr>
          <w:noProof/>
        </w:rPr>
        <w:fldChar w:fldCharType="separate"/>
      </w:r>
      <w:r w:rsidR="00A41F5D">
        <w:rPr>
          <w:noProof/>
        </w:rPr>
        <w:t>5</w:t>
      </w:r>
      <w:r w:rsidR="00A41F5D">
        <w:rPr>
          <w:noProof/>
        </w:rPr>
        <w:fldChar w:fldCharType="end"/>
      </w:r>
    </w:p>
    <w:p w14:paraId="0CCBA8DA" w14:textId="77777777" w:rsidR="00A41F5D" w:rsidRDefault="00A41F5D">
      <w:pPr>
        <w:pStyle w:val="Abbildungsverzeichnis"/>
        <w:rPr>
          <w:rFonts w:asciiTheme="minorHAnsi" w:eastAsiaTheme="minorEastAsia" w:hAnsiTheme="minorHAnsi" w:cstheme="minorBidi"/>
          <w:noProof/>
          <w:sz w:val="24"/>
          <w:szCs w:val="24"/>
        </w:rPr>
      </w:pPr>
      <w:r>
        <w:rPr>
          <w:noProof/>
        </w:rPr>
        <w:t>Abbildung 2.2: Charakteristische Produktlebenszyklen</w:t>
      </w:r>
      <w:r>
        <w:rPr>
          <w:noProof/>
        </w:rPr>
        <w:tab/>
      </w:r>
      <w:r>
        <w:rPr>
          <w:noProof/>
        </w:rPr>
        <w:fldChar w:fldCharType="begin"/>
      </w:r>
      <w:r>
        <w:rPr>
          <w:noProof/>
        </w:rPr>
        <w:instrText xml:space="preserve"> PAGEREF _Toc456884990 \h </w:instrText>
      </w:r>
      <w:r>
        <w:rPr>
          <w:noProof/>
        </w:rPr>
      </w:r>
      <w:r>
        <w:rPr>
          <w:noProof/>
        </w:rPr>
        <w:fldChar w:fldCharType="separate"/>
      </w:r>
      <w:r>
        <w:rPr>
          <w:noProof/>
        </w:rPr>
        <w:t>8</w:t>
      </w:r>
      <w:r>
        <w:rPr>
          <w:noProof/>
        </w:rPr>
        <w:fldChar w:fldCharType="end"/>
      </w:r>
    </w:p>
    <w:p w14:paraId="7C196A57" w14:textId="77777777" w:rsidR="00A41F5D" w:rsidRDefault="00A41F5D">
      <w:pPr>
        <w:pStyle w:val="Abbildungsverzeichnis"/>
        <w:rPr>
          <w:rFonts w:asciiTheme="minorHAnsi" w:eastAsiaTheme="minorEastAsia" w:hAnsiTheme="minorHAnsi" w:cstheme="minorBidi"/>
          <w:noProof/>
          <w:sz w:val="24"/>
          <w:szCs w:val="24"/>
        </w:rPr>
      </w:pPr>
      <w:r>
        <w:rPr>
          <w:noProof/>
        </w:rPr>
        <w:t>Abbildung 2.3: Zusammenhang Produkt zu Release</w:t>
      </w:r>
      <w:r>
        <w:rPr>
          <w:noProof/>
        </w:rPr>
        <w:tab/>
      </w:r>
      <w:r>
        <w:rPr>
          <w:noProof/>
        </w:rPr>
        <w:fldChar w:fldCharType="begin"/>
      </w:r>
      <w:r>
        <w:rPr>
          <w:noProof/>
        </w:rPr>
        <w:instrText xml:space="preserve"> PAGEREF _Toc456884991 \h </w:instrText>
      </w:r>
      <w:r>
        <w:rPr>
          <w:noProof/>
        </w:rPr>
      </w:r>
      <w:r>
        <w:rPr>
          <w:noProof/>
        </w:rPr>
        <w:fldChar w:fldCharType="separate"/>
      </w:r>
      <w:r>
        <w:rPr>
          <w:noProof/>
        </w:rPr>
        <w:t>11</w:t>
      </w:r>
      <w:r>
        <w:rPr>
          <w:noProof/>
        </w:rPr>
        <w:fldChar w:fldCharType="end"/>
      </w:r>
    </w:p>
    <w:p w14:paraId="76117FD1" w14:textId="77777777" w:rsidR="00A41F5D" w:rsidRDefault="00A41F5D">
      <w:pPr>
        <w:pStyle w:val="Abbildungsverzeichnis"/>
        <w:rPr>
          <w:rFonts w:asciiTheme="minorHAnsi" w:eastAsiaTheme="minorEastAsia" w:hAnsiTheme="minorHAnsi" w:cstheme="minorBidi"/>
          <w:noProof/>
          <w:sz w:val="24"/>
          <w:szCs w:val="24"/>
        </w:rPr>
      </w:pPr>
      <w:r>
        <w:rPr>
          <w:noProof/>
        </w:rPr>
        <w:t>Abbildung 2.4: Überblick ITIL</w:t>
      </w:r>
      <w:r>
        <w:rPr>
          <w:noProof/>
        </w:rPr>
        <w:tab/>
      </w:r>
      <w:r>
        <w:rPr>
          <w:noProof/>
        </w:rPr>
        <w:fldChar w:fldCharType="begin"/>
      </w:r>
      <w:r>
        <w:rPr>
          <w:noProof/>
        </w:rPr>
        <w:instrText xml:space="preserve"> PAGEREF _Toc456884992 \h </w:instrText>
      </w:r>
      <w:r>
        <w:rPr>
          <w:noProof/>
        </w:rPr>
      </w:r>
      <w:r>
        <w:rPr>
          <w:noProof/>
        </w:rPr>
        <w:fldChar w:fldCharType="separate"/>
      </w:r>
      <w:r>
        <w:rPr>
          <w:noProof/>
        </w:rPr>
        <w:t>15</w:t>
      </w:r>
      <w:r>
        <w:rPr>
          <w:noProof/>
        </w:rPr>
        <w:fldChar w:fldCharType="end"/>
      </w:r>
    </w:p>
    <w:p w14:paraId="18616AA4" w14:textId="77777777" w:rsidR="00A41F5D" w:rsidRDefault="00A41F5D">
      <w:pPr>
        <w:pStyle w:val="Abbildungsverzeichnis"/>
        <w:rPr>
          <w:rFonts w:asciiTheme="minorHAnsi" w:eastAsiaTheme="minorEastAsia" w:hAnsiTheme="minorHAnsi" w:cstheme="minorBidi"/>
          <w:noProof/>
          <w:sz w:val="24"/>
          <w:szCs w:val="24"/>
        </w:rPr>
      </w:pPr>
      <w:r>
        <w:rPr>
          <w:noProof/>
        </w:rPr>
        <w:t>Abbildung 4.1: Fehlerbehebungskosten</w:t>
      </w:r>
      <w:r>
        <w:rPr>
          <w:noProof/>
        </w:rPr>
        <w:tab/>
      </w:r>
      <w:r>
        <w:rPr>
          <w:noProof/>
        </w:rPr>
        <w:fldChar w:fldCharType="begin"/>
      </w:r>
      <w:r>
        <w:rPr>
          <w:noProof/>
        </w:rPr>
        <w:instrText xml:space="preserve"> PAGEREF _Toc456884993 \h </w:instrText>
      </w:r>
      <w:r>
        <w:rPr>
          <w:noProof/>
        </w:rPr>
      </w:r>
      <w:r>
        <w:rPr>
          <w:noProof/>
        </w:rPr>
        <w:fldChar w:fldCharType="separate"/>
      </w:r>
      <w:r>
        <w:rPr>
          <w:noProof/>
        </w:rPr>
        <w:t>35</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3"/>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1" w:name="_Toc456884957"/>
      <w:r w:rsidRPr="00753DE5">
        <w:lastRenderedPageBreak/>
        <w:t>Tabellenverzeichnis</w:t>
      </w:r>
      <w:bookmarkEnd w:id="11"/>
    </w:p>
    <w:p w14:paraId="794756F2" w14:textId="77777777" w:rsidR="00A41F5D"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A41F5D">
        <w:rPr>
          <w:noProof/>
        </w:rPr>
        <w:t>Tabelle 2.1: Zuordnung der verschiedenen Produktlebenszyklusphasen</w:t>
      </w:r>
      <w:r w:rsidR="00A41F5D">
        <w:rPr>
          <w:noProof/>
        </w:rPr>
        <w:tab/>
      </w:r>
      <w:r w:rsidR="00A41F5D">
        <w:rPr>
          <w:noProof/>
        </w:rPr>
        <w:fldChar w:fldCharType="begin"/>
      </w:r>
      <w:r w:rsidR="00A41F5D">
        <w:rPr>
          <w:noProof/>
        </w:rPr>
        <w:instrText xml:space="preserve"> PAGEREF _Toc456884994 \h </w:instrText>
      </w:r>
      <w:r w:rsidR="00A41F5D">
        <w:rPr>
          <w:noProof/>
        </w:rPr>
      </w:r>
      <w:r w:rsidR="00A41F5D">
        <w:rPr>
          <w:noProof/>
        </w:rPr>
        <w:fldChar w:fldCharType="separate"/>
      </w:r>
      <w:r w:rsidR="00A41F5D">
        <w:rPr>
          <w:noProof/>
        </w:rPr>
        <w:t>10</w:t>
      </w:r>
      <w:r w:rsidR="00A41F5D">
        <w:rPr>
          <w:noProof/>
        </w:rPr>
        <w:fldChar w:fldCharType="end"/>
      </w:r>
    </w:p>
    <w:p w14:paraId="40DF8C3B" w14:textId="77777777" w:rsidR="00A41F5D" w:rsidRDefault="00A41F5D">
      <w:pPr>
        <w:pStyle w:val="Abbildungsverzeichnis"/>
        <w:rPr>
          <w:rFonts w:asciiTheme="minorHAnsi" w:eastAsiaTheme="minorEastAsia" w:hAnsiTheme="minorHAnsi" w:cstheme="minorBidi"/>
          <w:noProof/>
          <w:sz w:val="24"/>
          <w:szCs w:val="24"/>
        </w:rPr>
      </w:pPr>
      <w:r>
        <w:rPr>
          <w:noProof/>
        </w:rPr>
        <w:t>Tabelle 3.1: Zuordnung Risikotypen zu Produktlebenszyklusphasen</w:t>
      </w:r>
      <w:r>
        <w:rPr>
          <w:noProof/>
        </w:rPr>
        <w:tab/>
      </w:r>
      <w:r>
        <w:rPr>
          <w:noProof/>
        </w:rPr>
        <w:fldChar w:fldCharType="begin"/>
      </w:r>
      <w:r>
        <w:rPr>
          <w:noProof/>
        </w:rPr>
        <w:instrText xml:space="preserve"> PAGEREF _Toc456884995 \h </w:instrText>
      </w:r>
      <w:r>
        <w:rPr>
          <w:noProof/>
        </w:rPr>
      </w:r>
      <w:r>
        <w:rPr>
          <w:noProof/>
        </w:rPr>
        <w:fldChar w:fldCharType="separate"/>
      </w:r>
      <w:r>
        <w:rPr>
          <w:noProof/>
        </w:rPr>
        <w:t>21</w:t>
      </w:r>
      <w:r>
        <w:rPr>
          <w:noProof/>
        </w:rPr>
        <w:fldChar w:fldCharType="end"/>
      </w:r>
    </w:p>
    <w:p w14:paraId="5B139943" w14:textId="77777777" w:rsidR="00A41F5D" w:rsidRDefault="00A41F5D">
      <w:pPr>
        <w:pStyle w:val="Abbildungsverzeichnis"/>
        <w:rPr>
          <w:rFonts w:asciiTheme="minorHAnsi" w:eastAsiaTheme="minorEastAsia" w:hAnsiTheme="minorHAnsi" w:cstheme="minorBidi"/>
          <w:noProof/>
          <w:sz w:val="24"/>
          <w:szCs w:val="24"/>
        </w:rPr>
      </w:pPr>
      <w:r>
        <w:rPr>
          <w:noProof/>
        </w:rPr>
        <w:t>Tabelle 3.2: Reduzierte Zuordnung Risikotypen zu Produktlebenszyklusphasen</w:t>
      </w:r>
      <w:r>
        <w:rPr>
          <w:noProof/>
        </w:rPr>
        <w:tab/>
      </w:r>
      <w:r>
        <w:rPr>
          <w:noProof/>
        </w:rPr>
        <w:fldChar w:fldCharType="begin"/>
      </w:r>
      <w:r>
        <w:rPr>
          <w:noProof/>
        </w:rPr>
        <w:instrText xml:space="preserve"> PAGEREF _Toc456884996 \h </w:instrText>
      </w:r>
      <w:r>
        <w:rPr>
          <w:noProof/>
        </w:rPr>
      </w:r>
      <w:r>
        <w:rPr>
          <w:noProof/>
        </w:rPr>
        <w:fldChar w:fldCharType="separate"/>
      </w:r>
      <w:r>
        <w:rPr>
          <w:noProof/>
        </w:rPr>
        <w:t>21</w:t>
      </w:r>
      <w:r>
        <w:rPr>
          <w:noProof/>
        </w:rPr>
        <w:fldChar w:fldCharType="end"/>
      </w:r>
    </w:p>
    <w:p w14:paraId="19EB7369" w14:textId="77777777" w:rsidR="00A41F5D" w:rsidRDefault="00A41F5D">
      <w:pPr>
        <w:pStyle w:val="Abbildungsverzeichnis"/>
        <w:rPr>
          <w:rFonts w:asciiTheme="minorHAnsi" w:eastAsiaTheme="minorEastAsia" w:hAnsiTheme="minorHAnsi" w:cstheme="minorBidi"/>
          <w:noProof/>
          <w:sz w:val="24"/>
          <w:szCs w:val="24"/>
        </w:rPr>
      </w:pPr>
      <w:r>
        <w:rPr>
          <w:noProof/>
        </w:rPr>
        <w:t>Tabelle 4.1: Übersicht Prozessfaktoren und Ausprägungen</w:t>
      </w:r>
      <w:r>
        <w:rPr>
          <w:noProof/>
        </w:rPr>
        <w:tab/>
      </w:r>
      <w:r>
        <w:rPr>
          <w:noProof/>
        </w:rPr>
        <w:fldChar w:fldCharType="begin"/>
      </w:r>
      <w:r>
        <w:rPr>
          <w:noProof/>
        </w:rPr>
        <w:instrText xml:space="preserve"> PAGEREF _Toc456884997 \h </w:instrText>
      </w:r>
      <w:r>
        <w:rPr>
          <w:noProof/>
        </w:rPr>
      </w:r>
      <w:r>
        <w:rPr>
          <w:noProof/>
        </w:rPr>
        <w:fldChar w:fldCharType="separate"/>
      </w:r>
      <w:r>
        <w:rPr>
          <w:noProof/>
        </w:rPr>
        <w:t>38</w:t>
      </w:r>
      <w:r>
        <w:rPr>
          <w:noProof/>
        </w:rPr>
        <w:fldChar w:fldCharType="end"/>
      </w:r>
    </w:p>
    <w:p w14:paraId="78B75556" w14:textId="77777777" w:rsidR="00A41F5D" w:rsidRDefault="00A41F5D">
      <w:pPr>
        <w:pStyle w:val="Abbildungsverzeichnis"/>
        <w:rPr>
          <w:rFonts w:asciiTheme="minorHAnsi" w:eastAsiaTheme="minorEastAsia" w:hAnsiTheme="minorHAnsi" w:cstheme="minorBidi"/>
          <w:noProof/>
          <w:sz w:val="24"/>
          <w:szCs w:val="24"/>
        </w:rPr>
      </w:pPr>
      <w:r>
        <w:rPr>
          <w:noProof/>
        </w:rPr>
        <w:t>Tabelle 5.1: Zusammenfassung der Ausprägungen der Standardtypen</w:t>
      </w:r>
      <w:r>
        <w:rPr>
          <w:noProof/>
        </w:rPr>
        <w:tab/>
      </w:r>
      <w:r>
        <w:rPr>
          <w:noProof/>
        </w:rPr>
        <w:fldChar w:fldCharType="begin"/>
      </w:r>
      <w:r>
        <w:rPr>
          <w:noProof/>
        </w:rPr>
        <w:instrText xml:space="preserve"> PAGEREF _Toc456884998 \h </w:instrText>
      </w:r>
      <w:r>
        <w:rPr>
          <w:noProof/>
        </w:rPr>
      </w:r>
      <w:r>
        <w:rPr>
          <w:noProof/>
        </w:rPr>
        <w:fldChar w:fldCharType="separate"/>
      </w:r>
      <w:r>
        <w:rPr>
          <w:noProof/>
        </w:rPr>
        <w:t>44</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2" w:author="Unknown">
            <w:rPr>
              <w:lang w:val="en-GB"/>
            </w:rPr>
          </w:rPrChange>
        </w:rPr>
        <w:sectPr w:rsidR="00F144F5" w:rsidRPr="0060057E">
          <w:headerReference w:type="default" r:id="rId14"/>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3" w:name="_Toc456884958"/>
      <w:r w:rsidRPr="009B052B">
        <w:rPr>
          <w:lang w:val="en-US"/>
        </w:rPr>
        <w:lastRenderedPageBreak/>
        <w:t>Abkürzungsverzeichnis</w:t>
      </w:r>
      <w:bookmarkEnd w:id="13"/>
    </w:p>
    <w:p w14:paraId="422018D1" w14:textId="6464DAEC" w:rsidR="00F30DA8" w:rsidRDefault="00F30DA8" w:rsidP="001F123D">
      <w:pPr>
        <w:pStyle w:val="Abkrzungsverzeichnis"/>
        <w:ind w:left="0" w:firstLine="0"/>
      </w:pPr>
      <w:r>
        <w:t>BEP</w:t>
      </w:r>
      <w:r>
        <w:tab/>
        <w:t>Break-even-Point (deu.: Gewinnschwelle)</w:t>
      </w:r>
    </w:p>
    <w:p w14:paraId="0ED6D806" w14:textId="632A249C" w:rsidR="00BE5B1B" w:rsidRDefault="00BE5B1B" w:rsidP="001F123D">
      <w:pPr>
        <w:pStyle w:val="Abkrzungsverzeichnis"/>
        <w:ind w:left="0" w:firstLine="0"/>
      </w:pPr>
      <w:r>
        <w:t>CHE</w:t>
      </w:r>
      <w:r>
        <w:tab/>
        <w:t>Change Evaluation</w:t>
      </w:r>
    </w:p>
    <w:p w14:paraId="0AA8E7D4" w14:textId="0CD2678A" w:rsidR="00BE5B1B" w:rsidRDefault="00BE5B1B" w:rsidP="001F123D">
      <w:pPr>
        <w:pStyle w:val="Abkrzungsverzeichnis"/>
        <w:ind w:left="0" w:firstLine="0"/>
      </w:pPr>
      <w:r>
        <w:t>CHM</w:t>
      </w:r>
      <w:r>
        <w:tab/>
        <w:t>Change Management</w:t>
      </w:r>
    </w:p>
    <w:p w14:paraId="1C45F83E" w14:textId="1BB9CDA9" w:rsidR="00666621" w:rsidRDefault="00666621" w:rsidP="001F123D">
      <w:pPr>
        <w:pStyle w:val="Abkrzungsverzeichnis"/>
        <w:ind w:left="0" w:firstLine="0"/>
      </w:pPr>
      <w:r>
        <w:t>CIO</w:t>
      </w:r>
      <w:r>
        <w:tab/>
        <w:t>Chief Information Officer (deu.: Leiter Informationstechnik)</w:t>
      </w:r>
    </w:p>
    <w:p w14:paraId="11DB41AA" w14:textId="09BBE3D2" w:rsidR="00A61508" w:rsidRDefault="00A61508" w:rsidP="001F123D">
      <w:pPr>
        <w:pStyle w:val="Abkrzungsverzeichnis"/>
        <w:ind w:left="0" w:firstLine="0"/>
      </w:pPr>
      <w:r>
        <w:t>COBIT</w:t>
      </w:r>
      <w:r>
        <w:tab/>
        <w:t>Controlled Objectives for Information and Related Technology</w:t>
      </w:r>
    </w:p>
    <w:p w14:paraId="2E2AAE46" w14:textId="22D85793" w:rsidR="001F123D" w:rsidRDefault="001F123D" w:rsidP="001F123D">
      <w:pPr>
        <w:pStyle w:val="Abkrzungsverzeichnis"/>
        <w:ind w:left="0" w:firstLine="0"/>
      </w:pPr>
      <w:r>
        <w:t>Dev</w:t>
      </w:r>
      <w:r>
        <w:tab/>
        <w:t>Development</w:t>
      </w:r>
      <w:r w:rsidR="009F0BF6">
        <w:t xml:space="preserve"> (deu.: </w:t>
      </w:r>
      <w:r>
        <w:t>Entwicklung</w:t>
      </w:r>
      <w:r w:rsidR="009F0BF6">
        <w:t>)</w:t>
      </w:r>
    </w:p>
    <w:p w14:paraId="521987DB" w14:textId="5AD645B0" w:rsidR="001F123D" w:rsidRDefault="001F123D" w:rsidP="001F123D">
      <w:pPr>
        <w:pStyle w:val="Abkrzungsverzeichnis"/>
        <w:ind w:left="0" w:firstLine="0"/>
      </w:pPr>
      <w:r>
        <w:t>IEC</w:t>
      </w:r>
      <w:r>
        <w:tab/>
        <w:t>International Electrotechnical Commision</w:t>
      </w:r>
    </w:p>
    <w:p w14:paraId="5ACC7E61" w14:textId="61537C59" w:rsidR="001F123D" w:rsidRDefault="001F123D" w:rsidP="001F123D">
      <w:pPr>
        <w:pStyle w:val="Abkrzungsverzeichnis"/>
        <w:ind w:left="0" w:firstLine="0"/>
      </w:pPr>
      <w:r>
        <w:t>ISO</w:t>
      </w:r>
      <w:r w:rsidR="009F0BF6">
        <w:tab/>
      </w:r>
      <w:r>
        <w:t>International Organization for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62CB6AFB" w14:textId="1DC9F9B3" w:rsidR="00BE5B1B" w:rsidRDefault="00BE5B1B" w:rsidP="001F123D">
      <w:pPr>
        <w:pStyle w:val="Abkrzungsverzeichnis"/>
        <w:ind w:left="0" w:firstLine="0"/>
      </w:pPr>
      <w:r>
        <w:t>K</w:t>
      </w:r>
      <w:r w:rsidR="00FB6DF4">
        <w:t>L</w:t>
      </w:r>
      <w:r>
        <w:t>M</w:t>
      </w:r>
      <w:r>
        <w:tab/>
        <w:t>Knowledge Management</w:t>
      </w:r>
    </w:p>
    <w:p w14:paraId="4E7054A9" w14:textId="09C9D88A" w:rsidR="001F123D" w:rsidRDefault="001F123D" w:rsidP="001F123D">
      <w:pPr>
        <w:pStyle w:val="Abkrzungsverzeichnis"/>
        <w:ind w:left="0" w:firstLine="0"/>
      </w:pPr>
      <w:r>
        <w:t>Ops</w:t>
      </w:r>
      <w:r>
        <w:tab/>
        <w:t>Operations</w:t>
      </w:r>
      <w:r w:rsidR="009F0BF6">
        <w:t xml:space="preserve"> (deu.:</w:t>
      </w:r>
      <w:r>
        <w:t xml:space="preserve"> Betrieb</w:t>
      </w:r>
      <w:r w:rsidR="009F0BF6">
        <w:t>)</w:t>
      </w:r>
    </w:p>
    <w:p w14:paraId="06431128" w14:textId="55F5D3B1" w:rsidR="00BE5B1B" w:rsidRDefault="00BE5B1B" w:rsidP="001F123D">
      <w:pPr>
        <w:pStyle w:val="Abkrzungsverzeichnis"/>
        <w:ind w:left="0" w:firstLine="0"/>
      </w:pPr>
      <w:r>
        <w:t>RDM</w:t>
      </w:r>
      <w:r>
        <w:tab/>
        <w:t>Release And Deployment Management</w:t>
      </w:r>
    </w:p>
    <w:p w14:paraId="47F22F68" w14:textId="3111785B" w:rsidR="00BE5B1B" w:rsidRDefault="00BE5B1B" w:rsidP="001F123D">
      <w:pPr>
        <w:pStyle w:val="Abkrzungsverzeichnis"/>
        <w:ind w:left="0" w:firstLine="0"/>
      </w:pPr>
      <w:r>
        <w:t>SACM</w:t>
      </w:r>
      <w:r>
        <w:tab/>
        <w:t>Service Asset And Configuration Management</w:t>
      </w:r>
    </w:p>
    <w:p w14:paraId="52C714ED" w14:textId="3A7AA9F4" w:rsidR="00BE5B1B" w:rsidRDefault="00BE5B1B" w:rsidP="001F123D">
      <w:pPr>
        <w:pStyle w:val="Abkrzungsverzeichnis"/>
        <w:ind w:left="0" w:firstLine="0"/>
      </w:pPr>
      <w:r>
        <w:t>SVT</w:t>
      </w:r>
      <w:r>
        <w:tab/>
        <w:t>Service Validation And Testing</w:t>
      </w:r>
    </w:p>
    <w:p w14:paraId="55FD7B86" w14:textId="6A9C5655" w:rsidR="00BE5B1B" w:rsidRDefault="00BE5B1B" w:rsidP="001F123D">
      <w:pPr>
        <w:pStyle w:val="Abkrzungsverzeichnis"/>
        <w:ind w:left="0" w:firstLine="0"/>
      </w:pPr>
      <w:r>
        <w:t>TPS</w:t>
      </w:r>
      <w:r>
        <w:tab/>
        <w:t>Transition Planning And Support</w:t>
      </w:r>
    </w:p>
    <w:p w14:paraId="3C2E5A26" w14:textId="50A57140" w:rsidR="00F74F2B" w:rsidRPr="00914102" w:rsidRDefault="00F74F2B" w:rsidP="001F123D">
      <w:pPr>
        <w:pStyle w:val="Abkrzungsverzeichnis"/>
        <w:ind w:left="0" w:firstLine="0"/>
        <w:sectPr w:rsidR="00F74F2B" w:rsidRPr="00914102">
          <w:headerReference w:type="default" r:id="rId15"/>
          <w:footnotePr>
            <w:pos w:val="beneathText"/>
          </w:footnotePr>
          <w:pgSz w:w="11906" w:h="16838"/>
          <w:pgMar w:top="1134" w:right="1418" w:bottom="1134" w:left="2268" w:header="708" w:footer="708" w:gutter="0"/>
          <w:pgNumType w:fmt="upperRoman"/>
          <w:cols w:space="708"/>
        </w:sectPr>
      </w:pPr>
      <w:bookmarkStart w:id="14" w:name="_GoBack"/>
      <w:r>
        <w:t>USP</w:t>
      </w:r>
      <w:r>
        <w:tab/>
        <w:t>unique selling point (deu.: Alleinstellungsmerkmal)</w:t>
      </w:r>
    </w:p>
    <w:p w14:paraId="5ECB6842" w14:textId="77777777" w:rsidR="00461FAA" w:rsidRDefault="00461FAA" w:rsidP="00461FAA">
      <w:pPr>
        <w:pStyle w:val="berschrift1"/>
      </w:pPr>
      <w:bookmarkStart w:id="15" w:name="_Ref445636100"/>
      <w:bookmarkStart w:id="16" w:name="_Toc456884959"/>
      <w:bookmarkEnd w:id="14"/>
      <w:r>
        <w:lastRenderedPageBreak/>
        <w:t>Einleitung</w:t>
      </w:r>
      <w:bookmarkEnd w:id="15"/>
      <w:bookmarkEnd w:id="16"/>
    </w:p>
    <w:p w14:paraId="2B1932EB" w14:textId="543728CA"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End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für jede Unternehmung</w:t>
      </w:r>
      <w:r w:rsidR="003D0516">
        <w:t>, denn einer</w:t>
      </w:r>
      <w:r w:rsidR="009C600B">
        <w:t>seits verändert sich stets die</w:t>
      </w:r>
      <w:r w:rsidR="003D0516">
        <w:t xml:space="preserve"> Umwelt und andererseits müssen sich</w:t>
      </w:r>
      <w:r w:rsidR="009C600B">
        <w:t xml:space="preserve"> Unternehmen</w:t>
      </w:r>
      <w:r w:rsidR="003D0516">
        <w:t xml:space="preserve">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A301DD">
        <w:t xml:space="preserve"> (vgl. Kapitel </w:t>
      </w:r>
      <w:r w:rsidR="00A301DD">
        <w:fldChar w:fldCharType="begin"/>
      </w:r>
      <w:r w:rsidR="00A301DD">
        <w:instrText xml:space="preserve"> REF _Ref445650448 \r \h </w:instrText>
      </w:r>
      <w:r w:rsidR="00A301DD">
        <w:fldChar w:fldCharType="separate"/>
      </w:r>
      <w:r w:rsidR="00A301DD">
        <w:t>2.2</w:t>
      </w:r>
      <w:r w:rsidR="00A301DD">
        <w:fldChar w:fldCharType="end"/>
      </w:r>
      <w:r w:rsidR="00A301DD">
        <w:t>)</w:t>
      </w:r>
      <w:r w:rsidR="0028244C">
        <w:t>.</w:t>
      </w:r>
      <w:r w:rsidR="00E8229F">
        <w:t xml:space="preserve"> </w:t>
      </w:r>
      <w:r w:rsidR="0028244C">
        <w:t xml:space="preserve">Von entscheidender Bedeutung </w:t>
      </w:r>
      <w:r w:rsidR="003D0516">
        <w:t xml:space="preserve">bei </w:t>
      </w:r>
      <w:r w:rsidR="003052A2">
        <w:t>diesen</w:t>
      </w:r>
      <w:r w:rsidR="003D0516">
        <w:t xml:space="preserve"> Innovation</w:t>
      </w:r>
      <w:r w:rsidR="009C600B">
        <w:t>en</w:t>
      </w:r>
      <w:r w:rsidR="003D0516">
        <w:t xml:space="preserve"> </w:t>
      </w:r>
      <w:r w:rsidR="0028244C">
        <w:t xml:space="preserve">ist der Zeitpunkt, zu dem </w:t>
      </w:r>
      <w:r w:rsidR="00803CAA">
        <w:t>der</w:t>
      </w:r>
      <w:r w:rsidR="0028244C">
        <w:t xml:space="preserve"> Nutzen aus der</w:t>
      </w:r>
      <w:r w:rsidR="00E8229F">
        <w:t xml:space="preserve"> </w:t>
      </w:r>
      <w:r w:rsidR="0028244C">
        <w:t>Investition gezogen werden kann</w:t>
      </w:r>
      <w:r w:rsidR="00A301DD">
        <w:t xml:space="preserve">, welcher </w:t>
      </w:r>
      <w:r w:rsidR="00E8229F">
        <w:t>auch als „time to market“ bezeichnet</w:t>
      </w:r>
      <w:r w:rsidR="00A301DD">
        <w:t xml:space="preserve"> wird (vgl. Kapitel </w:t>
      </w:r>
      <w:r w:rsidR="00A301DD">
        <w:fldChar w:fldCharType="begin"/>
      </w:r>
      <w:r w:rsidR="00A301DD">
        <w:instrText xml:space="preserve"> REF _Ref445029358 \r \h </w:instrText>
      </w:r>
      <w:r w:rsidR="00A301DD">
        <w:fldChar w:fldCharType="separate"/>
      </w:r>
      <w:r w:rsidR="00A301DD">
        <w:t>2.1</w:t>
      </w:r>
      <w:r w:rsidR="00A301DD">
        <w:fldChar w:fldCharType="end"/>
      </w:r>
      <w:r w:rsidR="00A301DD">
        <w:t>)</w:t>
      </w:r>
      <w:r w:rsidR="00E8229F">
        <w:t xml:space="preserve">. </w:t>
      </w:r>
      <w:r w:rsidR="001F123D">
        <w:t xml:space="preserve">Aufgrund der anhaltenden Digitalisierung hat die </w:t>
      </w:r>
      <w:r w:rsidR="00E8229F">
        <w:t>Informationstechnik</w:t>
      </w:r>
      <w:r w:rsidR="009F0BF6">
        <w:t xml:space="preserve"> (IT)</w:t>
      </w:r>
      <w:r w:rsidR="00E8229F">
        <w:t xml:space="preserve"> </w:t>
      </w:r>
      <w:r w:rsidR="003052A2">
        <w:t xml:space="preserve">darauf </w:t>
      </w:r>
      <w:r w:rsidR="001F123D">
        <w:t xml:space="preserve">einen immer größer werdenden </w:t>
      </w:r>
      <w:r w:rsidR="00803CAA">
        <w:t xml:space="preserve">Einfluss </w:t>
      </w:r>
      <w:r w:rsidR="00A301DD">
        <w:t xml:space="preserve">(vgl. Kapitel </w:t>
      </w:r>
      <w:r w:rsidR="00A301DD">
        <w:fldChar w:fldCharType="begin"/>
      </w:r>
      <w:r w:rsidR="00A301DD">
        <w:instrText xml:space="preserve"> REF _Ref446517190 \r \h </w:instrText>
      </w:r>
      <w:r w:rsidR="00A301DD">
        <w:fldChar w:fldCharType="separate"/>
      </w:r>
      <w:r w:rsidR="00A301DD">
        <w:t>2.4</w:t>
      </w:r>
      <w:r w:rsidR="00A301DD">
        <w:fldChar w:fldCharType="end"/>
      </w:r>
      <w:r w:rsidR="00A301DD">
        <w:t>)</w:t>
      </w:r>
      <w:r w:rsidR="001F123D">
        <w:t>.</w:t>
      </w:r>
      <w:r w:rsidR="00E8229F">
        <w:t xml:space="preserve"> </w:t>
      </w:r>
      <w:r w:rsidR="003052A2">
        <w:t xml:space="preserve">Entscheidend für die </w:t>
      </w:r>
      <w:r w:rsidR="009C600B">
        <w:t xml:space="preserve">schnelle </w:t>
      </w:r>
      <w:r w:rsidR="003052A2">
        <w:t>Umsetzung der fachliche</w:t>
      </w:r>
      <w:r w:rsidR="009C600B">
        <w:t xml:space="preserve">n Anforderungen </w:t>
      </w:r>
      <w:r w:rsidR="003052A2">
        <w:t xml:space="preserve">ist die Flexibilität in der Softwareentwicklung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A</w:t>
      </w:r>
      <w:r w:rsidR="00E8229F">
        <w:t xml:space="preserve">ufgrund dieser Prämisse </w:t>
      </w:r>
      <w:r w:rsidR="001F123D">
        <w:t xml:space="preserve">sind </w:t>
      </w:r>
      <w:r w:rsidR="00E8229F">
        <w:t xml:space="preserve">agile </w:t>
      </w:r>
      <w:r w:rsidR="00180BBA">
        <w:t>Vorgehensweisen</w:t>
      </w:r>
      <w:r w:rsidR="004903D2">
        <w:t>, wie zum Beispiel Scrum,</w:t>
      </w:r>
      <w:r w:rsidR="00180BBA">
        <w:t xml:space="preserve"> </w:t>
      </w:r>
      <w:r w:rsidR="004903D2">
        <w:t>in</w:t>
      </w:r>
      <w:r w:rsidR="001F123D">
        <w:t xml:space="preserve"> der Softwareentwicklung</w:t>
      </w:r>
      <w:r w:rsidR="004903D2">
        <w:t xml:space="preserve"> </w:t>
      </w:r>
      <w:r w:rsidR="00E8229F">
        <w:t xml:space="preserve">mittlerweile etabliert </w:t>
      </w:r>
      <w:sdt>
        <w:sdtPr>
          <w:id w:val="80795501"/>
          <w:citation/>
        </w:sdtPr>
        <w:sdtEndPr/>
        <w:sdtContent>
          <w:r w:rsidR="00E8229F">
            <w:fldChar w:fldCharType="begin"/>
          </w:r>
          <w:r w:rsidR="00F30DA8">
            <w:instrText xml:space="preserve">CITATION Kim131 \p "4; 13 ff." \l 1031 </w:instrText>
          </w:r>
          <w:r w:rsidR="004903D2">
            <w:instrText xml:space="preserve"> \m Ham10 \m Lan15</w:instrText>
          </w:r>
          <w:r w:rsidR="00E8229F">
            <w:fldChar w:fldCharType="separate"/>
          </w:r>
          <w:r w:rsidR="004903D2">
            <w:rPr>
              <w:noProof/>
            </w:rPr>
            <w:t>(D. Kim 2013, 4; 13 ff., Hammond 2010, Lange und Diercks 2015)</w:t>
          </w:r>
          <w:r w:rsidR="00E8229F">
            <w:fldChar w:fldCharType="end"/>
          </w:r>
        </w:sdtContent>
      </w:sdt>
      <w:r w:rsidR="00E8229F">
        <w:t xml:space="preserve">. </w:t>
      </w:r>
      <w:r w:rsidR="001F123D">
        <w:t xml:space="preserve">Die Softwareentwicklung findet in vielen Fällen jedoch isoliert vom IT-Service-Management und damit dem </w:t>
      </w:r>
      <w:r w:rsidR="00803CAA">
        <w:t>Release-Management</w:t>
      </w:r>
      <w:r w:rsidR="001F123D">
        <w:t xml:space="preserve"> statt, da </w:t>
      </w:r>
      <w:r w:rsidR="009C600B">
        <w:t>im Betrieb</w:t>
      </w:r>
      <w:r w:rsidR="003052A2">
        <w:t xml:space="preserve"> </w:t>
      </w:r>
      <w:r w:rsidR="001F123D">
        <w:t>nicht die Innovation, sondern die Stabilität</w:t>
      </w:r>
      <w:r w:rsidR="003052A2">
        <w:t xml:space="preserve"> der Produktion</w:t>
      </w:r>
      <w:r w:rsidR="001F123D">
        <w:t xml:space="preserve"> im Vordergrund steht</w:t>
      </w:r>
      <w:r w:rsidR="003052A2">
        <w:t xml:space="preserve">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Diese Entkopplung</w:t>
      </w:r>
      <w:r w:rsidR="003052A2">
        <w:t xml:space="preserve"> </w:t>
      </w:r>
      <w:r w:rsidR="001F123D">
        <w:t xml:space="preserve">führt </w:t>
      </w:r>
      <w:r w:rsidR="000C13CD">
        <w:t xml:space="preserve">letztendlich </w:t>
      </w:r>
      <w:r w:rsidR="001F123D">
        <w:t xml:space="preserve">zu einer </w:t>
      </w:r>
      <w:r w:rsidR="003052A2">
        <w:t>längeren</w:t>
      </w:r>
      <w:r w:rsidR="001F123D">
        <w:t xml:space="preserve"> „time to market“ und daher zu einer schlechteren Wettbewerbsfähigkeit</w:t>
      </w:r>
      <w:r w:rsidR="000C13CD">
        <w:t xml:space="preserve"> </w:t>
      </w:r>
      <w:sdt>
        <w:sdtPr>
          <w:id w:val="-1935359914"/>
          <w:citation/>
        </w:sdtPr>
        <w:sdtEndPr/>
        <w:sdtContent>
          <w:r w:rsidR="000C13CD">
            <w:fldChar w:fldCharType="begin"/>
          </w:r>
          <w:r w:rsidR="000C13CD">
            <w:instrText xml:space="preserve">CITATION Pup16 \p "S. 14 f." \l 1031 </w:instrText>
          </w:r>
          <w:r w:rsidR="000C13CD">
            <w:fldChar w:fldCharType="separate"/>
          </w:r>
          <w:r w:rsidR="000C13CD">
            <w:rPr>
              <w:noProof/>
            </w:rPr>
            <w:t>(Puppet 2016, S. 14 f.)</w:t>
          </w:r>
          <w:r w:rsidR="000C13CD">
            <w:fldChar w:fldCharType="end"/>
          </w:r>
        </w:sdtContent>
      </w:sdt>
      <w:r w:rsidR="00B4347A">
        <w:t>. D</w:t>
      </w:r>
      <w:r w:rsidR="001F123D">
        <w:t xml:space="preserve">er Ansatz „DevOps“ </w:t>
      </w:r>
      <w:r w:rsidR="00B4347A">
        <w:t xml:space="preserve">versucht dieses Problem </w:t>
      </w:r>
      <w:r w:rsidR="001F123D">
        <w:t>zu lösen, in dem die Isolation zwischen Entwicklung („Development“ – „Dev“) und IT-Service-Management („Operations“ – „Ops“) aufgehoben wird</w:t>
      </w:r>
      <w:r w:rsidR="000C13CD">
        <w:t xml:space="preserve"> (vgl. Kapitel</w:t>
      </w:r>
      <w:r w:rsidR="00B4347A">
        <w:t xml:space="preserve"> </w:t>
      </w:r>
      <w:r w:rsidR="00B4347A">
        <w:fldChar w:fldCharType="begin"/>
      </w:r>
      <w:r w:rsidR="00B4347A">
        <w:instrText xml:space="preserve"> REF _Ref446517190 \r \h </w:instrText>
      </w:r>
      <w:r w:rsidR="00B4347A">
        <w:fldChar w:fldCharType="separate"/>
      </w:r>
      <w:r w:rsidR="00B4347A">
        <w:t>2.4</w:t>
      </w:r>
      <w:r w:rsidR="00B4347A">
        <w:fldChar w:fldCharType="end"/>
      </w:r>
      <w:r w:rsidR="000C13CD">
        <w:t>)</w:t>
      </w:r>
      <w:r w:rsidR="001F123D">
        <w:t xml:space="preserve">. </w:t>
      </w:r>
      <w:r w:rsidR="00E52CD4">
        <w:t>Eine aktuelle Studie</w:t>
      </w:r>
      <w:r w:rsidR="00C5343A">
        <w:t xml:space="preserve"> zeigt, dass mit dem DevOps-Ansatz die Vorlaufzeit für eine Änderung im IT-Betrieb, also einem Release, von Monaten zu Stunden verkürzt werden kann, wobei die Fehlerraten und die Ausfallkosten wesentlich niedriger ausfallen </w:t>
      </w:r>
      <w:sdt>
        <w:sdtPr>
          <w:id w:val="-1676807723"/>
          <w:citation/>
        </w:sdtPr>
        <w:sdtEndPr/>
        <w:sdtContent>
          <w:r w:rsidR="00C5343A">
            <w:fldChar w:fldCharType="begin"/>
          </w:r>
          <w:r w:rsidR="00C5343A">
            <w:instrText xml:space="preserve">CITATION Pup16 \p "S. 14 f., 48" \l 1031 </w:instrText>
          </w:r>
          <w:r w:rsidR="00C5343A">
            <w:fldChar w:fldCharType="separate"/>
          </w:r>
          <w:r w:rsidR="00C5343A">
            <w:rPr>
              <w:noProof/>
            </w:rPr>
            <w:t>(Puppet 2016, S. 14 f., 48)</w:t>
          </w:r>
          <w:r w:rsidR="00C5343A">
            <w:fldChar w:fldCharType="end"/>
          </w:r>
        </w:sdtContent>
      </w:sdt>
      <w:r w:rsidR="00C5343A">
        <w:t>.</w:t>
      </w:r>
      <w:r w:rsidR="00EF4AF6">
        <w:t xml:space="preserve"> </w:t>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w:t>
      </w:r>
      <w:r w:rsidR="00C5343A">
        <w:t>Wann l</w:t>
      </w:r>
      <w:r w:rsidR="00E8229F">
        <w:t xml:space="preserve">ohnt es sich </w:t>
      </w:r>
      <w:r w:rsidR="00C5343A">
        <w:t>Tests</w:t>
      </w:r>
      <w:r w:rsidR="00E8229F">
        <w:t xml:space="preserve"> automatisiert durchzuführen?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9C600B">
        <w:t xml:space="preserve">Sollte </w:t>
      </w:r>
      <w:r w:rsidR="00C5343A">
        <w:t>aufgrund der benannten Studie nun</w:t>
      </w:r>
      <w:r w:rsidR="009C600B">
        <w:t xml:space="preserve"> jedes Produkt gemäß dem DevOps-Ansatz behandelt werden, oder werden unterschiedliche Verfahrensweisen benötigt? </w:t>
      </w:r>
      <w:r w:rsidR="001F123D">
        <w:t xml:space="preserve">Wenn ja, anhand welcher Kriterien </w:t>
      </w:r>
      <w:r w:rsidR="00C5343A">
        <w:t>lässt sich das ableiten</w:t>
      </w:r>
      <w:r w:rsidR="001F123D">
        <w:t>? 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t>die internationa</w:t>
      </w:r>
      <w:r w:rsidR="001F123D">
        <w:lastRenderedPageBreak/>
        <w:t>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Dadurch entsteht Unternehmen bei der</w:t>
      </w:r>
      <w:r w:rsidR="00B15476">
        <w:t xml:space="preserve"> Adap</w:t>
      </w:r>
      <w:r w:rsidR="002E561A">
        <w:t>t</w:t>
      </w:r>
      <w:r w:rsidR="005E770D">
        <w:t>ion von ITIL mittels Einführungsprojekten</w:t>
      </w:r>
      <w:r w:rsidR="00E8229F">
        <w:t xml:space="preserve"> ein erhöhter Aufwand</w:t>
      </w:r>
      <w:r w:rsidR="00B15476">
        <w:t xml:space="preserve"> </w:t>
      </w:r>
      <w:sdt>
        <w:sdtPr>
          <w:id w:val="-1516992636"/>
          <w:citation/>
        </w:sdtPr>
        <w:sdtEndPr/>
        <w:sdtContent>
          <w:r w:rsidR="00B15476">
            <w:fldChar w:fldCharType="begin"/>
          </w:r>
          <w:r w:rsidR="00ED261F">
            <w:instrText xml:space="preserve">CITATION Las12 \p "S. 9" \m Lie06 \p "S. 57" \m Win09 \p "S. 158" \m Pea05 \p "S. 5" \m Won12 \p "S. 67 f." \l 1031 </w:instrText>
          </w:r>
          <w:r w:rsidR="004129CB">
            <w:instrText xml:space="preserve"> \m New05</w:instrText>
          </w:r>
          <w:r w:rsidR="007D0DC3">
            <w:instrText xml:space="preserve"> \m New05 \m New05</w:instrText>
          </w:r>
          <w:r w:rsidR="00B15476">
            <w:fldChar w:fldCharType="separate"/>
          </w:r>
          <w:r w:rsidR="007D0DC3">
            <w:rPr>
              <w:noProof/>
            </w:rPr>
            <w:t>(Laser 2012, S. 9, Lienemann 2006, S. 57, Winniford, Conger und Erickson-Harris 2009, S. 158, Peasley und Fletcher 2005, S. 5, Wonke-Stehle 2012, S. 67 f.)</w:t>
          </w:r>
          <w:r w:rsidR="00B15476">
            <w:fldChar w:fldCharType="end"/>
          </w:r>
        </w:sdtContent>
      </w:sdt>
      <w:sdt>
        <w:sdtPr>
          <w:id w:val="662060026"/>
          <w:citation/>
        </w:sdtPr>
        <w:sdtEndPr/>
        <w:sdtContent>
          <w:r w:rsidR="007D0DC3">
            <w:fldChar w:fldCharType="begin"/>
          </w:r>
          <w:r w:rsidR="004A605B">
            <w:instrText xml:space="preserve">CITATION New05 \m Pin05 \p "S. 1" \m itS07 \p "S. 133" \m KBS07 \p "S. 7" \l 1031 </w:instrText>
          </w:r>
          <w:r w:rsidR="007D0DC3">
            <w:fldChar w:fldCharType="separate"/>
          </w:r>
          <w:r w:rsidR="004A605B">
            <w:rPr>
              <w:noProof/>
            </w:rPr>
            <w:t xml:space="preserve"> (Newcombe 2005, Pink Elephant 2005, S. 1, itSMF e. V. 2007, S. 133, KBSt 2007, S. 7)</w:t>
          </w:r>
          <w:r w:rsidR="007D0DC3">
            <w:fldChar w:fldCharType="end"/>
          </w:r>
        </w:sdtContent>
      </w:sdt>
      <w:r w:rsidR="00E8229F">
        <w:t>.</w:t>
      </w:r>
      <w:r w:rsidR="004F434C">
        <w:t xml:space="preserve"> </w:t>
      </w:r>
      <w:r w:rsidR="001F123D">
        <w:t xml:space="preserve">Durch die Konzeption von Standardtypen für </w:t>
      </w:r>
      <w:r w:rsidR="00803CAA">
        <w:t>Release-Management</w:t>
      </w:r>
      <w:r w:rsidR="001F123D">
        <w:t xml:space="preserve"> Prozesse können diese Aufwände reduziert werden</w:t>
      </w:r>
      <w:r w:rsidR="004F434C">
        <w:t>, da die Einführung vereinfacht und beschleunigt wird</w:t>
      </w:r>
      <w:r w:rsidR="001F123D">
        <w:t>. Weiterhin</w:t>
      </w:r>
      <w:r w:rsidR="00803CAA">
        <w:t xml:space="preserve"> können die</w:t>
      </w:r>
      <w:r w:rsidR="001F123D">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rsidR="001F123D">
        <w:t xml:space="preserve"> der Branche des Unternehmens, dem Einfluss des Produkts auf das Kerngeschäft, der Klassifizierung der verarbeitenden Daten oder der aktuellen Phase </w:t>
      </w:r>
      <w:r w:rsidR="009C600B">
        <w:t xml:space="preserve">eines Produkts </w:t>
      </w:r>
      <w:r w:rsidR="001F123D">
        <w:t xml:space="preserve">im Produktlebenszyklus, ausgehen. </w:t>
      </w:r>
      <w:r w:rsidR="009C600B">
        <w:t>Die grundlegende Hypothese dieser Arbeit ist, d</w:t>
      </w:r>
      <w:r w:rsidR="001F123D">
        <w:t>a</w:t>
      </w:r>
      <w:r w:rsidR="009C600B">
        <w:t>ss aufgrund des direkten Zusammenhangs</w:t>
      </w:r>
      <w:r w:rsidR="001F123D">
        <w:t xml:space="preserve"> zwischen</w:t>
      </w:r>
      <w:r w:rsidR="009C600B">
        <w:t xml:space="preserve"> der</w:t>
      </w:r>
      <w:r w:rsidR="00E04553">
        <w:t xml:space="preserve"> Produktlebenszyklus</w:t>
      </w:r>
      <w:r w:rsidR="009C600B">
        <w:t>phase und dem</w:t>
      </w:r>
      <w:r w:rsidR="001F123D">
        <w:t xml:space="preserve"> Innovation</w:t>
      </w:r>
      <w:r w:rsidR="009C600B">
        <w:t>sbedarf</w:t>
      </w:r>
      <w:r w:rsidR="001F123D">
        <w:t xml:space="preserve"> </w:t>
      </w:r>
      <w:r w:rsidR="00BD63D2">
        <w:t xml:space="preserve">eines Produkts, </w:t>
      </w:r>
      <w:r w:rsidR="009C600B">
        <w:t>eine Unterscheidung für Release-Management-Prozess</w:t>
      </w:r>
      <w:r w:rsidR="00BD63D2">
        <w:t>e</w:t>
      </w:r>
      <w:r w:rsidR="009C600B">
        <w:t xml:space="preserve"> ableitbar ist</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rsidR="001F123D">
        <w:t xml:space="preserve">. </w:t>
      </w:r>
      <w:r w:rsidR="00E8229F">
        <w:t xml:space="preserve">Ziel </w:t>
      </w:r>
      <w:r w:rsidR="001F123D">
        <w:t xml:space="preserve">dieser Masterarbeit </w:t>
      </w:r>
      <w:r w:rsidR="00E8229F">
        <w:t>ist es</w:t>
      </w:r>
      <w:r w:rsidR="001F123D">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rsidR="001F123D">
        <w:t xml:space="preserve"> Methoden zu finden und </w:t>
      </w:r>
      <w:r w:rsidR="00803CAA">
        <w:t xml:space="preserve">diese </w:t>
      </w:r>
      <w:r w:rsidR="001F123D">
        <w:t xml:space="preserve">letztendlich zu </w:t>
      </w:r>
      <w:r w:rsidR="00E8229F">
        <w:t xml:space="preserve">Standardtypen </w:t>
      </w:r>
      <w:r w:rsidR="001F123D">
        <w:t>zusammen zu fassen</w:t>
      </w:r>
      <w:r w:rsidR="00E8229F">
        <w:t xml:space="preserve">. </w:t>
      </w:r>
      <w:r w:rsidR="007C464A">
        <w:t>Andere</w:t>
      </w:r>
      <w:r w:rsidR="001F123D">
        <w:t xml:space="preserve"> möglichen Faktoren neben dem Produktlebenszyklus finden keine Betrachtung und sollten daher Ziel weiterer wissenschaftlicher Betrachtungen innerhalb des Themenkomplex werden. </w:t>
      </w:r>
    </w:p>
    <w:p w14:paraId="416C32A0" w14:textId="68159C2E"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w:t>
      </w:r>
      <w:r w:rsidR="0012113B">
        <w:t>hinsichtlich ihrer</w:t>
      </w:r>
      <w:r>
        <w:t xml:space="preserve"> speziellen Risiken </w:t>
      </w:r>
      <w:r w:rsidR="0012113B">
        <w:t>beleuchtet</w:t>
      </w:r>
      <w:r>
        <w:t xml:space="preserve">. </w:t>
      </w:r>
      <w:r w:rsidR="0012113B">
        <w:t xml:space="preserve">Im darauffolgenden Kapitel </w:t>
      </w:r>
      <w:r w:rsidR="007C464A">
        <w:t xml:space="preserve">4 </w:t>
      </w:r>
      <w:r>
        <w:t>werden die unterschiedlichen Methoden des Release-Managements vorgestellt</w:t>
      </w:r>
      <w:r w:rsidR="0012113B">
        <w:t xml:space="preserve"> und auf Ihre Eignung zur Risikobehandlung untersucht</w:t>
      </w:r>
      <w:r>
        <w:t xml:space="preserve">. Die passende Zuordnung von Methoden zu Risiken und deren Kombination zu Standardtypen erfolgt dann in Kapitel </w:t>
      </w:r>
      <w:r>
        <w:fldChar w:fldCharType="begin"/>
      </w:r>
      <w:r>
        <w:instrText xml:space="preserve"> REF _Ref442963953 \r \h </w:instrText>
      </w:r>
      <w:r>
        <w:fldChar w:fldCharType="separate"/>
      </w:r>
      <w:r w:rsidR="0012113B">
        <w:t>5</w:t>
      </w:r>
      <w:r>
        <w:fldChar w:fldCharType="end"/>
      </w:r>
      <w:r>
        <w:t xml:space="preserve">. Im Kapitel </w:t>
      </w:r>
      <w:r>
        <w:fldChar w:fldCharType="begin"/>
      </w:r>
      <w:r>
        <w:instrText xml:space="preserve"> REF _Ref442964028 \r \h </w:instrText>
      </w:r>
      <w:r>
        <w:fldChar w:fldCharType="separate"/>
      </w:r>
      <w:r w:rsidR="0012113B">
        <w:t>6</w:t>
      </w:r>
      <w:r>
        <w:fldChar w:fldCharType="end"/>
      </w:r>
      <w:r>
        <w:t xml:space="preserve"> werden die erarbeiteten Standardtypen bezüglich ihres Nutzens untersucht. Im letzten Kapitel </w:t>
      </w:r>
      <w:r>
        <w:fldChar w:fldCharType="begin"/>
      </w:r>
      <w:r>
        <w:instrText xml:space="preserve"> REF _Ref442964164 \r \h </w:instrText>
      </w:r>
      <w:r>
        <w:fldChar w:fldCharType="separate"/>
      </w:r>
      <w:r w:rsidR="0012113B">
        <w:t>8</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17" w:name="_Ref442963595"/>
      <w:bookmarkStart w:id="18" w:name="_Toc456884960"/>
      <w:r>
        <w:lastRenderedPageBreak/>
        <w:t>Grundlagen</w:t>
      </w:r>
      <w:bookmarkEnd w:id="17"/>
      <w:bookmarkEnd w:id="18"/>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19" w:name="_Ref445029358"/>
      <w:bookmarkStart w:id="20" w:name="_Toc456884961"/>
      <w:r>
        <w:t>Innovation</w:t>
      </w:r>
      <w:r w:rsidR="00461FAA">
        <w:t xml:space="preserve"> </w:t>
      </w:r>
      <w:r w:rsidR="00DB13B7">
        <w:t>zur</w:t>
      </w:r>
      <w:r>
        <w:t xml:space="preserve"> Existenz</w:t>
      </w:r>
      <w:r w:rsidR="00DB13B7">
        <w:t>sicherung</w:t>
      </w:r>
      <w:bookmarkEnd w:id="19"/>
      <w:bookmarkEnd w:id="20"/>
    </w:p>
    <w:p w14:paraId="2ADAEE79" w14:textId="6C0541DA" w:rsidR="00BF58E9" w:rsidRDefault="00DC6487" w:rsidP="00BC71A2">
      <w:r>
        <w:t xml:space="preserve">Zentrales Thema der </w:t>
      </w:r>
      <w:r w:rsidR="00F65B61">
        <w:t>Einleitung</w:t>
      </w:r>
      <w:r>
        <w:t xml:space="preserve"> ist die Innovation. </w:t>
      </w:r>
      <w:r w:rsidR="0010304A" w:rsidRPr="0010304A">
        <w:rPr>
          <w:i/>
        </w:rPr>
        <w:t>Kairies</w:t>
      </w:r>
      <w:r w:rsidR="0010304A">
        <w:t xml:space="preserve"> </w:t>
      </w:r>
      <w:sdt>
        <w:sdtPr>
          <w:id w:val="1600142936"/>
          <w:citation/>
        </w:sdtPr>
        <w:sdtEnd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End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End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46D8BC08"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3FE7258D" w14:textId="001C7B67" w:rsidR="007C464A" w:rsidRDefault="00122799" w:rsidP="00BC71A2">
      <w:r>
        <w:t xml:space="preserve">Die ersten beiden Fälle unterscheidet auch </w:t>
      </w:r>
      <w:r w:rsidRPr="00122799">
        <w:rPr>
          <w:i/>
        </w:rPr>
        <w:t>Aumayr</w:t>
      </w:r>
      <w:r>
        <w:t xml:space="preserve"> </w:t>
      </w:r>
      <w:sdt>
        <w:sdtPr>
          <w:id w:val="341134837"/>
          <w:citation/>
        </w:sdtPr>
        <w:sdtEnd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End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w:t>
      </w:r>
      <w:r w:rsidR="00854C61">
        <w:t>er</w:t>
      </w:r>
      <w:r w:rsidR="00C5437B">
        <w:t xml:space="preserve"> auf die </w:t>
      </w:r>
      <w:r w:rsidR="00854C61">
        <w:t>Leistungserstellungsprozesse, deren Innovation</w:t>
      </w:r>
      <w:r w:rsidR="00C5437B">
        <w:t xml:space="preserve"> zu einer höheren Produktivität</w:t>
      </w:r>
      <w:r w:rsidR="00854C61">
        <w:t xml:space="preserve"> führt</w:t>
      </w:r>
      <w:r w:rsidR="00C5437B">
        <w:t xml:space="preserve"> </w:t>
      </w:r>
      <w:sdt>
        <w:sdtPr>
          <w:id w:val="1800109580"/>
          <w:citation/>
        </w:sdtPr>
        <w:sdtEnd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54C61">
        <w:t xml:space="preserve"> Prinzipiell zeichnet sich</w:t>
      </w:r>
      <w:r w:rsidR="00843F40">
        <w:t xml:space="preserve"> Innovation </w:t>
      </w:r>
      <w:r w:rsidR="00854C61">
        <w:t>durch die Erreichung eines vorteilhafteren Zustands in mindestens einer Dimension im Vergleich zum Ausgangszustand aus</w:t>
      </w:r>
      <w:r w:rsidR="00843F40">
        <w:t>, sei es durch eine höhere Nachfrage oder eine höhere Produktivität</w:t>
      </w:r>
      <w:r w:rsidR="00843F40" w:rsidRPr="00843F40">
        <w:t xml:space="preserve"> </w:t>
      </w:r>
      <w:sdt>
        <w:sdtPr>
          <w:id w:val="285857331"/>
          <w:citation/>
        </w:sdtPr>
        <w:sdtEnd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w:t>
      </w:r>
      <w:r w:rsidR="007C464A">
        <w:t xml:space="preserve">letztendlich </w:t>
      </w:r>
      <w:r w:rsidR="006117FA">
        <w:t xml:space="preserve">keinen Unternehmergewinn </w:t>
      </w:r>
      <w:sdt>
        <w:sdtPr>
          <w:id w:val="-864131950"/>
          <w:citation/>
        </w:sdtPr>
        <w:sdtEnd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End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w:t>
      </w:r>
      <w:r w:rsidR="00854C61">
        <w:t xml:space="preserve">Nutzen </w:t>
      </w:r>
      <w:r w:rsidR="00133C26">
        <w:t xml:space="preserve">aus Veränderungen zu generieren. Diese Fähigkeit unterscheidet Unternehmer von Managern, welche lediglich Bekanntes verwalten </w:t>
      </w:r>
      <w:sdt>
        <w:sdtPr>
          <w:id w:val="-785575953"/>
          <w:citation/>
        </w:sdtPr>
        <w:sdtEnd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genannten</w:t>
      </w:r>
      <w:r w:rsidR="00854C61">
        <w:t xml:space="preserve"> geschaffenen</w:t>
      </w:r>
      <w:r w:rsidR="00133C26">
        <w:t xml:space="preserve"> </w:t>
      </w:r>
      <w:r w:rsidR="006117FA">
        <w:t>Innovationsvorteile</w:t>
      </w:r>
      <w:r w:rsidR="00133C26">
        <w:t xml:space="preserve"> sind</w:t>
      </w:r>
      <w:r w:rsidR="006117FA">
        <w:t xml:space="preserve"> </w:t>
      </w:r>
      <w:r w:rsidR="00854C61">
        <w:t xml:space="preserve">jedoch </w:t>
      </w:r>
      <w:r w:rsidR="006117FA">
        <w:t xml:space="preserve">nicht von Dauer, da andere Unternehmer </w:t>
      </w:r>
      <w:r w:rsidR="00133C26">
        <w:t xml:space="preserve">stets </w:t>
      </w:r>
      <w:r w:rsidR="006117FA">
        <w:t xml:space="preserve">nachziehen </w:t>
      </w:r>
      <w:sdt>
        <w:sdtPr>
          <w:id w:val="-2117286658"/>
          <w:citation/>
        </w:sdtPr>
        <w:sdtEnd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xml:space="preserve">. </w:t>
      </w:r>
      <w:r w:rsidR="00854C61">
        <w:t xml:space="preserve">Dies führt zu einer hohen Dynamik auf den Märkten und zwingt </w:t>
      </w:r>
      <w:r w:rsidR="00C5437B">
        <w:t>Unternehmen permanent innovative und erfolgreiche Produkte</w:t>
      </w:r>
      <w:r w:rsidR="00854C61">
        <w:t xml:space="preserve"> zu vermarkten</w:t>
      </w:r>
      <w:r w:rsidR="00C5437B">
        <w:t xml:space="preserve">, um </w:t>
      </w:r>
      <w:r w:rsidR="00854C61">
        <w:t xml:space="preserve">dauerhaft </w:t>
      </w:r>
      <w:r w:rsidR="00C5437B">
        <w:t>bestehen zu können</w:t>
      </w:r>
      <w:sdt>
        <w:sdtPr>
          <w:id w:val="752087668"/>
          <w:citation/>
        </w:sdtPr>
        <w:sdtEndPr/>
        <w:sdtContent>
          <w:r w:rsidR="000A4B7F">
            <w:fldChar w:fldCharType="begin"/>
          </w:r>
          <w:r w:rsidR="005240C6">
            <w:instrText xml:space="preserve">CITATION Kai04 \p "S. 1 ff." \m Len06 \p "S. 11 f." \m Aum09 \p "S. 11, 136, 325" \m Gra16 \p "S. 133" \l 1031 </w:instrText>
          </w:r>
          <w:r w:rsidR="000A4B7F">
            <w:fldChar w:fldCharType="separate"/>
          </w:r>
          <w:r w:rsidR="005240C6">
            <w:rPr>
              <w:noProof/>
            </w:rPr>
            <w:t xml:space="preserve"> (Kairies 2004, S. 1 ff., Lennertz 2006, S. 11 f., Aumayr 2009, S. 11, 136, 325, Grawe 2016, S. 133)</w:t>
          </w:r>
          <w:r w:rsidR="000A4B7F">
            <w:fldChar w:fldCharType="end"/>
          </w:r>
        </w:sdtContent>
      </w:sdt>
      <w:r w:rsidR="00DC6487">
        <w:t>.</w:t>
      </w:r>
      <w:r w:rsidR="000A4B7F">
        <w:t xml:space="preserve"> </w:t>
      </w:r>
      <w:r w:rsidR="004A2561">
        <w:t>Klassische Mittel zur Erfolgssicherung, wie Pro</w:t>
      </w:r>
      <w:r w:rsidR="004A2561">
        <w:lastRenderedPageBreak/>
        <w:t>zessbeschleunigung, Kostensenkung oder Organisationsveränder</w:t>
      </w:r>
      <w:r w:rsidR="00365891">
        <w:t xml:space="preserve">ungen allein reichen </w:t>
      </w:r>
      <w:r w:rsidR="007C464A">
        <w:t xml:space="preserve">dafür </w:t>
      </w:r>
      <w:r w:rsidR="00365891">
        <w:t xml:space="preserve">auf Dauer nicht </w:t>
      </w:r>
      <w:r w:rsidR="004A2561">
        <w:t>aus</w:t>
      </w:r>
      <w:sdt>
        <w:sdtPr>
          <w:id w:val="971326838"/>
          <w:citation/>
        </w:sdtPr>
        <w:sdtEnd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rsidR="00854C61">
        <w:t xml:space="preserve"> Innovation bedeutet</w:t>
      </w:r>
      <w:r>
        <w:t xml:space="preserve"> jedoch im ersten Schritt immer eine Investition</w:t>
      </w:r>
      <w:r w:rsidR="005240C6">
        <w:t xml:space="preserve"> </w:t>
      </w:r>
      <w:sdt>
        <w:sdtPr>
          <w:id w:val="-983233503"/>
          <w:citation/>
        </w:sdtPr>
        <w:sdtEndPr/>
        <w:sdtContent>
          <w:r w:rsidR="005240C6">
            <w:fldChar w:fldCharType="begin"/>
          </w:r>
          <w:r w:rsidR="005240C6">
            <w:instrText xml:space="preserve">CITATION Gra16 \p "S. 133" \l 1031 </w:instrText>
          </w:r>
          <w:r w:rsidR="005240C6">
            <w:fldChar w:fldCharType="separate"/>
          </w:r>
          <w:r w:rsidR="005240C6">
            <w:rPr>
              <w:noProof/>
            </w:rPr>
            <w:t>(Grawe 2016, S. 133)</w:t>
          </w:r>
          <w:r w:rsidR="005240C6">
            <w:fldChar w:fldCharType="end"/>
          </w:r>
        </w:sdtContent>
      </w:sdt>
      <w:r>
        <w:t xml:space="preserve">, entweder aus dem Unternehmen selbst heraus oder </w:t>
      </w:r>
      <w:r w:rsidR="00854C61">
        <w:t>über</w:t>
      </w:r>
      <w:r>
        <w:t xml:space="preserve"> eine Fremdfinanzierung</w:t>
      </w:r>
      <w:r w:rsidR="007C464A">
        <w:t>, welche eine Priorisierung des Neuen über das Alte bedarf</w:t>
      </w:r>
      <w:r>
        <w:t xml:space="preserve"> </w:t>
      </w:r>
      <w:sdt>
        <w:sdtPr>
          <w:id w:val="-1992014642"/>
          <w:citation/>
        </w:sdtPr>
        <w:sdtEnd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w:t>
      </w:r>
      <w:r w:rsidR="007C464A">
        <w:t xml:space="preserve">daher </w:t>
      </w:r>
      <w:r>
        <w:t xml:space="preserve">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End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rsidR="00854C61">
        <w:t>Die neuen Marktteilnehmer tre</w:t>
      </w:r>
      <w:r>
        <w:t>t</w:t>
      </w:r>
      <w:r w:rsidR="00854C61">
        <w:t>en</w:t>
      </w:r>
      <w:r>
        <w:t xml:space="preserve"> dann neben </w:t>
      </w:r>
      <w:r w:rsidR="00EB636B">
        <w:t xml:space="preserve">die etablierten Unternehmen und </w:t>
      </w:r>
      <w:r w:rsidR="00843F40">
        <w:t>die Nachfrage verlagert</w:t>
      </w:r>
      <w:r w:rsidR="00EB636B">
        <w:t xml:space="preserve"> sich nach und nach</w:t>
      </w:r>
      <w:r w:rsidR="00854C61">
        <w:t xml:space="preserve"> zu deren Vorteil</w:t>
      </w:r>
      <w:r>
        <w:t xml:space="preserve"> </w:t>
      </w:r>
      <w:sdt>
        <w:sdtPr>
          <w:id w:val="1001628043"/>
          <w:citation/>
        </w:sdtPr>
        <w:sdtEnd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End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End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End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End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End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xml:space="preserve">. Möglicherweise müssen sie dafür einen hohen Widerstand überwinden und die Produkte </w:t>
      </w:r>
      <w:r w:rsidR="00854C61">
        <w:t xml:space="preserve">dem Markt </w:t>
      </w:r>
      <w:r w:rsidR="00E513ED">
        <w:t>aufdräng</w:t>
      </w:r>
      <w:r w:rsidR="00854C61">
        <w:t>en bzw. zu geringer</w:t>
      </w:r>
      <w:r w:rsidR="00CF19B9">
        <w:t xml:space="preserve"> oder negativer</w:t>
      </w:r>
      <w:r w:rsidR="00E513ED">
        <w:t xml:space="preserve"> Marge anbieten</w:t>
      </w:r>
      <w:sdt>
        <w:sdtPr>
          <w:id w:val="-958412645"/>
          <w:citation/>
        </w:sdtPr>
        <w:sdtEnd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854C61">
        <w:t>Trotz dieser Maßnahmen</w:t>
      </w:r>
      <w:r w:rsidR="00E513ED">
        <w:t xml:space="preserve"> ist es möglich, dass die Neuerung keine Nachfrage erfährt, doch Innovation </w:t>
      </w:r>
      <w:r w:rsidR="00854C61">
        <w:t>bedingt diese Initiative und dieses</w:t>
      </w:r>
      <w:r w:rsidR="00E513ED">
        <w:t xml:space="preserve"> Risiko </w:t>
      </w:r>
      <w:sdt>
        <w:sdtPr>
          <w:id w:val="465711371"/>
          <w:citation/>
        </w:sdtPr>
        <w:sdtEnd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w:t>
      </w:r>
      <w:r w:rsidR="00854C61">
        <w:t>enn</w:t>
      </w:r>
      <w:r w:rsidR="002533DF">
        <w:t xml:space="preserve"> „defending yesterday – that is, not innovating – is far more risky than making tomorrow“, wie </w:t>
      </w:r>
      <w:r w:rsidR="002533DF" w:rsidRPr="002533DF">
        <w:rPr>
          <w:i/>
        </w:rPr>
        <w:t>Drucker</w:t>
      </w:r>
      <w:r w:rsidR="002533DF">
        <w:t xml:space="preserve"> </w:t>
      </w:r>
      <w:sdt>
        <w:sdtPr>
          <w:id w:val="2123963623"/>
          <w:citation/>
        </w:sdtPr>
        <w:sdtEndPr/>
        <w:sdtContent>
          <w:r w:rsidR="002533DF">
            <w:fldChar w:fldCharType="begin"/>
          </w:r>
          <w:r w:rsidR="008528FB">
            <w:instrText xml:space="preserve">CITATION Dru06 \p ", S. 138" \n  \l 1031 </w:instrText>
          </w:r>
          <w:r w:rsidR="002533DF">
            <w:fldChar w:fldCharType="separate"/>
          </w:r>
          <w:r w:rsidR="008528FB">
            <w:rPr>
              <w:noProof/>
            </w:rPr>
            <w:t>(2009, S. 138)</w:t>
          </w:r>
          <w:r w:rsidR="002533DF">
            <w:fldChar w:fldCharType="end"/>
          </w:r>
        </w:sdtContent>
      </w:sdt>
      <w:r w:rsidR="002533DF">
        <w:t xml:space="preserve"> sagte. </w:t>
      </w:r>
      <w:r w:rsidR="003D5AC0">
        <w:t xml:space="preserve">Unter einem Risiko wird dabei das Produkt von Eintrittswahrscheinlichkeit und </w:t>
      </w:r>
      <w:r w:rsidR="00835F61">
        <w:t xml:space="preserve">meist negative </w:t>
      </w:r>
      <w:r w:rsidR="003D5AC0">
        <w:t xml:space="preserve">Auswirkung eines Ereignisses bezeichnet </w:t>
      </w:r>
      <w:sdt>
        <w:sdtPr>
          <w:id w:val="-502431420"/>
          <w:citation/>
        </w:sdtPr>
        <w:sdtEndPr/>
        <w:sdtContent>
          <w:r w:rsidR="003D5AC0">
            <w:fldChar w:fldCharType="begin"/>
          </w:r>
          <w:r w:rsidR="00EF1320">
            <w:instrText xml:space="preserve">CITATION Cha \p "S. 279 f." \m Gas \p "S. 10" \m Sim101 \p "S. 19" \m Pro041 \p "S. 27" \l 1031 </w:instrText>
          </w:r>
          <w:r w:rsidR="003D5AC0">
            <w:fldChar w:fldCharType="separate"/>
          </w:r>
          <w:r w:rsidR="00EF1320">
            <w:rPr>
              <w:noProof/>
            </w:rPr>
            <w:t>(Chapman und Ward 2011, S. 279 f., Gassmann und Kobe 2006, S. 10, Simon 2010, S. 19, Proske 2004, S. 27)</w:t>
          </w:r>
          <w:r w:rsidR="003D5AC0">
            <w:fldChar w:fldCharType="end"/>
          </w:r>
        </w:sdtContent>
      </w:sdt>
      <w:r w:rsidR="003D5AC0">
        <w:t>.</w:t>
      </w:r>
      <w:r w:rsidR="00835F61">
        <w:t xml:space="preserve"> </w:t>
      </w:r>
      <w:r w:rsidR="00835F61" w:rsidRPr="00835F61">
        <w:rPr>
          <w:i/>
        </w:rPr>
        <w:t>Festtag</w:t>
      </w:r>
      <w:r w:rsidR="008528FB">
        <w:t xml:space="preserve"> </w:t>
      </w:r>
      <w:sdt>
        <w:sdtPr>
          <w:id w:val="-1883784155"/>
          <w:citation/>
        </w:sdtPr>
        <w:sdtEndPr/>
        <w:sdtContent>
          <w:r w:rsidR="008528FB">
            <w:fldChar w:fldCharType="begin"/>
          </w:r>
          <w:r w:rsidR="008528FB">
            <w:instrText xml:space="preserve">CITATION Fes14 \p ", S. 5" \n  \l 1031 </w:instrText>
          </w:r>
          <w:r w:rsidR="008528FB">
            <w:fldChar w:fldCharType="separate"/>
          </w:r>
          <w:r w:rsidR="008528FB">
            <w:rPr>
              <w:noProof/>
            </w:rPr>
            <w:t>(2014, S. 5)</w:t>
          </w:r>
          <w:r w:rsidR="008528FB">
            <w:fldChar w:fldCharType="end"/>
          </w:r>
        </w:sdtContent>
      </w:sdt>
      <w:r w:rsidR="00835F61">
        <w:t xml:space="preserve"> unterscheidet die folgenden Möglichkeiten zum Umgang mit Risiken: Vermeidung, Reduktion, Optimierung, Transfer, Akzeptanz.</w:t>
      </w:r>
    </w:p>
    <w:p w14:paraId="78ED8F52" w14:textId="5FFE754E" w:rsidR="00DC6487" w:rsidRPr="00EB636B" w:rsidRDefault="002533DF" w:rsidP="00BC71A2">
      <w:r>
        <w:t>Langfristig</w:t>
      </w:r>
      <w:r w:rsidR="000A4B7F">
        <w:t xml:space="preserve"> setzen sich nur die Unternehmen durch, welche alle Phasen des Innovationsprozesses beherrschen und die Schlüsselfähigkeit besitzen, in kürzerer Zeit mehr erfolgreiche Produkte auf den Markt </w:t>
      </w:r>
      <w:r w:rsidR="00854C61">
        <w:t xml:space="preserve">zu </w:t>
      </w:r>
      <w:r w:rsidR="000A4B7F">
        <w:t>bringen</w:t>
      </w:r>
      <w:sdt>
        <w:sdtPr>
          <w:id w:val="-2007735422"/>
          <w:citation/>
        </w:sdtPr>
        <w:sdtEnd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w:t>
      </w:r>
      <w:r w:rsidR="00854C61">
        <w:t xml:space="preserve">zur </w:t>
      </w:r>
      <w:r w:rsidR="00F65B61">
        <w:t>Erhöhung der Ent</w:t>
      </w:r>
      <w:r w:rsidR="00F65B61">
        <w:lastRenderedPageBreak/>
        <w:t>wicklungsaufwände</w:t>
      </w:r>
      <w:sdt>
        <w:sdtPr>
          <w:id w:val="-2092697073"/>
          <w:citation/>
        </w:sdtPr>
        <w:sdtEnd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End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Somit wird die Zeit zwischen Produktidee und Markteintritt, die Time to Market, zum kritischen Wettbewerbsfaktor</w:t>
      </w:r>
      <w:sdt>
        <w:sdtPr>
          <w:id w:val="650873656"/>
          <w:citation/>
        </w:sdtPr>
        <w:sdtEnd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16">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21" w:name="_Ref445566438"/>
      <w:bookmarkStart w:id="22" w:name="_Ref444943110"/>
      <w:bookmarkStart w:id="23" w:name="_Toc456884989"/>
      <w:r w:rsidRPr="00CD6296">
        <w:t xml:space="preserve">Abbildung </w:t>
      </w:r>
      <w:r w:rsidR="005F5E76">
        <w:fldChar w:fldCharType="begin"/>
      </w:r>
      <w:r w:rsidR="005F5E76">
        <w:instrText xml:space="preserve"> STYLEREF 1 \s </w:instrText>
      </w:r>
      <w:r w:rsidR="005F5E76">
        <w:fldChar w:fldCharType="separate"/>
      </w:r>
      <w:r w:rsidR="00CD6296" w:rsidRPr="00CD6296">
        <w:t>2</w:t>
      </w:r>
      <w:r w:rsidR="005F5E76">
        <w:fldChar w:fldCharType="end"/>
      </w:r>
      <w:r w:rsidR="00CD6296" w:rsidRPr="00CD6296">
        <w:t>.</w:t>
      </w:r>
      <w:r w:rsidR="005F5E76">
        <w:fldChar w:fldCharType="begin"/>
      </w:r>
      <w:r w:rsidR="005F5E76">
        <w:instrText xml:space="preserve"> SEQ Abbildung \* ARABIC \s 1 </w:instrText>
      </w:r>
      <w:r w:rsidR="005F5E76">
        <w:fldChar w:fldCharType="separate"/>
      </w:r>
      <w:r w:rsidR="00CD6296" w:rsidRPr="00CD6296">
        <w:t>1</w:t>
      </w:r>
      <w:r w:rsidR="005F5E76">
        <w:fldChar w:fldCharType="end"/>
      </w:r>
      <w:bookmarkEnd w:id="21"/>
      <w:r w:rsidRPr="00CD6296">
        <w:t>: Zusammenhang Time to Market</w:t>
      </w:r>
      <w:bookmarkEnd w:id="22"/>
      <w:bookmarkEnd w:id="23"/>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End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3975FE83" w:rsidR="00477D91" w:rsidRDefault="00477D91" w:rsidP="00477D91">
      <w:r>
        <w:t>Der Faktor Time to Market wird außerdem durch das sogenannte Window of Opportunity entscheidend beeinflusst</w:t>
      </w:r>
      <w:r w:rsidR="00C5437B">
        <w:t xml:space="preserve"> </w:t>
      </w:r>
      <w:sdt>
        <w:sdtPr>
          <w:id w:val="-2047207351"/>
          <w:citation/>
        </w:sdtPr>
        <w:sdtEnd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End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End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End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3F49365D" w:rsidR="00BF58E9" w:rsidRDefault="00BF58E9" w:rsidP="007F25D4">
      <w:pPr>
        <w:pStyle w:val="Listenabsatz"/>
        <w:numPr>
          <w:ilvl w:val="0"/>
          <w:numId w:val="9"/>
        </w:numPr>
      </w:pPr>
      <w:r>
        <w:t xml:space="preserve">Schaffung </w:t>
      </w:r>
      <w:r w:rsidR="00854C61">
        <w:t xml:space="preserve">eines </w:t>
      </w:r>
      <w:r>
        <w:t>Innovationsumfeld</w:t>
      </w:r>
      <w:r w:rsidR="00854C61">
        <w:t>s</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End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76B75976" w:rsidR="000504A6" w:rsidRDefault="000504A6" w:rsidP="007F25D4">
      <w:pPr>
        <w:pStyle w:val="Listenabsatz"/>
        <w:numPr>
          <w:ilvl w:val="0"/>
          <w:numId w:val="17"/>
        </w:numPr>
      </w:pPr>
      <w:r>
        <w:t>Prozessveränderungsbedarf</w:t>
      </w:r>
      <w:r w:rsidR="00854C61">
        <w:t>e</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lastRenderedPageBreak/>
        <w:t>Die Steuerung des Innovation-Managements erfolgt im Unternehmen durch das Produkt-Management</w:t>
      </w:r>
      <w:sdt>
        <w:sdtPr>
          <w:id w:val="1910566641"/>
          <w:citation/>
        </w:sdtPr>
        <w:sdtEnd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24" w:name="_Ref445650448"/>
      <w:bookmarkStart w:id="25" w:name="_Ref445650466"/>
      <w:bookmarkStart w:id="26" w:name="_Ref445650514"/>
      <w:bookmarkStart w:id="27" w:name="_Ref445650529"/>
      <w:bookmarkStart w:id="28" w:name="_Toc456884962"/>
      <w:r>
        <w:t>Innovationssteuerung</w:t>
      </w:r>
      <w:r w:rsidR="00180BBA">
        <w:t xml:space="preserve"> durch Produkt-</w:t>
      </w:r>
      <w:r w:rsidR="00DB13B7">
        <w:t>Management</w:t>
      </w:r>
      <w:bookmarkEnd w:id="24"/>
      <w:bookmarkEnd w:id="25"/>
      <w:bookmarkEnd w:id="26"/>
      <w:bookmarkEnd w:id="27"/>
      <w:bookmarkEnd w:id="28"/>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End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End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r w:rsidR="00D7054B" w:rsidRPr="00C02769">
        <w:rPr>
          <w:i/>
        </w:rPr>
        <w:t>Lennertz</w:t>
      </w:r>
      <w:r w:rsidR="00D7054B" w:rsidRPr="00C02769">
        <w:t xml:space="preserve"> </w:t>
      </w:r>
      <w:sdt>
        <w:sdtPr>
          <w:id w:val="-1579739274"/>
          <w:citation/>
        </w:sdtPr>
        <w:sdtEnd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End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1594510E" w:rsidR="00AA0D7C" w:rsidRDefault="00D7054B" w:rsidP="00BC71A2">
      <w:r>
        <w:t>Die gezielte Verwaltung von Produkten erfolgt durch das Produkt-Management</w:t>
      </w:r>
      <w:sdt>
        <w:sdtPr>
          <w:id w:val="-2025623683"/>
          <w:citation/>
        </w:sdtPr>
        <w:sdtEndPr/>
        <w:sdtContent>
          <w:r w:rsidR="00854C61">
            <w:fldChar w:fldCharType="begin"/>
          </w:r>
          <w:r w:rsidR="00854C61">
            <w:instrText xml:space="preserve">CITATION Pic14 \p "S. 2" \l 1031 </w:instrText>
          </w:r>
          <w:r w:rsidR="00854C61">
            <w:fldChar w:fldCharType="separate"/>
          </w:r>
          <w:r w:rsidR="00854C61">
            <w:rPr>
              <w:noProof/>
            </w:rPr>
            <w:t xml:space="preserve"> (Pichler 2014, S. 2)</w:t>
          </w:r>
          <w:r w:rsidR="00854C61">
            <w:fldChar w:fldCharType="end"/>
          </w:r>
        </w:sdtContent>
      </w:sdt>
      <w:r>
        <w:t xml:space="preserve">. </w:t>
      </w:r>
      <w:r w:rsidR="004A2561">
        <w:t>Es existiert keine einheitliche Definition, aber im Allgemeinen ist es verantwortlich für die Planung, Entwicklung sowie Pflege von Produkten</w:t>
      </w:r>
      <w:sdt>
        <w:sdtPr>
          <w:id w:val="-1151213817"/>
          <w:citation/>
        </w:sdtPr>
        <w:sdtEnd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End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End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End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–controlling</w:t>
      </w:r>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6A42EB58" w:rsidR="000C13E1" w:rsidRDefault="0021704F" w:rsidP="0021704F">
      <w:r>
        <w:t xml:space="preserve">Ein Produkt Manager agiert demnach als Unternehmer im Unternehmen </w:t>
      </w:r>
      <w:sdt>
        <w:sdtPr>
          <w:id w:val="-1440987251"/>
          <w:citation/>
        </w:sdtPr>
        <w:sdtEnd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End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End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w:t>
      </w:r>
      <w:r>
        <w:lastRenderedPageBreak/>
        <w:t xml:space="preserve">Belange im </w:t>
      </w:r>
      <w:r w:rsidR="00854C61">
        <w:t>Zusammenhang mit dem Produkt und</w:t>
      </w:r>
      <w:r>
        <w:t xml:space="preserve"> ist </w:t>
      </w:r>
      <w:r w:rsidR="00BF6329">
        <w:t>daher</w:t>
      </w:r>
      <w:r>
        <w:t xml:space="preserve"> auch verantwortlich für </w:t>
      </w:r>
      <w:r w:rsidR="00B60F36">
        <w:t>dessen</w:t>
      </w:r>
      <w:r>
        <w:t xml:space="preserve"> Erfolg</w:t>
      </w:r>
      <w:sdt>
        <w:sdtPr>
          <w:id w:val="1976254535"/>
          <w:citation/>
        </w:sdtPr>
        <w:sdtEnd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Bedeutung ist dafür eine durch ihn gesteuerte Produktplanung, da sonst Innovationsblockaden unvermeidlich sind</w:t>
      </w:r>
      <w:sdt>
        <w:sdtPr>
          <w:id w:val="971638098"/>
          <w:citation/>
        </w:sdtPr>
        <w:sdtEnd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End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r w:rsidR="006E40DD">
        <w:rPr>
          <w:i/>
        </w:rPr>
        <w:t xml:space="preserve">Aumayr </w:t>
      </w:r>
      <w:sdt>
        <w:sdtPr>
          <w:rPr>
            <w:i/>
          </w:rPr>
          <w:id w:val="1356697610"/>
          <w:citation/>
        </w:sdtPr>
        <w:sdtEnd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nennt außerdem noch die Überalterung der Produktstruktur und die Änderung der Unternehmensstrategie sowie die strategische Lückenplanung</w:t>
      </w:r>
      <w:r w:rsidR="00854C61">
        <w:t xml:space="preserve"> als Auslöser</w:t>
      </w:r>
      <w:r w:rsidR="006E40DD">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End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29" w:name="_Ref445276009"/>
      <w:bookmarkStart w:id="30" w:name="_Toc456884963"/>
      <w:r>
        <w:t>Der Produktlebenszyklus</w:t>
      </w:r>
      <w:bookmarkEnd w:id="29"/>
      <w:bookmarkEnd w:id="30"/>
    </w:p>
    <w:p w14:paraId="187593B9" w14:textId="444CFE7C" w:rsidR="004704FC" w:rsidRDefault="00E52BF8" w:rsidP="00E8229F">
      <w:r>
        <w:t>Der Produktlebenszyklus beschreibt alle Phasen in der Entwicklung und Vermarktung eines Produkts von der Definition bis zur Absetzung</w:t>
      </w:r>
      <w:sdt>
        <w:sdtPr>
          <w:id w:val="510957537"/>
          <w:citation/>
        </w:sdtPr>
        <w:sdtEnd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End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End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End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 xml:space="preserve">omputertechnik dagegen nur </w:t>
      </w:r>
      <w:r w:rsidR="00484533">
        <w:t xml:space="preserve">von </w:t>
      </w:r>
      <w:r w:rsidR="0077087E">
        <w:t>ca. ein bis zwei</w:t>
      </w:r>
      <w:r w:rsidR="002A7BD1">
        <w:t xml:space="preserve"> Jahre</w:t>
      </w:r>
      <w:r w:rsidR="00BF202D">
        <w:t>n typisch</w:t>
      </w:r>
      <w:sdt>
        <w:sdtPr>
          <w:id w:val="760795137"/>
          <w:citation/>
        </w:sdtPr>
        <w:sdtEnd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r w:rsidR="0086345E" w:rsidRPr="0086345E">
        <w:rPr>
          <w:i/>
        </w:rPr>
        <w:t>Kairies</w:t>
      </w:r>
      <w:r w:rsidR="0086345E">
        <w:t xml:space="preserve"> </w:t>
      </w:r>
      <w:sdt>
        <w:sdtPr>
          <w:id w:val="1701116273"/>
          <w:citation/>
        </w:sdtPr>
        <w:sdtEnd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End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w:t>
      </w:r>
      <w:r w:rsidR="004704FC">
        <w:lastRenderedPageBreak/>
        <w:t xml:space="preserve">generiert </w:t>
      </w:r>
      <w:sdt>
        <w:sdtPr>
          <w:id w:val="-1969816526"/>
          <w:citation/>
        </w:sdtPr>
        <w:sdtEnd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r w:rsidR="004704FC" w:rsidRPr="004704FC">
        <w:rPr>
          <w:i/>
        </w:rPr>
        <w:t>Kairies</w:t>
      </w:r>
      <w:r w:rsidR="004704FC">
        <w:t xml:space="preserve"> </w:t>
      </w:r>
      <w:sdt>
        <w:sdtPr>
          <w:id w:val="1685481939"/>
          <w:citation/>
        </w:sdtPr>
        <w:sdtEnd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Kurvenverlauf eines erfolgreichen Produkts mit langer Lebenszeit, welches einen schnellen Markteintritt gefolgt von starken Umsatzwachstum </w:t>
      </w:r>
      <w:r w:rsidR="00611592">
        <w:t>aufzeigt</w:t>
      </w:r>
      <w:sdt>
        <w:sdtPr>
          <w:id w:val="-2042581612"/>
          <w:citation/>
        </w:sdtPr>
        <w:sdtEndPr/>
        <w:sdtContent>
          <w:r w:rsidR="00484533">
            <w:fldChar w:fldCharType="begin"/>
          </w:r>
          <w:r w:rsidR="00484533">
            <w:instrText xml:space="preserve">CITATION Kai04 \p "S. 61" \l 1031 </w:instrText>
          </w:r>
          <w:r w:rsidR="00484533">
            <w:fldChar w:fldCharType="separate"/>
          </w:r>
          <w:r w:rsidR="00484533">
            <w:rPr>
              <w:noProof/>
            </w:rPr>
            <w:t xml:space="preserve"> (Kairies 2004, S. 61)</w:t>
          </w:r>
          <w:r w:rsidR="00484533">
            <w:fldChar w:fldCharType="end"/>
          </w:r>
        </w:sdtContent>
      </w:sdt>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17">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31" w:name="_Ref446672107"/>
      <w:bookmarkStart w:id="32" w:name="_Toc456884990"/>
      <w:r w:rsidRPr="00CD6296">
        <w:t xml:space="preserve">Abbildung </w:t>
      </w:r>
      <w:r w:rsidR="005F5E76">
        <w:fldChar w:fldCharType="begin"/>
      </w:r>
      <w:r w:rsidR="005F5E76">
        <w:instrText xml:space="preserve"> STYLEREF 1 \s </w:instrText>
      </w:r>
      <w:r w:rsidR="005F5E76">
        <w:fldChar w:fldCharType="separate"/>
      </w:r>
      <w:r w:rsidR="00CD6296" w:rsidRPr="00CD6296">
        <w:t>2</w:t>
      </w:r>
      <w:r w:rsidR="005F5E76">
        <w:fldChar w:fldCharType="end"/>
      </w:r>
      <w:r w:rsidR="00CD6296" w:rsidRPr="00CD6296">
        <w:t>.</w:t>
      </w:r>
      <w:r w:rsidR="005F5E76">
        <w:fldChar w:fldCharType="begin"/>
      </w:r>
      <w:r w:rsidR="005F5E76">
        <w:instrText xml:space="preserve"> SEQ Abbildung \* ARABIC \s 1 </w:instrText>
      </w:r>
      <w:r w:rsidR="005F5E76">
        <w:fldChar w:fldCharType="separate"/>
      </w:r>
      <w:r w:rsidR="00CD6296" w:rsidRPr="00CD6296">
        <w:t>2</w:t>
      </w:r>
      <w:r w:rsidR="005F5E76">
        <w:fldChar w:fldCharType="end"/>
      </w:r>
      <w:bookmarkEnd w:id="31"/>
      <w:r w:rsidRPr="00CD6296">
        <w:t>: Charakteristische Produktlebenszyklen</w:t>
      </w:r>
      <w:bookmarkEnd w:id="32"/>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End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4BED44DA" w:rsidR="00E52BF8" w:rsidRDefault="004026B8" w:rsidP="00E8229F">
      <w:r>
        <w:rPr>
          <w:i/>
        </w:rPr>
        <w:t xml:space="preserve">Aumayr </w:t>
      </w:r>
      <w:sdt>
        <w:sdtPr>
          <w:rPr>
            <w:i/>
          </w:rPr>
          <w:id w:val="-1750731711"/>
          <w:citation/>
        </w:sdtPr>
        <w:sdtEnd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Question Marks zu Stars über Cash Cows bis hin zu Dogs, wohingegen ein Flop direkt vom Fragezeichen zum Armen Hund übergeht</w:t>
      </w:r>
      <w:sdt>
        <w:sdtPr>
          <w:id w:val="-441608895"/>
          <w:citation/>
        </w:sdtPr>
        <w:sdtEnd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w:t>
      </w:r>
      <w:r w:rsidR="00484533">
        <w:t xml:space="preserve">Die vorgestellten Verlaufsdarstellungen in </w:t>
      </w:r>
      <w:r w:rsidR="00484533">
        <w:fldChar w:fldCharType="begin"/>
      </w:r>
      <w:r w:rsidR="00484533">
        <w:instrText xml:space="preserve"> REF _Ref446672107 \h </w:instrText>
      </w:r>
      <w:r w:rsidR="00484533">
        <w:fldChar w:fldCharType="separate"/>
      </w:r>
      <w:r w:rsidR="00484533" w:rsidRPr="00CD6296">
        <w:t>Abbildung 2.2</w:t>
      </w:r>
      <w:r w:rsidR="00484533">
        <w:fldChar w:fldCharType="end"/>
      </w:r>
      <w:r w:rsidR="00484533">
        <w:t xml:space="preserve"> </w:t>
      </w:r>
      <w:r>
        <w:t xml:space="preserve">zeigen, dass ein Produktleben sich in unterschiedliche </w:t>
      </w:r>
      <w:r w:rsidR="00734719">
        <w:t xml:space="preserve">charakteristische </w:t>
      </w:r>
      <w:r>
        <w:t xml:space="preserve">Phasen </w:t>
      </w:r>
      <w:r w:rsidR="00734719">
        <w:t xml:space="preserve">je nach Umsatzveränderung </w:t>
      </w:r>
      <w:r>
        <w:t xml:space="preserve">unterteilen lässt. </w:t>
      </w:r>
      <w:r w:rsidR="00E52BF8" w:rsidRPr="00E52BF8">
        <w:rPr>
          <w:i/>
        </w:rPr>
        <w:t>Kairies</w:t>
      </w:r>
      <w:r w:rsidR="00E52BF8">
        <w:rPr>
          <w:i/>
        </w:rPr>
        <w:t xml:space="preserve"> </w:t>
      </w:r>
      <w:sdt>
        <w:sdtPr>
          <w:rPr>
            <w:i/>
          </w:rPr>
          <w:id w:val="-1622831870"/>
          <w:citation/>
        </w:sdtPr>
        <w:sdtEnd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(Outphasing)</w:t>
      </w:r>
    </w:p>
    <w:p w14:paraId="3F1117DB" w14:textId="45606624" w:rsidR="00DC6487" w:rsidRDefault="004704FC" w:rsidP="00DC6487">
      <w:r>
        <w:lastRenderedPageBreak/>
        <w:t xml:space="preserve">In der Literatur werden aber auch andere Phasen und Bezeichnungen beschrieben. Diese werden nun kurz dargestellt und anschließend als Basis für die weitere Ausarbeitung zu einem </w:t>
      </w:r>
      <w:r w:rsidR="00484533">
        <w:t xml:space="preserve">Produktlebenszyklus </w:t>
      </w:r>
      <w:r>
        <w:t>zusammengefasst. Die</w:t>
      </w:r>
      <w:r w:rsidR="000C13E1">
        <w:t xml:space="preserve"> Einteilung der Phasen </w:t>
      </w:r>
      <w:r>
        <w:t xml:space="preserve">sieht bei </w:t>
      </w:r>
      <w:r w:rsidR="000C13E1" w:rsidRPr="000C13E1">
        <w:rPr>
          <w:i/>
        </w:rPr>
        <w:t>Lennertz</w:t>
      </w:r>
      <w:r w:rsidR="000C13E1">
        <w:t xml:space="preserve"> </w:t>
      </w:r>
      <w:sdt>
        <w:sdtPr>
          <w:id w:val="-957476983"/>
          <w:citation/>
        </w:sdtPr>
        <w:sdtEnd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r>
        <w:t>Downcycling</w:t>
      </w:r>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r w:rsidRPr="00B60F36">
        <w:rPr>
          <w:i/>
        </w:rPr>
        <w:t>Aumayr</w:t>
      </w:r>
      <w:r>
        <w:t xml:space="preserve"> </w:t>
      </w:r>
      <w:sdt>
        <w:sdtPr>
          <w:id w:val="-1105736117"/>
          <w:citation/>
        </w:sdtPr>
        <w:sdtEnd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687737D5" w:rsidR="007322FE" w:rsidRDefault="007322FE" w:rsidP="007322FE">
      <w:r>
        <w:t xml:space="preserve">Beim Vergleich der einzelnen </w:t>
      </w:r>
      <w:r w:rsidR="00734719">
        <w:t xml:space="preserve">Bezeichnungen und </w:t>
      </w:r>
      <w:r>
        <w:t>Beschreibungen sind viele Ähnlichkeiten auffallend.</w:t>
      </w:r>
      <w:r w:rsidR="00470E86">
        <w:t xml:space="preserve"> So finden sich zwei Phasen, nämlich Wachstum und Reife, wortwörtlich in allen drei Einteilungen. Auch die Einführungsphase wird in allen drei Modellen genannt, jedoch bei </w:t>
      </w:r>
      <w:r w:rsidR="00470E86" w:rsidRPr="005941BA">
        <w:rPr>
          <w:i/>
        </w:rPr>
        <w:t>Lennertz</w:t>
      </w:r>
      <w:sdt>
        <w:sdtPr>
          <w:rPr>
            <w:i/>
          </w:rPr>
          <w:id w:val="2096826472"/>
          <w:citation/>
        </w:sdtPr>
        <w:sdtEnd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r w:rsidR="00470E86" w:rsidRPr="005941BA">
        <w:rPr>
          <w:i/>
        </w:rPr>
        <w:t>Aumayr</w:t>
      </w:r>
      <w:sdt>
        <w:sdtPr>
          <w:rPr>
            <w:i/>
          </w:rPr>
          <w:id w:val="1784305227"/>
          <w:citation/>
        </w:sdtPr>
        <w:sdtEnd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r w:rsidR="004135A6" w:rsidRPr="004135A6">
        <w:rPr>
          <w:i/>
        </w:rPr>
        <w:t>Kairies</w:t>
      </w:r>
      <w:r w:rsidR="004135A6">
        <w:t xml:space="preserve"> </w:t>
      </w:r>
      <w:sdt>
        <w:sdtPr>
          <w:id w:val="-769236382"/>
          <w:citation/>
        </w:sdtPr>
        <w:sdtEnd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484533">
        <w:t>2.1</w:t>
      </w:r>
      <w:r w:rsidR="00484533">
        <w:fldChar w:fldCharType="end"/>
      </w:r>
      <w:r w:rsidR="00484533">
        <w:t>)</w:t>
      </w:r>
      <w:r w:rsidR="005941BA">
        <w:t xml:space="preserve">, wird der Begriff Entwicklung für die erste Phase übernommen. Der generellen Reifephase schließt sich in zwei </w:t>
      </w:r>
      <w:r w:rsidR="005941BA">
        <w:lastRenderedPageBreak/>
        <w:t xml:space="preserve">Modellen eine Sättigungsphase an, bei </w:t>
      </w:r>
      <w:r w:rsidR="005941BA" w:rsidRPr="005941BA">
        <w:rPr>
          <w:i/>
        </w:rPr>
        <w:t>Lennertz</w:t>
      </w:r>
      <w:sdt>
        <w:sdtPr>
          <w:rPr>
            <w:i/>
          </w:rPr>
          <w:id w:val="-751882852"/>
          <w:citation/>
        </w:sdtPr>
        <w:sdtEnd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Rückgangsphase schließt sich bei </w:t>
      </w:r>
      <w:r w:rsidR="005941BA" w:rsidRPr="00092EBB">
        <w:rPr>
          <w:i/>
        </w:rPr>
        <w:t>Kairies</w:t>
      </w:r>
      <w:sdt>
        <w:sdtPr>
          <w:rPr>
            <w:i/>
          </w:rPr>
          <w:id w:val="1295725790"/>
          <w:citation/>
        </w:sdtPr>
        <w:sdtEnd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r w:rsidR="005941BA" w:rsidRPr="00092EBB">
        <w:rPr>
          <w:i/>
        </w:rPr>
        <w:t>Aumayr</w:t>
      </w:r>
      <w:r w:rsidR="005941BA">
        <w:t xml:space="preserve"> </w:t>
      </w:r>
      <w:sdt>
        <w:sdtPr>
          <w:id w:val="1092742927"/>
          <w:citation/>
        </w:sdtPr>
        <w:sdtEnd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End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w:t>
      </w:r>
      <w:r w:rsidR="00484533">
        <w:t xml:space="preserve"> der Beschreibung von</w:t>
      </w:r>
      <w:r w:rsidR="00C47FFA">
        <w:t xml:space="preserve"> </w:t>
      </w:r>
      <w:r w:rsidR="00C47FFA" w:rsidRPr="00C47FFA">
        <w:rPr>
          <w:i/>
        </w:rPr>
        <w:t>Kairies</w:t>
      </w:r>
      <w:sdt>
        <w:sdtPr>
          <w:rPr>
            <w:i/>
          </w:rPr>
          <w:id w:val="811834918"/>
          <w:citation/>
        </w:sdtPr>
        <w:sdtEnd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r w:rsidR="00C47FFA" w:rsidRPr="00C47FFA">
        <w:rPr>
          <w:i/>
        </w:rPr>
        <w:t>Lennertz</w:t>
      </w:r>
      <w:sdt>
        <w:sdtPr>
          <w:rPr>
            <w:i/>
          </w:rPr>
          <w:id w:val="-324440988"/>
          <w:citation/>
        </w:sdtPr>
        <w:sdtEnd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EA4433">
        <w:tc>
          <w:tcPr>
            <w:tcW w:w="2426" w:type="dxa"/>
            <w:shd w:val="clear" w:color="auto" w:fill="595959" w:themeFill="text1" w:themeFillTint="A6"/>
          </w:tcPr>
          <w:p w14:paraId="76495D6E" w14:textId="3DF6E0B0" w:rsidR="000F467E" w:rsidRPr="00EA4433" w:rsidRDefault="000F467E" w:rsidP="007322FE">
            <w:pPr>
              <w:rPr>
                <w:i/>
                <w:color w:val="FFFFFF" w:themeColor="background1"/>
              </w:rPr>
            </w:pPr>
            <w:r w:rsidRPr="00EA4433">
              <w:rPr>
                <w:i/>
                <w:color w:val="FFFFFF" w:themeColor="background1"/>
              </w:rPr>
              <w:t>Kairies</w:t>
            </w:r>
          </w:p>
        </w:tc>
        <w:tc>
          <w:tcPr>
            <w:tcW w:w="2066" w:type="dxa"/>
            <w:shd w:val="clear" w:color="auto" w:fill="595959" w:themeFill="text1" w:themeFillTint="A6"/>
          </w:tcPr>
          <w:p w14:paraId="77924C94" w14:textId="1CAB7502" w:rsidR="000F467E" w:rsidRPr="00EA4433" w:rsidRDefault="000F467E" w:rsidP="007322FE">
            <w:pPr>
              <w:rPr>
                <w:i/>
                <w:color w:val="FFFFFF" w:themeColor="background1"/>
              </w:rPr>
            </w:pPr>
            <w:r w:rsidRPr="00EA4433">
              <w:rPr>
                <w:i/>
                <w:color w:val="FFFFFF" w:themeColor="background1"/>
              </w:rPr>
              <w:t>Lennertz</w:t>
            </w:r>
          </w:p>
        </w:tc>
        <w:tc>
          <w:tcPr>
            <w:tcW w:w="1676" w:type="dxa"/>
            <w:shd w:val="clear" w:color="auto" w:fill="595959" w:themeFill="text1" w:themeFillTint="A6"/>
          </w:tcPr>
          <w:p w14:paraId="4290C147" w14:textId="78B47FB3" w:rsidR="000F467E" w:rsidRPr="00EA4433" w:rsidRDefault="000F467E" w:rsidP="007322FE">
            <w:pPr>
              <w:rPr>
                <w:i/>
                <w:color w:val="FFFFFF" w:themeColor="background1"/>
              </w:rPr>
            </w:pPr>
            <w:r w:rsidRPr="00EA4433">
              <w:rPr>
                <w:i/>
                <w:color w:val="FFFFFF" w:themeColor="background1"/>
              </w:rPr>
              <w:t>Aumayr</w:t>
            </w:r>
          </w:p>
        </w:tc>
        <w:tc>
          <w:tcPr>
            <w:tcW w:w="2268" w:type="dxa"/>
            <w:shd w:val="clear" w:color="auto" w:fill="D9D9D9" w:themeFill="background1" w:themeFillShade="D9"/>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EA4433">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FFC000"/>
            <w:vAlign w:val="center"/>
          </w:tcPr>
          <w:p w14:paraId="2E29135F" w14:textId="454F9215" w:rsidR="000F467E" w:rsidRPr="00EA4433" w:rsidRDefault="005941BA" w:rsidP="000F467E">
            <w:pPr>
              <w:jc w:val="left"/>
              <w:rPr>
                <w:color w:val="000000" w:themeColor="text1"/>
              </w:rPr>
            </w:pPr>
            <w:r w:rsidRPr="00EA4433">
              <w:rPr>
                <w:color w:val="000000" w:themeColor="text1"/>
              </w:rPr>
              <w:t>Entwicklung</w:t>
            </w:r>
          </w:p>
        </w:tc>
      </w:tr>
      <w:tr w:rsidR="000F467E" w14:paraId="22064C45" w14:textId="78D8F6C1" w:rsidTr="00EA4433">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FFC000"/>
          </w:tcPr>
          <w:p w14:paraId="367F42C0" w14:textId="4B5A10FA" w:rsidR="000F467E" w:rsidRPr="00EA4433" w:rsidRDefault="004135A6" w:rsidP="007322FE">
            <w:pPr>
              <w:rPr>
                <w:color w:val="000000" w:themeColor="text1"/>
              </w:rPr>
            </w:pPr>
            <w:r w:rsidRPr="00EA4433">
              <w:rPr>
                <w:color w:val="000000" w:themeColor="text1"/>
              </w:rPr>
              <w:t>Einführung</w:t>
            </w:r>
          </w:p>
        </w:tc>
      </w:tr>
      <w:tr w:rsidR="000F467E" w14:paraId="5ABB5557" w14:textId="4B30844F" w:rsidTr="00EA4433">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FFC000"/>
          </w:tcPr>
          <w:p w14:paraId="1F50AC42" w14:textId="42E5439A" w:rsidR="000F467E" w:rsidRPr="00EA4433" w:rsidRDefault="000F467E" w:rsidP="007322FE">
            <w:pPr>
              <w:rPr>
                <w:color w:val="000000" w:themeColor="text1"/>
              </w:rPr>
            </w:pPr>
            <w:r w:rsidRPr="00EA4433">
              <w:rPr>
                <w:color w:val="000000" w:themeColor="text1"/>
              </w:rPr>
              <w:t>Wachstum</w:t>
            </w:r>
          </w:p>
        </w:tc>
      </w:tr>
      <w:tr w:rsidR="002B0861" w14:paraId="198E51D6" w14:textId="74ED267B" w:rsidTr="00EA4433">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FFC000"/>
            <w:vAlign w:val="center"/>
          </w:tcPr>
          <w:p w14:paraId="48EA39F7" w14:textId="51DD9E31" w:rsidR="002B0861" w:rsidRPr="00EA4433" w:rsidRDefault="00921A03" w:rsidP="002B0861">
            <w:pPr>
              <w:jc w:val="left"/>
              <w:rPr>
                <w:color w:val="000000" w:themeColor="text1"/>
              </w:rPr>
            </w:pPr>
            <w:r w:rsidRPr="00EA4433">
              <w:rPr>
                <w:color w:val="000000" w:themeColor="text1"/>
              </w:rPr>
              <w:t>Reife</w:t>
            </w:r>
          </w:p>
        </w:tc>
      </w:tr>
      <w:tr w:rsidR="002B0861" w14:paraId="3020C7B2" w14:textId="5CBE872E" w:rsidTr="00EA4433">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FFC000"/>
          </w:tcPr>
          <w:p w14:paraId="1454D05F" w14:textId="7AA8B002" w:rsidR="002B0861" w:rsidRPr="00EA4433" w:rsidRDefault="002B0861" w:rsidP="007322FE">
            <w:pPr>
              <w:rPr>
                <w:color w:val="000000" w:themeColor="text1"/>
              </w:rPr>
            </w:pPr>
          </w:p>
        </w:tc>
      </w:tr>
      <w:tr w:rsidR="000F467E" w14:paraId="5273680E" w14:textId="14CA8C21" w:rsidTr="00EA4433">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FFC000"/>
            <w:vAlign w:val="center"/>
          </w:tcPr>
          <w:p w14:paraId="396E89A2" w14:textId="334CC1BF" w:rsidR="000F467E" w:rsidRPr="00EA4433" w:rsidRDefault="000F467E" w:rsidP="000F467E">
            <w:pPr>
              <w:jc w:val="left"/>
              <w:rPr>
                <w:color w:val="000000" w:themeColor="text1"/>
              </w:rPr>
            </w:pPr>
            <w:r w:rsidRPr="00EA4433">
              <w:rPr>
                <w:color w:val="000000" w:themeColor="text1"/>
              </w:rPr>
              <w:t>Entsorgung</w:t>
            </w:r>
          </w:p>
        </w:tc>
      </w:tr>
      <w:tr w:rsidR="000F467E" w14:paraId="0C8EF0DC" w14:textId="60A2D5CE" w:rsidTr="00EA4433">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FFC000"/>
          </w:tcPr>
          <w:p w14:paraId="61F12463" w14:textId="77777777" w:rsidR="000F467E" w:rsidRDefault="000F467E" w:rsidP="00075C67">
            <w:pPr>
              <w:keepNext/>
            </w:pPr>
          </w:p>
        </w:tc>
      </w:tr>
    </w:tbl>
    <w:p w14:paraId="1AE6CDEA" w14:textId="7AA1A006" w:rsidR="005D27BB" w:rsidRPr="00CD6296" w:rsidRDefault="00075C67" w:rsidP="00CD6296">
      <w:pPr>
        <w:pStyle w:val="Beschriftung"/>
      </w:pPr>
      <w:bookmarkStart w:id="33" w:name="_Ref445303931"/>
      <w:bookmarkStart w:id="34" w:name="_Toc456884994"/>
      <w:r w:rsidRPr="00CD6296">
        <w:t xml:space="preserve">Tabelle </w:t>
      </w:r>
      <w:r w:rsidR="005F5E76">
        <w:fldChar w:fldCharType="begin"/>
      </w:r>
      <w:r w:rsidR="005F5E76">
        <w:instrText xml:space="preserve"> STYLEREF 1 \s </w:instrText>
      </w:r>
      <w:r w:rsidR="005F5E76">
        <w:fldChar w:fldCharType="separate"/>
      </w:r>
      <w:r w:rsidR="00EA4433">
        <w:rPr>
          <w:noProof/>
        </w:rPr>
        <w:t>2</w:t>
      </w:r>
      <w:r w:rsidR="005F5E76">
        <w:rPr>
          <w:noProof/>
        </w:rPr>
        <w:fldChar w:fldCharType="end"/>
      </w:r>
      <w:r w:rsidR="00EA4433">
        <w:t>.</w:t>
      </w:r>
      <w:r w:rsidR="005F5E76">
        <w:fldChar w:fldCharType="begin"/>
      </w:r>
      <w:r w:rsidR="005F5E76">
        <w:instrText xml:space="preserve"> SEQ Tabelle \* ARABIC \s 1 </w:instrText>
      </w:r>
      <w:r w:rsidR="005F5E76">
        <w:fldChar w:fldCharType="separate"/>
      </w:r>
      <w:r w:rsidR="00EA4433">
        <w:rPr>
          <w:noProof/>
        </w:rPr>
        <w:t>1</w:t>
      </w:r>
      <w:r w:rsidR="005F5E76">
        <w:rPr>
          <w:noProof/>
        </w:rPr>
        <w:fldChar w:fldCharType="end"/>
      </w:r>
      <w:bookmarkEnd w:id="33"/>
      <w:r w:rsidRPr="00CD6296">
        <w:t xml:space="preserve">: Zuordnung der </w:t>
      </w:r>
      <w:r w:rsidR="0042751A">
        <w:t xml:space="preserve">verschiedenen </w:t>
      </w:r>
      <w:r w:rsidRPr="00CD6296">
        <w:t>Produktlebenszyklusphasen</w:t>
      </w:r>
      <w:bookmarkEnd w:id="34"/>
    </w:p>
    <w:p w14:paraId="0140517B" w14:textId="1B82983A" w:rsidR="00075C67" w:rsidRPr="00075C67" w:rsidRDefault="00075C67" w:rsidP="00075C67">
      <w:pPr>
        <w:jc w:val="center"/>
      </w:pPr>
      <w:r w:rsidRPr="00075C67">
        <w:t>Quelle: eigene Tabelle</w:t>
      </w:r>
    </w:p>
    <w:p w14:paraId="3CAE571C" w14:textId="41A40CA9"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t>3</w:t>
      </w:r>
      <w:r>
        <w:fldChar w:fldCharType="end"/>
      </w:r>
      <w:r>
        <w:t xml:space="preserve">. </w:t>
      </w:r>
      <w:r w:rsidR="004C0E54">
        <w:t>Eine besondere Bedeutung hat die Einführungsphase, da hier der Markteintritt 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rsidR="004C0E54">
        <w:t xml:space="preserve"> über das sogenannte Release-Management, welches im folgenden Kapitel erläutert wird.</w:t>
      </w:r>
    </w:p>
    <w:p w14:paraId="710E0314" w14:textId="5CCBA394" w:rsidR="00461FAA" w:rsidRDefault="00461FAA" w:rsidP="00461FAA">
      <w:pPr>
        <w:pStyle w:val="berschrift2"/>
      </w:pPr>
      <w:bookmarkStart w:id="35" w:name="_Ref446517190"/>
      <w:bookmarkStart w:id="36" w:name="_Toc456884964"/>
      <w:r>
        <w:lastRenderedPageBreak/>
        <w:t xml:space="preserve">Produktveröffentlichung durch Standards im </w:t>
      </w:r>
      <w:r w:rsidR="00803CAA">
        <w:t>Release-Management</w:t>
      </w:r>
      <w:bookmarkEnd w:id="35"/>
      <w:bookmarkEnd w:id="36"/>
    </w:p>
    <w:p w14:paraId="5219C75E" w14:textId="430D410F" w:rsidR="003C772E" w:rsidRDefault="00312900" w:rsidP="00E8229F">
      <w:r>
        <w:t>Um neue Produkte oder Ä</w:t>
      </w:r>
      <w:r w:rsidR="00D477E1">
        <w:t>nderungen</w:t>
      </w:r>
      <w:r w:rsidR="00BF202D">
        <w:t xml:space="preserve"> an Produkten</w:t>
      </w:r>
      <w:r w:rsidR="00D477E1">
        <w:t xml:space="preserve"> zu veröffentlichen</w:t>
      </w:r>
      <w:r w:rsidR="00382961">
        <w:t xml:space="preserve"> bedingt es einer klaren Abwicklung über einen Prozess </w:t>
      </w:r>
      <w:sdt>
        <w:sdtPr>
          <w:id w:val="280849578"/>
          <w:citation/>
        </w:sdtPr>
        <w:sdtEnd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8528FB">
        <w:t xml:space="preserve">Prinzipiell könnte für jedes Produkt ein eigener Prozess gemäß den individuellen Anforderungen entworfen werden. Dies würde jedoch zu einer hohen Heterogenität in der Organisation führen und Mehrkosten verursachen, da gleiche Dinge mehrfach erarbeitet werden. Andererseits könnte für jedes Produkt der gleiche Prozess (ein Standard) angewendet werden, der die individuellen Erfordernisse ignoriert und daher möglicherweise zu Verzögerungen und Mehrkosten führt, da unnötige Schritte durchgeführt werden. Besser ist es daher einen Kompromiss zwischen Individualität und Allgemeingültigkeit zu finden. Diesem Kompromiss kann durch die Etablierung von einigen wenigen Typen von Standardprozessen Rechnung getragen werden. Ein Standardtyp ist demnach im Rahmen dieser Ausarbeitung eine Prozesskonfiguration für eine bestimmte Gruppe von Produkten. </w:t>
      </w:r>
      <w:r w:rsidR="001C444D">
        <w:t xml:space="preserve">Je nach Substanz </w:t>
      </w:r>
      <w:r w:rsidR="008528FB">
        <w:t>eines</w:t>
      </w:r>
      <w:r w:rsidR="001C444D">
        <w:t xml:space="preserve">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w:t>
      </w:r>
      <w:r w:rsidR="00410E27">
        <w:t>im Release-Management</w:t>
      </w:r>
      <w:r w:rsidR="001C444D">
        <w:t xml:space="preserve"> eine größere (immateriell) oder kleinere (materiell) Rolle. Im Fokus dieser Ausarbeitung stehen </w:t>
      </w:r>
      <w:r w:rsidR="00410E27">
        <w:t>aufgrund der steigenden Bedeutung der IT für alle Produkttypen</w:t>
      </w:r>
      <w:r w:rsidR="00A301DD">
        <w:t xml:space="preserve"> </w:t>
      </w:r>
      <w:sdt>
        <w:sdtPr>
          <w:id w:val="-315570834"/>
          <w:citation/>
        </w:sdtPr>
        <w:sdtEndPr/>
        <w:sdtContent>
          <w:r w:rsidR="00A301DD">
            <w:fldChar w:fldCharType="begin"/>
          </w:r>
          <w:r w:rsidR="00542459">
            <w:instrText xml:space="preserve">CITATION AXE11 \p "S. 63" \m Bau14 \p "S. 8" \t  \m Bau07 \p "S. 71 f." \t  \l 1031 </w:instrText>
          </w:r>
          <w:r w:rsidR="00A301DD">
            <w:fldChar w:fldCharType="separate"/>
          </w:r>
          <w:r w:rsidR="00542459">
            <w:rPr>
              <w:noProof/>
            </w:rPr>
            <w:t>(AXELOS 2011, S. 63, Baumann 2014, S. 8, Baumöl 2007, S. 71 f.)</w:t>
          </w:r>
          <w:r w:rsidR="00A301DD">
            <w:fldChar w:fldCharType="end"/>
          </w:r>
        </w:sdtContent>
      </w:sdt>
      <w:r w:rsidR="001C444D">
        <w:t xml:space="preserve"> </w:t>
      </w:r>
      <w:r w:rsidR="00410E27">
        <w:t xml:space="preserve">und der nur generisch beschriebenen IT-Release-Management-Prozess-Standards </w:t>
      </w:r>
      <w:sdt>
        <w:sdtPr>
          <w:id w:val="-2037563908"/>
          <w:citation/>
        </w:sdtPr>
        <w:sdtEndPr/>
        <w:sdtContent>
          <w:r w:rsidR="00A301DD">
            <w:fldChar w:fldCharType="begin"/>
          </w:r>
          <w:r w:rsidR="00A301DD">
            <w:instrText xml:space="preserve">CITATION AXE11 \p "S. 37" \l 1031 </w:instrText>
          </w:r>
          <w:r w:rsidR="00A301DD">
            <w:fldChar w:fldCharType="separate"/>
          </w:r>
          <w:r w:rsidR="00A301DD">
            <w:rPr>
              <w:noProof/>
            </w:rPr>
            <w:t>(AXELOS 2011, S. 37)</w:t>
          </w:r>
          <w:r w:rsidR="00A301DD">
            <w:fldChar w:fldCharType="end"/>
          </w:r>
        </w:sdtContent>
      </w:sdt>
      <w:r w:rsidR="001C444D">
        <w:t xml:space="preserve"> ausschließlich </w:t>
      </w:r>
      <w:r w:rsidR="00436A4E">
        <w:t xml:space="preserve">die für </w:t>
      </w:r>
      <w:r w:rsidR="00410E27">
        <w:t>Software</w:t>
      </w:r>
      <w:r w:rsidR="00436A4E">
        <w:t xml:space="preserve"> </w:t>
      </w:r>
      <w:r w:rsidR="00C95B01">
        <w:t>relevanten Prozesse</w:t>
      </w:r>
      <w:r w:rsidR="001C444D">
        <w:t xml:space="preserve">. </w:t>
      </w:r>
      <w:r>
        <w:t>Der Ä</w:t>
      </w:r>
      <w:r w:rsidR="001C444D">
        <w:t xml:space="preserve">nderungsprozess </w:t>
      </w:r>
      <w:r w:rsidR="00410E27">
        <w:t xml:space="preserve">für Software </w:t>
      </w:r>
      <w:r w:rsidR="001C444D">
        <w:t>erfolgt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End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rsidR="00D477E1">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18">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37" w:name="_Ref445901269"/>
      <w:bookmarkStart w:id="38" w:name="_Ref445031218"/>
      <w:bookmarkStart w:id="39" w:name="_Toc456884991"/>
      <w:r w:rsidRPr="00CD6296">
        <w:t xml:space="preserve">Abbildung </w:t>
      </w:r>
      <w:r w:rsidR="005F5E76">
        <w:fldChar w:fldCharType="begin"/>
      </w:r>
      <w:r w:rsidR="005F5E76">
        <w:instrText xml:space="preserve"> STYLEREF 1 \s </w:instrText>
      </w:r>
      <w:r w:rsidR="005F5E76">
        <w:fldChar w:fldCharType="separate"/>
      </w:r>
      <w:r w:rsidR="00CD6296" w:rsidRPr="00CD6296">
        <w:t>2</w:t>
      </w:r>
      <w:r w:rsidR="005F5E76">
        <w:fldChar w:fldCharType="end"/>
      </w:r>
      <w:r w:rsidR="00CD6296" w:rsidRPr="00CD6296">
        <w:t>.</w:t>
      </w:r>
      <w:r w:rsidR="005F5E76">
        <w:fldChar w:fldCharType="begin"/>
      </w:r>
      <w:r w:rsidR="005F5E76">
        <w:instrText xml:space="preserve"> SEQ Abbildung \* ARABIC \s 1 </w:instrText>
      </w:r>
      <w:r w:rsidR="005F5E76">
        <w:fldChar w:fldCharType="separate"/>
      </w:r>
      <w:r w:rsidR="00CD6296" w:rsidRPr="00CD6296">
        <w:t>3</w:t>
      </w:r>
      <w:r w:rsidR="005F5E76">
        <w:fldChar w:fldCharType="end"/>
      </w:r>
      <w:bookmarkEnd w:id="37"/>
      <w:r w:rsidRPr="00CD6296">
        <w:t>: Zusammenhang Produkt zu Release</w:t>
      </w:r>
      <w:bookmarkEnd w:id="38"/>
      <w:bookmarkEnd w:id="39"/>
    </w:p>
    <w:p w14:paraId="12FE5D9B" w14:textId="286E4C96" w:rsidR="004530A1" w:rsidRPr="004530A1" w:rsidRDefault="004530A1" w:rsidP="004530A1">
      <w:pPr>
        <w:jc w:val="center"/>
      </w:pPr>
      <w:r>
        <w:t xml:space="preserve">Quelle: in Anlehnung an </w:t>
      </w:r>
      <w:sdt>
        <w:sdtPr>
          <w:id w:val="1637683337"/>
          <w:citation/>
        </w:sdtPr>
        <w:sdtEnd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0540E071" w:rsidR="002B69AD" w:rsidRDefault="00436A4E" w:rsidP="00E8229F">
      <w:r w:rsidRPr="00C95B01">
        <w:rPr>
          <w:i/>
        </w:rPr>
        <w:t>Pichler</w:t>
      </w:r>
      <w:r>
        <w:t xml:space="preserve"> </w:t>
      </w:r>
      <w:sdt>
        <w:sdtPr>
          <w:id w:val="544107464"/>
          <w:citation/>
        </w:sdtPr>
        <w:sdtEnd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w:t>
      </w:r>
      <w:r>
        <w:lastRenderedPageBreak/>
        <w:t xml:space="preserve">fert wird. Gemäß </w:t>
      </w:r>
      <w:r w:rsidRPr="00853517">
        <w:rPr>
          <w:i/>
        </w:rPr>
        <w:t>ITIL</w:t>
      </w:r>
      <w:r>
        <w:t xml:space="preserve"> </w:t>
      </w:r>
      <w:sdt>
        <w:sdtPr>
          <w:id w:val="-1307706888"/>
          <w:citation/>
        </w:sdtPr>
        <w:sdtEnd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312900">
        <w:t>Ä</w:t>
      </w:r>
      <w:r w:rsidR="00BF7373">
        <w:t xml:space="preserve">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End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End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EE2488">
        <w:t xml:space="preserve"> </w:t>
      </w:r>
      <w:r w:rsidR="009B4007">
        <w:t>Diese beiden Perspektiven zeigen, dass an der Entwicklung</w:t>
      </w:r>
      <w:r w:rsidR="00247376">
        <w:t xml:space="preserve"> und Bereitstellung</w:t>
      </w:r>
      <w:r w:rsidR="009B4007">
        <w:t xml:space="preserve"> von Software mehrere unterschiedliche Bereiche beteiligt sind, welche in vielen Unternehmen strikt voneinander getrennt sind </w:t>
      </w:r>
      <w:sdt>
        <w:sdtPr>
          <w:id w:val="-323348967"/>
          <w:citation/>
        </w:sdtPr>
        <w:sdtEndPr/>
        <w:sdtContent>
          <w:r w:rsidR="009B4007">
            <w:fldChar w:fldCharType="begin"/>
          </w:r>
          <w:r w:rsidR="003D5AC0">
            <w:instrText xml:space="preserve">CITATION Bau14 \p "S. 69" \t  \l 1031 </w:instrText>
          </w:r>
          <w:r w:rsidR="009B4007">
            <w:fldChar w:fldCharType="separate"/>
          </w:r>
          <w:r w:rsidR="003D5AC0">
            <w:rPr>
              <w:noProof/>
            </w:rPr>
            <w:t>(Baumann 2014, S. 69)</w:t>
          </w:r>
          <w:r w:rsidR="009B4007">
            <w:fldChar w:fldCharType="end"/>
          </w:r>
        </w:sdtContent>
      </w:sdt>
      <w:r w:rsidR="009B4007">
        <w:t xml:space="preserve">. Das Produkt-Management, auch Fachbereich </w:t>
      </w:r>
      <w:r w:rsidR="00247376">
        <w:t xml:space="preserve">oder Business </w:t>
      </w:r>
      <w:r w:rsidR="009B4007">
        <w:t>genannt, hat als Ziel die stetige Innovation bei einem hohen ROI</w:t>
      </w:r>
      <w:sdt>
        <w:sdtPr>
          <w:id w:val="718010853"/>
          <w:citation/>
        </w:sdtPr>
        <w:sdtEndPr/>
        <w:sdtContent>
          <w:r w:rsidR="009B4007">
            <w:fldChar w:fldCharType="begin"/>
          </w:r>
          <w:r w:rsidR="003D5AC0">
            <w:instrText xml:space="preserve">CITATION Bau14 \p "S. 69 f." \t  \l 1031 </w:instrText>
          </w:r>
          <w:r w:rsidR="009B4007">
            <w:fldChar w:fldCharType="separate"/>
          </w:r>
          <w:r w:rsidR="003D5AC0">
            <w:rPr>
              <w:noProof/>
            </w:rPr>
            <w:t xml:space="preserve"> (Baumann 2014, S. 69 f.)</w:t>
          </w:r>
          <w:r w:rsidR="009B4007">
            <w:fldChar w:fldCharType="end"/>
          </w:r>
        </w:sdtContent>
      </w:sdt>
      <w:r w:rsidR="009B4007">
        <w:t>.</w:t>
      </w:r>
      <w:r w:rsidR="00834B5B">
        <w:t xml:space="preserve"> </w:t>
      </w:r>
      <w:r w:rsidR="009B4007">
        <w:t>Die Entwicklung</w:t>
      </w:r>
      <w:r w:rsidR="00247376">
        <w:t>, als Teil der IT,</w:t>
      </w:r>
      <w:r w:rsidR="009B4007">
        <w:t xml:space="preserve"> setzt die Anforderungen des Produkt-Managements mittels Programmierung um und verfolgt dabei technische Innovationen, moderne Architekturen und häufige Änderungen</w:t>
      </w:r>
      <w:sdt>
        <w:sdtPr>
          <w:id w:val="1214697973"/>
          <w:citation/>
        </w:sdtPr>
        <w:sdtEndPr/>
        <w:sdtContent>
          <w:r w:rsidR="009B4007">
            <w:fldChar w:fldCharType="begin"/>
          </w:r>
          <w:r w:rsidR="003D5AC0">
            <w:instrText xml:space="preserve">CITATION Bau14 \p "S. 69" \t  \l 1031 </w:instrText>
          </w:r>
          <w:r w:rsidR="009B4007">
            <w:fldChar w:fldCharType="separate"/>
          </w:r>
          <w:r w:rsidR="003D5AC0">
            <w:rPr>
              <w:noProof/>
            </w:rPr>
            <w:t xml:space="preserve"> (Baumann 2014, S. 69)</w:t>
          </w:r>
          <w:r w:rsidR="009B4007">
            <w:fldChar w:fldCharType="end"/>
          </w:r>
        </w:sdtContent>
      </w:sdt>
      <w:r w:rsidR="009B4007">
        <w:t>. Der Betrieb</w:t>
      </w:r>
      <w:r w:rsidR="00247376">
        <w:t>, als zweiter Teil der IT,</w:t>
      </w:r>
      <w:r w:rsidR="009B4007">
        <w:t xml:space="preserve"> ist für die Bereitstellung der Infrastruktur und die Stabilität (vor allem) der Produktionsumgebung verantwortlich</w:t>
      </w:r>
      <w:sdt>
        <w:sdtPr>
          <w:id w:val="1815685310"/>
          <w:citation/>
        </w:sdtPr>
        <w:sdtEndPr/>
        <w:sdtContent>
          <w:r w:rsidR="009B4007">
            <w:fldChar w:fldCharType="begin"/>
          </w:r>
          <w:r w:rsidR="003D5AC0">
            <w:instrText xml:space="preserve">CITATION Bau14 \p "S. 69" \t  \l 1031 </w:instrText>
          </w:r>
          <w:r w:rsidR="009B4007">
            <w:fldChar w:fldCharType="separate"/>
          </w:r>
          <w:r w:rsidR="003D5AC0">
            <w:rPr>
              <w:noProof/>
            </w:rPr>
            <w:t xml:space="preserve"> (Baumann 2014, S. 69)</w:t>
          </w:r>
          <w:r w:rsidR="009B4007">
            <w:fldChar w:fldCharType="end"/>
          </w:r>
        </w:sdtContent>
      </w:sdt>
      <w:r w:rsidR="009B4007">
        <w:t>. Während Produkt-Management und Entwicklung demnach Veränderungen benötigen, strebt der Betrieb nach wenig Veränderung.</w:t>
      </w:r>
      <w:r w:rsidR="00B4347A">
        <w:t xml:space="preserve"> Wie bereits in der Einleitung angedeutet, gibt es aber auch Ansätze diese Trennung aufzuheben. So ist beim DevOps-Ansatz ein Team Gesamtverantwortlich für das Produkt und alle notwendigen Aktivitäten</w:t>
      </w:r>
      <w:sdt>
        <w:sdtPr>
          <w:id w:val="-765693663"/>
          <w:citation/>
        </w:sdtPr>
        <w:sdtEndPr/>
        <w:sdtContent>
          <w:r w:rsidR="00590149">
            <w:fldChar w:fldCharType="begin"/>
          </w:r>
          <w:r w:rsidR="00590149">
            <w:instrText xml:space="preserve">CITATION Bau14 \p "S. 71 f." \t  \l 1031 </w:instrText>
          </w:r>
          <w:r w:rsidR="00590149">
            <w:fldChar w:fldCharType="separate"/>
          </w:r>
          <w:r w:rsidR="00590149">
            <w:rPr>
              <w:noProof/>
            </w:rPr>
            <w:t xml:space="preserve"> (Baumann 2014, S. 71 f.)</w:t>
          </w:r>
          <w:r w:rsidR="00590149">
            <w:fldChar w:fldCharType="end"/>
          </w:r>
        </w:sdtContent>
      </w:sdt>
      <w:r w:rsidR="00B4347A">
        <w:t>.</w:t>
      </w:r>
      <w:r w:rsidR="009B4007">
        <w:t xml:space="preserve"> </w:t>
      </w:r>
      <w:r w:rsidR="00590149">
        <w:t>Aber auch diese Teams brauchen abgestimmte Prozess für die Zusammenarbeit.</w:t>
      </w:r>
      <w:r w:rsidR="00B4347A">
        <w:t xml:space="preserve"> </w:t>
      </w:r>
      <w:r w:rsidR="004412B1">
        <w:t>D</w:t>
      </w:r>
      <w:r w:rsidR="00470564">
        <w:t xml:space="preserve">er meist genutzte Ansatz </w:t>
      </w:r>
      <w:r w:rsidR="005B656A">
        <w:t xml:space="preserve">im </w:t>
      </w:r>
      <w:r w:rsidR="00A61508">
        <w:t>IT-Service</w:t>
      </w:r>
      <w:r w:rsidR="00247376">
        <w:t>-Management-</w:t>
      </w:r>
      <w:r w:rsidR="005B656A">
        <w:t>Umfeld</w:t>
      </w:r>
      <w:r w:rsidR="00247376">
        <w:t xml:space="preserve"> (Betrieb)</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End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w:t>
      </w:r>
      <w:r w:rsidR="00590149">
        <w:t>Sie</w:t>
      </w:r>
      <w:r w:rsidR="00470564">
        <w:t xml:space="preserve"> dient als Hilfestellung bei der Etablierung von </w:t>
      </w:r>
      <w:r w:rsidR="00A61508">
        <w:t>IT-Service</w:t>
      </w:r>
      <w:r w:rsidR="00247376">
        <w:t>-Management-</w:t>
      </w:r>
      <w:r w:rsidR="00470564">
        <w:t>Prozessen und lässt sich den individuellen Bedürfnissen anpassen</w:t>
      </w:r>
      <w:sdt>
        <w:sdtPr>
          <w:id w:val="-616528195"/>
          <w:citation/>
        </w:sdtPr>
        <w:sdtEnd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End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End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lastRenderedPageBreak/>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r>
        <w:t>Continual Service Improvement</w:t>
      </w:r>
    </w:p>
    <w:p w14:paraId="4FA82CDB" w14:textId="6BCC8A0D"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End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End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End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End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Jederzeit präsent ist die Continual Service Improvement, welche die kontinuierliche Verbesserung der Organisation sicherstellt</w:t>
      </w:r>
      <w:sdt>
        <w:sdtPr>
          <w:id w:val="496855251"/>
          <w:citation/>
        </w:sdtPr>
        <w:sdtEnd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End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w:t>
      </w:r>
      <w:r w:rsidR="00247376">
        <w:t xml:space="preserve"> wird innerhalb von ITIL als Release and Deployment Management bezeichnet und</w:t>
      </w:r>
      <w:r w:rsidR="00F74DE6">
        <w:t xml:space="preserve"> ist ein Te</w:t>
      </w:r>
      <w:r w:rsidR="00247376">
        <w:t xml:space="preserve">ilaspekt der Service Transition. Eine Definition bzw. Beschreibung des Begriffs ist in Kapitel </w:t>
      </w:r>
      <w:r w:rsidR="00247376">
        <w:fldChar w:fldCharType="begin"/>
      </w:r>
      <w:r w:rsidR="00247376">
        <w:instrText xml:space="preserve"> REF _Ref449366923 \r \h </w:instrText>
      </w:r>
      <w:r w:rsidR="00247376">
        <w:fldChar w:fldCharType="separate"/>
      </w:r>
      <w:r w:rsidR="00247376">
        <w:t>4.4</w:t>
      </w:r>
      <w:r w:rsidR="00247376">
        <w:fldChar w:fldCharType="end"/>
      </w:r>
      <w:r w:rsidR="00247376">
        <w:t xml:space="preserve"> zu finden.</w:t>
      </w:r>
      <w:r w:rsidR="00F74DE6">
        <w:t xml:space="preserve"> </w:t>
      </w:r>
      <w:r w:rsidR="00577DC0">
        <w:t>Die Ziele der Service Transition lauten u. a. wie folgt</w:t>
      </w:r>
      <w:sdt>
        <w:sdtPr>
          <w:id w:val="1512560936"/>
          <w:citation/>
        </w:sdtPr>
        <w:sdtEnd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(„Changes“)</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DABFF26" w14:textId="08F540E5" w:rsidR="00D53062" w:rsidRDefault="00D77436" w:rsidP="00D53062">
      <w:pPr>
        <w:pStyle w:val="Listenabsatz"/>
        <w:numPr>
          <w:ilvl w:val="0"/>
          <w:numId w:val="20"/>
        </w:numPr>
      </w:pPr>
      <w:r>
        <w:t xml:space="preserve">Sicherstellung des </w:t>
      </w:r>
      <w:r w:rsidR="00577DC0">
        <w:t>Nutzens</w:t>
      </w:r>
      <w:r>
        <w:t xml:space="preserve"> eines Service</w:t>
      </w:r>
    </w:p>
    <w:p w14:paraId="0852A0FA" w14:textId="49C58F49" w:rsidR="00D53062" w:rsidRDefault="00D53062" w:rsidP="00D53062">
      <w:r>
        <w:t>Innerhalb der ITIL Service Transition Prinzipien werden verschiedene Richtlinien genannt, um diese Ziel zu erreichen</w:t>
      </w:r>
      <w:sdt>
        <w:sdtPr>
          <w:id w:val="858935803"/>
          <w:citation/>
        </w:sdtPr>
        <w:sdtEndPr/>
        <w:sdtContent>
          <w:r w:rsidR="00853517">
            <w:fldChar w:fldCharType="begin"/>
          </w:r>
          <w:r w:rsidR="00853517">
            <w:instrText xml:space="preserve">CITATION AXE11 \p "S. 37" \l 1031 </w:instrText>
          </w:r>
          <w:r w:rsidR="00853517">
            <w:fldChar w:fldCharType="separate"/>
          </w:r>
          <w:r w:rsidR="00853517">
            <w:rPr>
              <w:noProof/>
            </w:rPr>
            <w:t xml:space="preserve"> (AXELOS 2011, S. 37)</w:t>
          </w:r>
          <w:r w:rsidR="00853517">
            <w:fldChar w:fldCharType="end"/>
          </w:r>
        </w:sdtContent>
      </w:sdt>
      <w:r>
        <w:t>. Diese Richtlinien gelten unabhängig v</w:t>
      </w:r>
      <w:r w:rsidR="00A301DD">
        <w:t xml:space="preserve">on der jeweiligen Organisation und </w:t>
      </w:r>
      <w:r>
        <w:t xml:space="preserve">müssen </w:t>
      </w:r>
      <w:r w:rsidR="00D77436">
        <w:t xml:space="preserve">aufgrund dieses generischen Ansatzes </w:t>
      </w:r>
      <w:r>
        <w:t>an die vorherrschenden Bedingungen hinsichtlich beispielsweise Kultur und Größe angepasst werden</w:t>
      </w:r>
      <w:sdt>
        <w:sdtPr>
          <w:id w:val="-1296140399"/>
          <w:citation/>
        </w:sdtPr>
        <w:sdtEndPr/>
        <w:sdtContent>
          <w:r>
            <w:fldChar w:fldCharType="begin"/>
          </w:r>
          <w:r>
            <w:instrText xml:space="preserve">CITATION AXE11 \p "S. 37" \l 1031 </w:instrText>
          </w:r>
          <w:r>
            <w:fldChar w:fldCharType="separate"/>
          </w:r>
          <w:r>
            <w:rPr>
              <w:noProof/>
            </w:rPr>
            <w:t xml:space="preserve"> (AXELOS 2011, S. 37)</w:t>
          </w:r>
          <w:r>
            <w:fldChar w:fldCharType="end"/>
          </w:r>
        </w:sdtContent>
      </w:sdt>
      <w:r>
        <w:t>. Damit diese Richtlinien greifen ist die Unterstützung durch die Unternehmensführung bei ihrer Durchsetzung entscheidend</w:t>
      </w:r>
      <w:sdt>
        <w:sdtPr>
          <w:id w:val="654808952"/>
          <w:citation/>
        </w:sdtPr>
        <w:sdtEnd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umfassen die folgenden Punkte</w:t>
      </w:r>
      <w:sdt>
        <w:sdtPr>
          <w:id w:val="657962106"/>
          <w:citation/>
        </w:sdtPr>
        <w:sdtEnd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alle Changes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77777777" w:rsidR="00D53062" w:rsidRDefault="00D53062" w:rsidP="00D53062">
      <w:pPr>
        <w:pStyle w:val="Listenabsatz"/>
        <w:numPr>
          <w:ilvl w:val="0"/>
          <w:numId w:val="24"/>
        </w:numPr>
      </w:pPr>
      <w:r>
        <w:t>Ausrichtung der Service Transition Pläne an die Geschäftsbedürfnisse</w:t>
      </w:r>
    </w:p>
    <w:p w14:paraId="2A67ED74" w14:textId="77777777" w:rsidR="00D53062" w:rsidRDefault="00D53062" w:rsidP="00D53062">
      <w:pPr>
        <w:pStyle w:val="Listenabsatz"/>
        <w:numPr>
          <w:ilvl w:val="0"/>
          <w:numId w:val="24"/>
        </w:numPr>
      </w:pPr>
      <w:r>
        <w:lastRenderedPageBreak/>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77777777" w:rsidR="00D53062" w:rsidRDefault="00D53062" w:rsidP="00D53062">
      <w:pPr>
        <w:pStyle w:val="Listenabsatz"/>
        <w:numPr>
          <w:ilvl w:val="0"/>
          <w:numId w:val="24"/>
        </w:numPr>
      </w:pPr>
      <w:r>
        <w:t>zeitige Integration der Service Transition in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449B3C8B" w14:textId="44A7B0AC" w:rsidR="00D53062" w:rsidRPr="004903D2" w:rsidRDefault="00D53062" w:rsidP="00D53062">
      <w:r>
        <w:t xml:space="preserve">Bei der eigenen Service Transition Richtlinie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r>
        <w:t>ab</w:t>
      </w:r>
      <w:r w:rsidR="00D77436">
        <w:t xml:space="preserve">gestimmt </w:t>
      </w:r>
      <w:r w:rsidR="00853517">
        <w:t>werden</w:t>
      </w:r>
      <w:sdt>
        <w:sdtPr>
          <w:id w:val="-1891255466"/>
          <w:citation/>
        </w:sdtPr>
        <w:sdtEndPr/>
        <w:sdtContent>
          <w:r>
            <w:fldChar w:fldCharType="begin"/>
          </w:r>
          <w:r>
            <w:instrText xml:space="preserve">CITATION AXE11 \p "S. 37" \l 1031 </w:instrText>
          </w:r>
          <w:r>
            <w:fldChar w:fldCharType="separate"/>
          </w:r>
          <w:r>
            <w:rPr>
              <w:noProof/>
            </w:rPr>
            <w:t xml:space="preserve"> (AXELOS 2011, S. 37)</w:t>
          </w:r>
          <w:r>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EndPr/>
        <w:sdtContent>
          <w:r>
            <w:fldChar w:fldCharType="begin"/>
          </w:r>
          <w:r>
            <w:instrText xml:space="preserve">CITATION AXE11 \p "S. 40" \l 1031 </w:instrText>
          </w:r>
          <w:r>
            <w:fldChar w:fldCharType="separate"/>
          </w:r>
          <w:r>
            <w:rPr>
              <w:noProof/>
            </w:rPr>
            <w:t xml:space="preserve"> (AXELOS 2011, S. 40)</w:t>
          </w:r>
          <w:r>
            <w:fldChar w:fldCharType="end"/>
          </w:r>
        </w:sdtContent>
      </w:sdt>
      <w:r>
        <w:t>. Während und nach der Veröffentlichung soll der veränderte Service für einen definierten Zeitraum überwacht werden, u</w:t>
      </w:r>
      <w:r w:rsidR="00312900">
        <w:t>m sicherzustellen, dass die Ä</w:t>
      </w:r>
      <w:r>
        <w:t>nderung wie geplant verläuft</w:t>
      </w:r>
      <w:sdt>
        <w:sdtPr>
          <w:id w:val="1264806880"/>
          <w:citation/>
        </w:sdtPr>
        <w:sdtEndPr/>
        <w:sdtContent>
          <w:r>
            <w:fldChar w:fldCharType="begin"/>
          </w:r>
          <w:r>
            <w:instrText xml:space="preserve">CITATION AXE11 \p "S. 39" \l 1031 </w:instrText>
          </w:r>
          <w:r>
            <w:fldChar w:fldCharType="separate"/>
          </w:r>
          <w:r>
            <w:rPr>
              <w:noProof/>
            </w:rPr>
            <w:t xml:space="preserve"> (AXELOS 2011, S. 39)</w:t>
          </w:r>
          <w:r>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EndPr/>
        <w:sdtContent>
          <w:r>
            <w:fldChar w:fldCharType="begin"/>
          </w:r>
          <w:r>
            <w:instrText xml:space="preserve">CITATION AXE11 \p "S. 43" \l 1031 </w:instrText>
          </w:r>
          <w:r>
            <w:fldChar w:fldCharType="separate"/>
          </w:r>
          <w:r>
            <w:rPr>
              <w:noProof/>
            </w:rPr>
            <w:t xml:space="preserve"> (AXELOS 2011, S. 43)</w:t>
          </w:r>
          <w:r>
            <w:fldChar w:fldCharType="end"/>
          </w:r>
        </w:sdtContent>
      </w:sdt>
      <w:r>
        <w:t>. Bei der Durchführung von Qualitätssicherungsaktivitäten ist sicherzustellen, dass Testumgebungen der Wirkumgebung so ä</w:t>
      </w:r>
      <w:r w:rsidR="00D77436">
        <w:t>hnlich wie möglich sind und</w:t>
      </w:r>
      <w:r>
        <w:t xml:space="preserve"> die Tester unabhängig vom Entwickler des Service sind</w:t>
      </w:r>
      <w:sdt>
        <w:sdtPr>
          <w:id w:val="-559632092"/>
          <w:citation/>
        </w:sdtPr>
        <w:sdtEndPr/>
        <w:sdtContent>
          <w:r>
            <w:fldChar w:fldCharType="begin"/>
          </w:r>
          <w:r>
            <w:instrText xml:space="preserve">CITATION AXE11 \p "S. 44" \l 1031 </w:instrText>
          </w:r>
          <w:r>
            <w:fldChar w:fldCharType="separate"/>
          </w:r>
          <w:r>
            <w:rPr>
              <w:noProof/>
            </w:rPr>
            <w:t xml:space="preserve"> (AXELOS 2011, S. 44)</w:t>
          </w:r>
          <w:r>
            <w:fldChar w:fldCharType="end"/>
          </w:r>
        </w:sdtContent>
      </w:sdt>
      <w:r>
        <w:t>.</w:t>
      </w:r>
    </w:p>
    <w:p w14:paraId="116733A9" w14:textId="752AF7CB" w:rsidR="00577DC0" w:rsidRDefault="00D53062" w:rsidP="00577DC0">
      <w:r>
        <w:t>Neben den Richtlinien innerhalb der ITIL Service Transition werden auch die folgenden notwendigen Prozesse beschrieben</w:t>
      </w:r>
      <w:sdt>
        <w:sdtPr>
          <w:id w:val="623573991"/>
          <w:citation/>
        </w:sdtPr>
        <w:sdtEndPr/>
        <w:sdtContent>
          <w:r w:rsidR="00577DC0">
            <w:fldChar w:fldCharType="begin"/>
          </w:r>
          <w:r w:rsidR="00577DC0">
            <w:instrText xml:space="preserve">CITATION AXE11 \p "S. 5" \l 1031 </w:instrText>
          </w:r>
          <w:r w:rsidR="00577DC0">
            <w:fldChar w:fldCharType="separate"/>
          </w:r>
          <w:r w:rsidR="00577DC0">
            <w:rPr>
              <w:noProof/>
            </w:rPr>
            <w:t xml:space="preserve"> (AXELOS 2011, S. 5)</w:t>
          </w:r>
          <w:r w:rsidR="00577DC0">
            <w:fldChar w:fldCharType="end"/>
          </w:r>
        </w:sdtContent>
      </w:sdt>
      <w:r w:rsidR="00577DC0">
        <w:t>:</w:t>
      </w:r>
    </w:p>
    <w:p w14:paraId="36E34D83" w14:textId="6C27C5F6" w:rsidR="00853517" w:rsidRDefault="00853517" w:rsidP="00853517">
      <w:pPr>
        <w:pStyle w:val="Listenabsatz"/>
        <w:numPr>
          <w:ilvl w:val="0"/>
          <w:numId w:val="21"/>
        </w:numPr>
      </w:pPr>
      <w:r>
        <w:t>Transition Planning and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Service Asset and Configuration Management</w:t>
      </w:r>
    </w:p>
    <w:p w14:paraId="403795E5" w14:textId="4C1D1113" w:rsidR="00577DC0" w:rsidRDefault="00577DC0" w:rsidP="00577DC0">
      <w:pPr>
        <w:pStyle w:val="Listenabsatz"/>
        <w:numPr>
          <w:ilvl w:val="0"/>
          <w:numId w:val="21"/>
        </w:numPr>
      </w:pPr>
      <w:r>
        <w:t>Release and Deployment Management</w:t>
      </w:r>
    </w:p>
    <w:p w14:paraId="19FE4EAD" w14:textId="298BE603" w:rsidR="00577DC0" w:rsidRDefault="00577DC0" w:rsidP="00577DC0">
      <w:pPr>
        <w:pStyle w:val="Listenabsatz"/>
        <w:numPr>
          <w:ilvl w:val="0"/>
          <w:numId w:val="21"/>
        </w:numPr>
      </w:pPr>
      <w:r>
        <w:t>Service Testing and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lastRenderedPageBreak/>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19">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40" w:name="_Ref445907730"/>
      <w:bookmarkStart w:id="41" w:name="_Toc456884992"/>
      <w:r w:rsidRPr="00CD6296">
        <w:t xml:space="preserve">Abbildung </w:t>
      </w:r>
      <w:r w:rsidR="005F5E76">
        <w:fldChar w:fldCharType="begin"/>
      </w:r>
      <w:r w:rsidR="005F5E76">
        <w:instrText xml:space="preserve"> STYLEREF 1 \s </w:instrText>
      </w:r>
      <w:r w:rsidR="005F5E76">
        <w:fldChar w:fldCharType="separate"/>
      </w:r>
      <w:r w:rsidR="00CD6296" w:rsidRPr="00CD6296">
        <w:t>2</w:t>
      </w:r>
      <w:r w:rsidR="005F5E76">
        <w:fldChar w:fldCharType="end"/>
      </w:r>
      <w:r w:rsidR="00CD6296" w:rsidRPr="00CD6296">
        <w:t>.</w:t>
      </w:r>
      <w:r w:rsidR="005F5E76">
        <w:fldChar w:fldCharType="begin"/>
      </w:r>
      <w:r w:rsidR="005F5E76">
        <w:instrText xml:space="preserve"> SEQ Abbildung \* ARABIC \s 1 </w:instrText>
      </w:r>
      <w:r w:rsidR="005F5E76">
        <w:fldChar w:fldCharType="separate"/>
      </w:r>
      <w:r w:rsidR="00CD6296" w:rsidRPr="00CD6296">
        <w:t>4</w:t>
      </w:r>
      <w:r w:rsidR="005F5E76">
        <w:fldChar w:fldCharType="end"/>
      </w:r>
      <w:bookmarkEnd w:id="40"/>
      <w:r w:rsidRPr="00CD6296">
        <w:t>: Überblick ITIL</w:t>
      </w:r>
      <w:bookmarkEnd w:id="41"/>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End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70317EB6" w:rsidR="00A61508" w:rsidRPr="00A61508" w:rsidRDefault="00A61508" w:rsidP="00A61508">
      <w:r>
        <w:t>Neben ITIL werden auch im IT-Referenzmodell COBIT (Controlled Objectivies for Information and Related Technology), als Teil der Management-Domäe „Build, cquire and Implement“, Prozesse für die Durchführung von Änderungen beschrieben</w:t>
      </w:r>
      <w:sdt>
        <w:sdtPr>
          <w:id w:val="804508093"/>
          <w:citation/>
        </w:sdtPr>
        <w:sdtEnd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„Managemen</w:t>
      </w:r>
      <w:r w:rsidR="00D77436">
        <w:t>t</w:t>
      </w:r>
      <w:r w:rsidR="005B4D0E">
        <w:t xml:space="preserve"> von Änderungen“ entspricht hierbei dem ITIL-Prozess Change Management </w:t>
      </w:r>
      <w:sdt>
        <w:sdtPr>
          <w:id w:val="-571963735"/>
          <w:citation/>
        </w:sdtPr>
        <w:sdtEnd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and Deployment Management aus ITIL findet sich in COBIT im Prozess „Managen der Abnahme und Überführung von Änderungen“ wieder </w:t>
      </w:r>
      <w:sdt>
        <w:sdtPr>
          <w:id w:val="-52083785"/>
          <w:citation/>
        </w:sdtPr>
        <w:sdtEnd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End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26A55E4A" w:rsidR="0052128D" w:rsidRPr="00577DC0" w:rsidRDefault="007922DB" w:rsidP="009D2F47">
      <w:pPr>
        <w:rPr>
          <w:highlight w:val="yellow"/>
        </w:rPr>
      </w:pPr>
      <w:r>
        <w:t xml:space="preserve">Nach diesen Ausführungen </w:t>
      </w:r>
      <w:r w:rsidR="00D77436">
        <w:t>ist</w:t>
      </w:r>
      <w:r>
        <w:t xml:space="preserve"> ein</w:t>
      </w:r>
      <w:r w:rsidR="009D2F47">
        <w:t xml:space="preserve"> genereller Überblick in die Themenwelt sowie über die Zusammenhänge zwischen Innovation, Produkten und Release-Management gegeben. Im folgenden Kapitel erfolgt die detailliertere </w:t>
      </w:r>
      <w:r w:rsidR="00D77436">
        <w:t>Analyse</w:t>
      </w:r>
      <w:r w:rsidR="009D2F47">
        <w:t xml:space="preserve"> der </w:t>
      </w:r>
      <w:r w:rsidR="00D77436">
        <w:t>vorliegenden Risiken innerhalb der jeweiligen Produktlebenszyklusphasen.</w:t>
      </w:r>
    </w:p>
    <w:p w14:paraId="41991067" w14:textId="67652A4A" w:rsidR="00461FAA" w:rsidRDefault="00CF03A8" w:rsidP="00461FAA">
      <w:pPr>
        <w:pStyle w:val="berschrift1"/>
      </w:pPr>
      <w:bookmarkStart w:id="42" w:name="_Ref450729038"/>
      <w:bookmarkStart w:id="43" w:name="_Toc456884965"/>
      <w:r>
        <w:lastRenderedPageBreak/>
        <w:t>Risiken im</w:t>
      </w:r>
      <w:r w:rsidR="00E67FF7">
        <w:t xml:space="preserve"> Produktlebenszyklus</w:t>
      </w:r>
      <w:bookmarkEnd w:id="42"/>
      <w:r w:rsidR="00F5007E">
        <w:t xml:space="preserve"> als Basis</w:t>
      </w:r>
      <w:r>
        <w:t xml:space="preserve"> der Standardtypen</w:t>
      </w:r>
      <w:bookmarkEnd w:id="43"/>
    </w:p>
    <w:p w14:paraId="140626A5" w14:textId="6490504A" w:rsidR="00175F2D" w:rsidRPr="00175F2D" w:rsidRDefault="00E04553" w:rsidP="00175F2D">
      <w:r w:rsidRPr="00E04553">
        <w:t xml:space="preserve">Die geplanten Standardtypen für das Release-Management sollen auf einer Kombination von Risiken </w:t>
      </w:r>
      <w:r w:rsidR="00BD63D2">
        <w:t>in den</w:t>
      </w:r>
      <w:r w:rsidRPr="00E04553">
        <w:t xml:space="preserve"> Produktlebenszyklusphasen und </w:t>
      </w:r>
      <w:r w:rsidR="004903D2">
        <w:t xml:space="preserve">von </w:t>
      </w:r>
      <w:r w:rsidR="00702F57">
        <w:t>Prozess</w:t>
      </w:r>
      <w:r w:rsidR="00007ECB">
        <w:t>bestimmungen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007ECB">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00E67FF7">
        <w:t xml:space="preserve"> erfolgt in diesem</w:t>
      </w:r>
      <w:r w:rsidRPr="00E04553">
        <w:t xml:space="preserve"> Kapitel </w:t>
      </w:r>
      <w:r w:rsidR="00E67FF7">
        <w:t>die Untersuchung der einzelnen Phasen auf spezifische Besonderheiten, um konkrete Risiken zu ermitteln. Charakteristisch für die einzelnen Phasen sind unterschiedliche Verläufe des Umsatzes</w:t>
      </w:r>
      <w:sdt>
        <w:sdtPr>
          <w:id w:val="-1294364906"/>
          <w:citation/>
        </w:sdtPr>
        <w:sdtEndPr/>
        <w:sdtContent>
          <w:r w:rsidR="00E67FF7">
            <w:fldChar w:fldCharType="begin"/>
          </w:r>
          <w:r w:rsidR="00E67FF7">
            <w:instrText xml:space="preserve">CITATION Kai04 \p "S. 60 f." \l 1031 </w:instrText>
          </w:r>
          <w:r w:rsidR="00E67FF7">
            <w:fldChar w:fldCharType="separate"/>
          </w:r>
          <w:r w:rsidR="00E67FF7">
            <w:rPr>
              <w:noProof/>
            </w:rPr>
            <w:t xml:space="preserve"> (Kairies 2004, S. 60 f.)</w:t>
          </w:r>
          <w:r w:rsidR="00E67FF7">
            <w:fldChar w:fldCharType="end"/>
          </w:r>
        </w:sdtContent>
      </w:sdt>
      <w:r w:rsidR="00E67FF7">
        <w:t xml:space="preserve"> und des Deckungsbeitrags </w:t>
      </w:r>
      <w:sdt>
        <w:sdtPr>
          <w:id w:val="1855688347"/>
          <w:citation/>
        </w:sdtPr>
        <w:sdtEndPr/>
        <w:sdtContent>
          <w:r w:rsidR="00E67FF7">
            <w:fldChar w:fldCharType="begin"/>
          </w:r>
          <w:r w:rsidR="00E67FF7">
            <w:instrText xml:space="preserve">CITATION Aum09 \p "S. 322" \l 1031 </w:instrText>
          </w:r>
          <w:r w:rsidR="00E67FF7">
            <w:fldChar w:fldCharType="separate"/>
          </w:r>
          <w:r w:rsidR="00E67FF7">
            <w:rPr>
              <w:noProof/>
            </w:rPr>
            <w:t>(Aumayr 2009, S. 322)</w:t>
          </w:r>
          <w:r w:rsidR="00E67FF7">
            <w:fldChar w:fldCharType="end"/>
          </w:r>
        </w:sdtContent>
      </w:sdt>
      <w:r w:rsidR="00E67FF7">
        <w:t>. Daher erfordert jede einzelne Phase ihre eigenen Aktivitäten in Bezug auf das Produkt und den Markt</w:t>
      </w:r>
      <w:sdt>
        <w:sdtPr>
          <w:id w:val="691881377"/>
          <w:citation/>
        </w:sdtPr>
        <w:sdtEndPr/>
        <w:sdtContent>
          <w:r w:rsidR="00E67FF7">
            <w:fldChar w:fldCharType="begin"/>
          </w:r>
          <w:r w:rsidR="00E67FF7">
            <w:instrText xml:space="preserve">CITATION Kai04 \p "S. 61" \l 1031 </w:instrText>
          </w:r>
          <w:r w:rsidR="00E67FF7">
            <w:fldChar w:fldCharType="separate"/>
          </w:r>
          <w:r w:rsidR="00E67FF7">
            <w:rPr>
              <w:noProof/>
            </w:rPr>
            <w:t xml:space="preserve"> (Kairies 2004, S. 61)</w:t>
          </w:r>
          <w:r w:rsidR="00E67FF7">
            <w:fldChar w:fldCharType="end"/>
          </w:r>
        </w:sdtContent>
      </w:sdt>
      <w:r w:rsidR="00E67FF7">
        <w:t xml:space="preserve"> und unterliegt damit unterschiedlichen Risiken </w:t>
      </w:r>
      <w:sdt>
        <w:sdtPr>
          <w:id w:val="1023290297"/>
          <w:citation/>
        </w:sdtPr>
        <w:sdtEndPr/>
        <w:sdtContent>
          <w:r w:rsidR="00E67FF7">
            <w:fldChar w:fldCharType="begin"/>
          </w:r>
          <w:r w:rsidR="00E67FF7">
            <w:instrText xml:space="preserve">CITATION Aum09 \p "S. 323" \l 1031 </w:instrText>
          </w:r>
          <w:r w:rsidR="00E67FF7">
            <w:fldChar w:fldCharType="separate"/>
          </w:r>
          <w:r w:rsidR="00E67FF7">
            <w:rPr>
              <w:noProof/>
            </w:rPr>
            <w:t>(Aumayr 2009, S. 323)</w:t>
          </w:r>
          <w:r w:rsidR="00E67FF7">
            <w:fldChar w:fldCharType="end"/>
          </w:r>
        </w:sdtContent>
      </w:sdt>
      <w:r w:rsidR="00E67FF7">
        <w:t>. Abgeschlossen wird das K</w:t>
      </w:r>
      <w:r w:rsidRPr="00E04553">
        <w:t xml:space="preserve">apitel mit einer </w:t>
      </w:r>
      <w:r w:rsidR="004903D2">
        <w:t>Zu</w:t>
      </w:r>
      <w:r w:rsidR="001B2E93">
        <w:t>ordnung der Phasen zu Risikotypen und einer möglichen Vereinfachung</w:t>
      </w:r>
      <w:r w:rsidR="00702F57">
        <w:t xml:space="preserve"> </w:t>
      </w:r>
      <w:r w:rsidR="00BD63D2">
        <w:t>anhand von</w:t>
      </w:r>
      <w:r w:rsidRPr="00E04553">
        <w:t xml:space="preserve"> </w:t>
      </w:r>
      <w:r w:rsidR="00667F58">
        <w:t xml:space="preserve">aufgefallenen </w:t>
      </w:r>
      <w:r w:rsidR="00702F57">
        <w:t>Mustern</w:t>
      </w:r>
      <w:r w:rsidRPr="00E04553">
        <w:t xml:space="preserve">. </w:t>
      </w:r>
      <w:r w:rsidR="00E67FF7">
        <w:t xml:space="preserve">Diese </w:t>
      </w:r>
      <w:r w:rsidR="001B2E93">
        <w:t xml:space="preserve">Risikotypen </w:t>
      </w:r>
      <w:r w:rsidR="00E67FF7">
        <w:t>bilden die Voraussetzung für die Untersuchung der Release-Management</w:t>
      </w:r>
      <w:r w:rsidR="00BD63D2">
        <w:t>-P</w:t>
      </w:r>
      <w:r w:rsidR="00E67FF7">
        <w:t>rozesse im nächsten Hauptkapitel.</w:t>
      </w:r>
      <w:r w:rsidRPr="00E04553">
        <w:t xml:space="preserve"> </w:t>
      </w:r>
    </w:p>
    <w:p w14:paraId="18A4086C" w14:textId="67E3D413" w:rsidR="005941BA" w:rsidRDefault="005941BA" w:rsidP="00E67FF7">
      <w:pPr>
        <w:pStyle w:val="berschrift2"/>
      </w:pPr>
      <w:bookmarkStart w:id="44" w:name="_Ref455737864"/>
      <w:bookmarkStart w:id="45" w:name="_Ref455738083"/>
      <w:bookmarkStart w:id="46" w:name="_Ref455738212"/>
      <w:bookmarkStart w:id="47" w:name="_Toc456884966"/>
      <w:r>
        <w:t>Entwicklung</w:t>
      </w:r>
      <w:bookmarkEnd w:id="44"/>
      <w:bookmarkEnd w:id="45"/>
      <w:bookmarkEnd w:id="46"/>
      <w:bookmarkEnd w:id="47"/>
    </w:p>
    <w:p w14:paraId="225FDF34" w14:textId="3F456C3C" w:rsidR="00B64583" w:rsidRDefault="00B64583" w:rsidP="00B64583">
      <w:r>
        <w:t xml:space="preserve">Zu Beginn der Entwicklung </w:t>
      </w:r>
      <w:r w:rsidR="00BD63D2">
        <w:t xml:space="preserve">eines Produkts </w:t>
      </w:r>
      <w:r>
        <w:t>erfolgt die Produktplanung, welche die Marktanalyse, die Wettbewerbsanalyse, die Ideenfindung und Produktbeschreibung umfasst</w:t>
      </w:r>
      <w:sdt>
        <w:sdtPr>
          <w:id w:val="196591676"/>
          <w:citation/>
        </w:sdtPr>
        <w:sdtEnd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End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xml:space="preserve">. </w:t>
      </w:r>
      <w:r w:rsidR="00101763" w:rsidRPr="00623CCD">
        <w:t>Innerhalb eines Entwicklungsprojektes werden daraufhin die ersten Prototypen entwickelt und getestet</w:t>
      </w:r>
      <w:sdt>
        <w:sdtPr>
          <w:id w:val="1454909170"/>
          <w:citation/>
        </w:sdtPr>
        <w:sdtEnd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 xml:space="preserve"> (Lennertz 2006, S. 19)</w:t>
          </w:r>
          <w:r w:rsidR="00101763" w:rsidRPr="00623CCD">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790754" w:rsidRPr="00623CCD">
        <w:t xml:space="preserve"> Änderungsbedarfen, </w:t>
      </w:r>
      <w:r w:rsidR="00F15B33" w:rsidRPr="00623CCD">
        <w:t>Qualitätseinschränkungen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EndPr/>
        <w:sdtContent>
          <w:r w:rsidR="00790754" w:rsidRPr="00623CCD">
            <w:fldChar w:fldCharType="begin"/>
          </w:r>
          <w:r w:rsidR="00790754" w:rsidRPr="00623CCD">
            <w:instrText xml:space="preserve">CITATION Kai04 \p "S. 125" \l 1031 </w:instrText>
          </w:r>
          <w:r w:rsidR="00790754" w:rsidRPr="00623CCD">
            <w:fldChar w:fldCharType="separate"/>
          </w:r>
          <w:r w:rsidR="00790754" w:rsidRPr="00623CCD">
            <w:rPr>
              <w:noProof/>
            </w:rPr>
            <w:t xml:space="preserve"> (Kairies 2004, S. 125)</w:t>
          </w:r>
          <w:r w:rsidR="00790754" w:rsidRPr="00623CCD">
            <w:fldChar w:fldCharType="end"/>
          </w:r>
        </w:sdtContent>
      </w:sdt>
      <w:r w:rsidR="00790754" w:rsidRPr="00623CCD">
        <w:t>.</w:t>
      </w:r>
      <w:r w:rsidR="00101763" w:rsidRPr="00623CCD">
        <w:t xml:space="preserve"> </w:t>
      </w:r>
      <w:r w:rsidR="00790754" w:rsidRPr="00623CCD">
        <w:t xml:space="preserve">Stattdessen sollte die Entwicklung von einem dedizierten Team parallel und projektbezogen </w:t>
      </w:r>
      <w:r w:rsidR="004D72F4" w:rsidRPr="00623CCD">
        <w:t>erfolgen</w:t>
      </w:r>
      <w:sdt>
        <w:sdtPr>
          <w:id w:val="-1543360623"/>
          <w:citation/>
        </w:sdtPr>
        <w:sdtEndPr/>
        <w:sdtContent>
          <w:r w:rsidR="004D72F4" w:rsidRPr="00623CCD">
            <w:fldChar w:fldCharType="begin"/>
          </w:r>
          <w:r w:rsidR="008A6548" w:rsidRPr="00623CCD">
            <w:instrText xml:space="preserve">CITATION Kai04 \p "S. 123 f." \l 1031 </w:instrText>
          </w:r>
          <w:r w:rsidR="004D72F4" w:rsidRPr="00623CCD">
            <w:fldChar w:fldCharType="separate"/>
          </w:r>
          <w:r w:rsidR="008A6548" w:rsidRPr="00623CCD">
            <w:rPr>
              <w:noProof/>
            </w:rPr>
            <w:t xml:space="preserve"> (Kairies 2004, S. 123 f.)</w:t>
          </w:r>
          <w:r w:rsidR="004D72F4" w:rsidRPr="00623CCD">
            <w:fldChar w:fldCharType="end"/>
          </w:r>
        </w:sdtContent>
      </w:sdt>
      <w:r w:rsidR="004D72F4" w:rsidRPr="00623CCD">
        <w:t>. Wichtig für den zukünftigen Erfolg ist eine hohe Produktqualität, welche die Grundlage für Verkaufbarkeit und Kundenzufriedenheit ist und durch eine prüfgerechte Produktentwicklung erreicht wird</w:t>
      </w:r>
      <w:sdt>
        <w:sdtPr>
          <w:id w:val="717091026"/>
          <w:citation/>
        </w:sdtPr>
        <w:sdtEndPr/>
        <w:sdtContent>
          <w:r w:rsidR="004D72F4" w:rsidRPr="00623CCD">
            <w:fldChar w:fldCharType="begin"/>
          </w:r>
          <w:r w:rsidR="004D72F4" w:rsidRPr="00623CCD">
            <w:instrText xml:space="preserve">CITATION Kai04 \p "S. 9, 127, 131" \l 1031 </w:instrText>
          </w:r>
          <w:r w:rsidR="004D72F4" w:rsidRPr="00623CCD">
            <w:fldChar w:fldCharType="separate"/>
          </w:r>
          <w:r w:rsidR="004D72F4" w:rsidRPr="00623CCD">
            <w:rPr>
              <w:noProof/>
            </w:rPr>
            <w:t xml:space="preserve"> (Kairies 2004, S. 9, 127, 131)</w:t>
          </w:r>
          <w:r w:rsidR="004D72F4" w:rsidRPr="00623CCD">
            <w:fldChar w:fldCharType="end"/>
          </w:r>
        </w:sdtContent>
      </w:sdt>
      <w:r w:rsidR="004D72F4" w:rsidRPr="00623CCD">
        <w:t xml:space="preserve">. </w:t>
      </w:r>
      <w:r w:rsidR="001F4B9C" w:rsidRPr="00623CCD">
        <w:t xml:space="preserve">Daher </w:t>
      </w:r>
      <w:r w:rsidR="004903D2">
        <w:t>findet</w:t>
      </w:r>
      <w:r w:rsidR="001F4B9C" w:rsidRPr="00623CCD">
        <w:t xml:space="preserve"> vor der Übergabe an die Serienfertigung der </w:t>
      </w:r>
      <w:r w:rsidR="00790754" w:rsidRPr="00623CCD">
        <w:t>Test der Prototypen durch potenzielle Kunden</w:t>
      </w:r>
      <w:r w:rsidR="004903D2">
        <w:t xml:space="preserve"> statt</w:t>
      </w:r>
      <w:r w:rsidR="00101763" w:rsidRPr="00623CCD">
        <w:t xml:space="preserve"> </w:t>
      </w:r>
      <w:sdt>
        <w:sdtPr>
          <w:id w:val="269278503"/>
          <w:citation/>
        </w:sdtPr>
        <w:sdtEnd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(Lennertz 2006, S. 19)</w:t>
          </w:r>
          <w:r w:rsidR="00101763" w:rsidRPr="00623CCD">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EndPr/>
        <w:sdtContent>
          <w:r w:rsidR="00101763" w:rsidRPr="00623CCD">
            <w:fldChar w:fldCharType="begin"/>
          </w:r>
          <w:r w:rsidR="00FD52FE" w:rsidRPr="00623CCD">
            <w:instrText xml:space="preserve">CITATION Len06 \p "S. 19" \m Aum09 \p "S. 331 f." \l 1031 </w:instrText>
          </w:r>
          <w:r w:rsidR="00101763" w:rsidRPr="00623CCD">
            <w:fldChar w:fldCharType="separate"/>
          </w:r>
          <w:r w:rsidR="00FD52FE" w:rsidRPr="00623CCD">
            <w:rPr>
              <w:noProof/>
            </w:rPr>
            <w:t>(Lennertz 2006, S. 19, Aumayr 2009, S. 331 f.)</w:t>
          </w:r>
          <w:r w:rsidR="00101763" w:rsidRPr="00623CCD">
            <w:fldChar w:fldCharType="end"/>
          </w:r>
        </w:sdtContent>
      </w:sdt>
      <w:r w:rsidR="00101763" w:rsidRPr="00623CCD">
        <w:t>.</w:t>
      </w:r>
      <w:r w:rsidR="00D3072A" w:rsidRPr="00623CCD">
        <w:t xml:space="preserve"> Dies bedeutet vor allem umfangreiche Kommunikationsmaßnahmen, nach außen und innen, damit auch innerhalb des Unternehmens die Akzeptanz für das Produkt</w:t>
      </w:r>
      <w:r w:rsidR="00D3072A">
        <w:t xml:space="preserve"> sichergestellt wird</w:t>
      </w:r>
      <w:sdt>
        <w:sdtPr>
          <w:id w:val="639998414"/>
          <w:citation/>
        </w:sdtPr>
        <w:sdtEnd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r w:rsidR="00AF1721">
        <w:rPr>
          <w:i/>
        </w:rPr>
        <w:t>Aum</w:t>
      </w:r>
      <w:r w:rsidR="00D3072A" w:rsidRPr="00D3072A">
        <w:rPr>
          <w:i/>
        </w:rPr>
        <w:t>a</w:t>
      </w:r>
      <w:r w:rsidR="00AF1721">
        <w:rPr>
          <w:i/>
        </w:rPr>
        <w:t>y</w:t>
      </w:r>
      <w:r w:rsidR="00D3072A" w:rsidRPr="00D3072A">
        <w:rPr>
          <w:i/>
        </w:rPr>
        <w:t>r</w:t>
      </w:r>
      <w:r w:rsidR="00D3072A">
        <w:t xml:space="preserve"> </w:t>
      </w:r>
      <w:sdt>
        <w:sdtPr>
          <w:id w:val="1467548056"/>
          <w:citation/>
        </w:sdtPr>
        <w:sdtEndPr/>
        <w:sdtContent>
          <w:r w:rsidR="00D3072A">
            <w:fldChar w:fldCharType="begin"/>
          </w:r>
          <w:r w:rsidR="004903D2">
            <w:instrText xml:space="preserve">CITATION Aum09 \p ", S. 323" \n  \l 1031 </w:instrText>
          </w:r>
          <w:r w:rsidR="00D3072A">
            <w:fldChar w:fldCharType="separate"/>
          </w:r>
          <w:r w:rsidR="004903D2">
            <w:rPr>
              <w:noProof/>
            </w:rPr>
            <w:t>(2009, S. 323)</w:t>
          </w:r>
          <w:r w:rsidR="00D3072A">
            <w:fldChar w:fldCharType="end"/>
          </w:r>
        </w:sdtContent>
      </w:sdt>
      <w:r w:rsidR="00D3072A">
        <w:t xml:space="preserve"> bezeichnet diesen Ablauf als </w:t>
      </w:r>
      <w:r w:rsidR="00D3072A">
        <w:lastRenderedPageBreak/>
        <w:t xml:space="preserve">Innovationsprozess. Entscheidend ist dabei </w:t>
      </w:r>
      <w:r w:rsidR="00D3072A" w:rsidRPr="00F15B33">
        <w:t>die Flexibilität</w:t>
      </w:r>
      <w:r w:rsidR="00C81CBC" w:rsidRPr="00F15B33">
        <w:t>,</w:t>
      </w:r>
      <w:r w:rsidR="00D3072A" w:rsidRPr="00F15B33">
        <w:t xml:space="preserve"> um auf unerwartete Entwicklungen reagieren zu können, da die Markt- und Wettbewerbssituation, vor allem bei Innovationen, mit einer hohen Unsicherheit verbunden ist </w:t>
      </w:r>
      <w:sdt>
        <w:sdtPr>
          <w:id w:val="1158193512"/>
          <w:citation/>
        </w:sdtPr>
        <w:sdtEndPr/>
        <w:sdtContent>
          <w:r w:rsidR="00D3072A" w:rsidRPr="00F15B33">
            <w:fldChar w:fldCharType="begin"/>
          </w:r>
          <w:r w:rsidR="005240C6">
            <w:instrText xml:space="preserve">CITATION Aum09 \p "S. 323" \m Pic14 \p "S. 39" \m Gra16 \p "S. 133" \l 1031 </w:instrText>
          </w:r>
          <w:r w:rsidR="00D3072A" w:rsidRPr="00F15B33">
            <w:fldChar w:fldCharType="separate"/>
          </w:r>
          <w:r w:rsidR="005240C6">
            <w:rPr>
              <w:noProof/>
            </w:rPr>
            <w:t>(Aumayr 2009, S. 323, Pichler 2014, S. 39, Grawe 2016, S. 133)</w:t>
          </w:r>
          <w:r w:rsidR="00D3072A" w:rsidRPr="00F15B33">
            <w:fldChar w:fldCharType="end"/>
          </w:r>
        </w:sdtContent>
      </w:sdt>
      <w:r w:rsidR="00D3072A" w:rsidRPr="00F15B33">
        <w:t>.</w:t>
      </w:r>
      <w:r w:rsidR="006E40DD" w:rsidRPr="00F15B33">
        <w:t xml:space="preserve"> </w:t>
      </w:r>
      <w:r w:rsidR="005240C6">
        <w:t>Diese</w:t>
      </w:r>
      <w:r w:rsidR="0031173A" w:rsidRPr="00F15B33">
        <w:t xml:space="preserve"> Unsicherheit entsteht vor allem durch einen Wissensmangel, welcher bei einer Innovation aber unvermeidlich ist</w:t>
      </w:r>
      <w:sdt>
        <w:sdtPr>
          <w:id w:val="776989568"/>
          <w:citation/>
        </w:sdtPr>
        <w:sdtEndPr/>
        <w:sdtContent>
          <w:r w:rsidR="0031173A" w:rsidRPr="00F15B33">
            <w:fldChar w:fldCharType="begin"/>
          </w:r>
          <w:r w:rsidR="0031173A" w:rsidRPr="00F15B33">
            <w:instrText xml:space="preserve">CITATION Pic14 \p "S. 64" \l 1031 </w:instrText>
          </w:r>
          <w:r w:rsidR="0031173A" w:rsidRPr="00F15B33">
            <w:fldChar w:fldCharType="separate"/>
          </w:r>
          <w:r w:rsidR="0031173A" w:rsidRPr="00F15B33">
            <w:rPr>
              <w:noProof/>
            </w:rPr>
            <w:t xml:space="preserve"> (Pichler 2014, S. 64)</w:t>
          </w:r>
          <w:r w:rsidR="0031173A" w:rsidRPr="00F15B33">
            <w:fldChar w:fldCharType="end"/>
          </w:r>
        </w:sdtContent>
      </w:sdt>
      <w:r w:rsidR="0031173A" w:rsidRPr="00F15B33">
        <w:t xml:space="preserve">. </w:t>
      </w:r>
      <w:r w:rsidR="001F4B9C" w:rsidRPr="00F15B33">
        <w:t xml:space="preserve">Aufgrund der empirischen Herangehensweise </w:t>
      </w:r>
      <w:r w:rsidR="0031173A" w:rsidRPr="00F15B33">
        <w:t xml:space="preserve">und der Ermöglichung des schnellen Kundenfeedbacks </w:t>
      </w:r>
      <w:r w:rsidR="001F4B9C" w:rsidRPr="00F15B33">
        <w:t>eignet</w:t>
      </w:r>
      <w:r w:rsidR="001F4B9C">
        <w:t xml:space="preserve"> sich daher Scrum als Projektvorgehen für IT-Produkte bzw. -Produktanteile besonders gut</w:t>
      </w:r>
      <w:r w:rsidR="0031173A">
        <w:t>, da es effektiv Risiken reduziert</w:t>
      </w:r>
      <w:sdt>
        <w:sdtPr>
          <w:id w:val="-539444019"/>
          <w:citation/>
        </w:sdtPr>
        <w:sdtEnd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w:t>
      </w:r>
      <w:r w:rsidR="006D3D99" w:rsidRPr="00623CCD">
        <w:t>er Scrum-Aspekt des minimalen Produkts führt in dieser Situation zum größten Erfolg, da es aufgrund der Fokussierung auf Kernfunktionen günstiger und schneller erstellt sowie angepasst werden kann</w:t>
      </w:r>
      <w:sdt>
        <w:sdtPr>
          <w:id w:val="484285476"/>
          <w:citation/>
        </w:sdtPr>
        <w:sdtEndPr/>
        <w:sdtContent>
          <w:r w:rsidR="006D3D99" w:rsidRPr="00623CCD">
            <w:fldChar w:fldCharType="begin"/>
          </w:r>
          <w:r w:rsidR="006D3D99" w:rsidRPr="00623CCD">
            <w:instrText xml:space="preserve">CITATION Pic14 \p "S. 39" \l 1031 </w:instrText>
          </w:r>
          <w:r w:rsidR="006D3D99" w:rsidRPr="00623CCD">
            <w:fldChar w:fldCharType="separate"/>
          </w:r>
          <w:r w:rsidR="006D3D99" w:rsidRPr="00623CCD">
            <w:rPr>
              <w:noProof/>
            </w:rPr>
            <w:t xml:space="preserve"> (Pichler 2014, S. 39)</w:t>
          </w:r>
          <w:r w:rsidR="006D3D99" w:rsidRPr="00623CCD">
            <w:fldChar w:fldCharType="end"/>
          </w:r>
        </w:sdtContent>
      </w:sdt>
      <w:r w:rsidR="006D3D99" w:rsidRPr="00623CCD">
        <w:t>.</w:t>
      </w:r>
      <w:r w:rsidR="001F4B9C" w:rsidRPr="00623CCD">
        <w:t xml:space="preserve"> </w:t>
      </w:r>
      <w:r w:rsidR="0031173A" w:rsidRPr="00623CCD">
        <w:t xml:space="preserve">Um den richtigen Zeitpunkt </w:t>
      </w:r>
      <w:r w:rsidR="00F15B33" w:rsidRPr="00623CCD">
        <w:t xml:space="preserve">für die Veröffentlichung </w:t>
      </w:r>
      <w:r w:rsidR="0031173A" w:rsidRPr="00623CCD">
        <w:t>festz</w:t>
      </w:r>
      <w:r w:rsidR="00F15B33" w:rsidRPr="00623CCD">
        <w:t>u</w:t>
      </w:r>
      <w:r w:rsidR="0031173A" w:rsidRPr="00623CCD">
        <w:t>h</w:t>
      </w:r>
      <w:r w:rsidR="00F15B33" w:rsidRPr="00623CCD">
        <w:t>a</w:t>
      </w:r>
      <w:r w:rsidR="0031173A" w:rsidRPr="00623CCD">
        <w:t>lten, eignet sich eine Release</w:t>
      </w:r>
      <w:r w:rsidR="00E5365C" w:rsidRPr="00623CCD">
        <w:t>-P</w:t>
      </w:r>
      <w:r w:rsidR="0031173A" w:rsidRPr="00623CCD">
        <w:t>lanung, welche außerdem noch ein gewisses Budgetziel und einen Funktionsumfang definiert</w:t>
      </w:r>
      <w:sdt>
        <w:sdtPr>
          <w:id w:val="-1397346552"/>
          <w:citation/>
        </w:sdtPr>
        <w:sdtEnd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Entscheidend ist dabei, dass weder die Zeit noch die Qualität flexibel sind, sondern nur der Funktionsumfang</w:t>
      </w:r>
      <w:sdt>
        <w:sdtPr>
          <w:id w:val="1119111644"/>
          <w:citation/>
        </w:sdtPr>
        <w:sdtEnd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Denn ohne eine hohe Qualität ist ein schnelle</w:t>
      </w:r>
      <w:r w:rsidR="00E5365C" w:rsidRPr="00623CCD">
        <w:t>s und regelmäßiges a</w:t>
      </w:r>
      <w:r w:rsidR="0031173A" w:rsidRPr="00623CCD">
        <w:t>usliefern</w:t>
      </w:r>
      <w:r w:rsidR="00E5365C" w:rsidRPr="00623CCD">
        <w:t xml:space="preserve"> von Releases</w:t>
      </w:r>
      <w:r w:rsidR="0031173A" w:rsidRPr="00623CCD">
        <w:t xml:space="preserve"> nicht effektiv</w:t>
      </w:r>
      <w:sdt>
        <w:sdtPr>
          <w:id w:val="2080640896"/>
          <w:citation/>
        </w:sdtPr>
        <w:sdtEnd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Big-Bang-Release, </w:t>
      </w:r>
      <w:r w:rsidR="00E5365C" w:rsidRPr="00F15B33">
        <w:t xml:space="preserve">d. h. viel Funktionalität auf einmal, welches hohe Kosten sowie eine lange Projektlaufzeit und damit ein hohes Investitionsrisiko bedeutet </w:t>
      </w:r>
      <w:sdt>
        <w:sdtPr>
          <w:id w:val="676466588"/>
          <w:citation/>
        </w:sdtPr>
        <w:sdtEndPr/>
        <w:sdtContent>
          <w:r w:rsidR="00E5365C" w:rsidRPr="00F15B33">
            <w:fldChar w:fldCharType="begin"/>
          </w:r>
          <w:r w:rsidR="00E5365C" w:rsidRPr="00F15B33">
            <w:instrText xml:space="preserve">CITATION Pic14 \p "S. 107" \l 1031 </w:instrText>
          </w:r>
          <w:r w:rsidR="00E5365C" w:rsidRPr="00F15B33">
            <w:fldChar w:fldCharType="separate"/>
          </w:r>
          <w:r w:rsidR="00E5365C" w:rsidRPr="00F15B33">
            <w:rPr>
              <w:noProof/>
            </w:rPr>
            <w:t>(Pichler 2014, S. 107)</w:t>
          </w:r>
          <w:r w:rsidR="00E5365C" w:rsidRPr="00F15B33">
            <w:fldChar w:fldCharType="end"/>
          </w:r>
        </w:sdtContent>
      </w:sdt>
      <w:r w:rsidR="00E5365C" w:rsidRPr="00F15B33">
        <w:t>.</w:t>
      </w:r>
    </w:p>
    <w:p w14:paraId="0F027BE7" w14:textId="3415FF76"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die Risiken einer zu langen Time to Market u</w:t>
      </w:r>
      <w:r w:rsidR="004903D2">
        <w:t>nd das Verpassen des Window of O</w:t>
      </w:r>
      <w:r w:rsidR="00466529">
        <w:t xml:space="preserve">pportunity (vgl. Kapitel </w:t>
      </w:r>
      <w:r w:rsidR="00466529">
        <w:fldChar w:fldCharType="begin"/>
      </w:r>
      <w:r w:rsidR="00466529">
        <w:instrText xml:space="preserve"> REF _Ref445029358 \r \h </w:instrText>
      </w:r>
      <w:r w:rsidR="00466529">
        <w:fldChar w:fldCharType="separate"/>
      </w:r>
      <w:r w:rsidR="00466529">
        <w:t>2.1</w:t>
      </w:r>
      <w:r w:rsidR="00466529">
        <w:fldChar w:fldCharType="end"/>
      </w:r>
      <w:r w:rsidR="00466529">
        <w:t>) durch fehlende Flexibilität, Schnelligkeit und daher lange Projektlaufzeiten</w:t>
      </w:r>
      <w:r>
        <w:t>.</w:t>
      </w:r>
      <w:r w:rsidR="00623CCD">
        <w:t xml:space="preserve"> Dies birgt ein hohes Investitionsrisiko und zieht aufwendige Änderungsarbeiten nach sich. </w:t>
      </w:r>
      <w:r w:rsidR="00466529">
        <w:t>Die zeitliche Dimension</w:t>
      </w:r>
      <w:r w:rsidR="00623CCD">
        <w:t xml:space="preserve"> allein ist aber nicht </w:t>
      </w:r>
      <w:r w:rsidR="00466529">
        <w:t>entscheidend</w:t>
      </w:r>
      <w:r w:rsidR="00623CCD">
        <w:t xml:space="preserve">, denn bei </w:t>
      </w:r>
      <w:r w:rsidR="00466529">
        <w:t>einer geringen Qualität fehlt die nötige</w:t>
      </w:r>
      <w:r w:rsidR="00623CCD">
        <w:t xml:space="preserve"> Verkaufbarkeit </w:t>
      </w:r>
      <w:r w:rsidR="00466529">
        <w:t>des Produkts und damit die</w:t>
      </w:r>
      <w:r w:rsidR="00623CCD">
        <w:t xml:space="preserve"> Kundenzufriedenheit. Die Risiken in dieser Phase konzentrieren sich demnach auf zeitliche und qualitative Aspekte.</w:t>
      </w:r>
    </w:p>
    <w:p w14:paraId="1753A01F" w14:textId="50F3AD7F" w:rsidR="00461FAA" w:rsidRDefault="00461FAA" w:rsidP="00E67FF7">
      <w:pPr>
        <w:pStyle w:val="berschrift2"/>
      </w:pPr>
      <w:bookmarkStart w:id="48" w:name="_Ref455737867"/>
      <w:bookmarkStart w:id="49" w:name="_Ref455738391"/>
      <w:bookmarkStart w:id="50" w:name="_Toc456884967"/>
      <w:r>
        <w:t>Einführung</w:t>
      </w:r>
      <w:bookmarkEnd w:id="48"/>
      <w:bookmarkEnd w:id="49"/>
      <w:bookmarkEnd w:id="50"/>
    </w:p>
    <w:p w14:paraId="513C6AF3" w14:textId="4159EB8B" w:rsidR="0077677F" w:rsidRDefault="00B64583" w:rsidP="0077677F">
      <w:r>
        <w:t>In dieser Lebenszyklusphase erfolgt</w:t>
      </w:r>
      <w:r w:rsidR="002B0861">
        <w:t xml:space="preserve"> der Markteintritt des Produkts und somit der eigentliche Lebenszyklus </w:t>
      </w:r>
      <w:sdt>
        <w:sdtPr>
          <w:id w:val="886916588"/>
          <w:citation/>
        </w:sdtPr>
        <w:sdtEnd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xml:space="preserve">. </w:t>
      </w:r>
      <w:r w:rsidRPr="00006BFE">
        <w:t xml:space="preserve">Ziele </w:t>
      </w:r>
      <w:r w:rsidR="004903D2">
        <w:t>der Einführungsp</w:t>
      </w:r>
      <w:r w:rsidRPr="00006BFE">
        <w:t>hase sind vor allem die Bekanntmachung</w:t>
      </w:r>
      <w:r w:rsidR="006B4BB4" w:rsidRPr="00006BFE">
        <w:t xml:space="preserve"> des Produkts</w:t>
      </w:r>
      <w:r w:rsidRPr="00006BFE">
        <w:t xml:space="preserve"> auf dem Markt</w:t>
      </w:r>
      <w:r w:rsidR="001974AD" w:rsidRPr="00006BFE">
        <w:t xml:space="preserve">, </w:t>
      </w:r>
      <w:r w:rsidR="00021C04" w:rsidRPr="00006BFE">
        <w:t xml:space="preserve">die </w:t>
      </w:r>
      <w:r w:rsidR="0004504F" w:rsidRPr="00006BFE">
        <w:t>Gewinnung von Referenzkunden</w:t>
      </w:r>
      <w:r w:rsidRPr="00006BFE">
        <w:t xml:space="preserve"> sowie die Beseitigung von Fehlern</w:t>
      </w:r>
      <w:sdt>
        <w:sdtPr>
          <w:id w:val="2124264449"/>
          <w:citation/>
        </w:sdtPr>
        <w:sdtEndPr/>
        <w:sdtContent>
          <w:r w:rsidRPr="00006BFE">
            <w:fldChar w:fldCharType="begin"/>
          </w:r>
          <w:r w:rsidR="001974AD" w:rsidRPr="00006BFE">
            <w:instrText xml:space="preserve">CITATION Kai04 \p "S. 62" \m Aum09 \p "S. 304 f." \l 1031 </w:instrText>
          </w:r>
          <w:r w:rsidRPr="00006BFE">
            <w:fldChar w:fldCharType="separate"/>
          </w:r>
          <w:r w:rsidR="001974AD" w:rsidRPr="00006BFE">
            <w:rPr>
              <w:noProof/>
            </w:rPr>
            <w:t xml:space="preserve"> (Kairies 2004, S. 62, Aumayr 2009, S. 304 f.)</w:t>
          </w:r>
          <w:r w:rsidRPr="00006BFE">
            <w:fldChar w:fldCharType="end"/>
          </w:r>
        </w:sdtContent>
      </w:sdt>
      <w:r>
        <w:t>.</w:t>
      </w:r>
      <w:r w:rsidR="002B0861">
        <w:t xml:space="preserve"> </w:t>
      </w:r>
      <w:r w:rsidR="0004504F">
        <w:t>Die dadurch entstehenden hohe</w:t>
      </w:r>
      <w:r w:rsidR="004903D2">
        <w:t>n</w:t>
      </w:r>
      <w:r w:rsidR="002B0861">
        <w:t xml:space="preserve"> </w:t>
      </w:r>
      <w:r w:rsidR="002B0861" w:rsidRPr="00006BFE">
        <w:t>Einführungskosten</w:t>
      </w:r>
      <w:r w:rsidR="002B0861">
        <w:t xml:space="preserve"> und </w:t>
      </w:r>
      <w:r w:rsidR="0004504F">
        <w:t>der aufgrund der geringen Bekanntheit geringe</w:t>
      </w:r>
      <w:r w:rsidR="002B0861">
        <w:t xml:space="preserve"> Absatz</w:t>
      </w:r>
      <w:r w:rsidR="0004504F">
        <w:t xml:space="preserve"> führen zu einem geringen oder sogar negativen Deckungsbeitrag</w:t>
      </w:r>
      <w:sdt>
        <w:sdtPr>
          <w:id w:val="-321962978"/>
          <w:citation/>
        </w:sdtPr>
        <w:sdtEnd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04504F">
        <w:t xml:space="preserve">Um </w:t>
      </w:r>
      <w:r w:rsidR="0004504F">
        <w:lastRenderedPageBreak/>
        <w:t>den Bekanntheitsgrad zu erhöhen ist die Kundenzielgruppe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Betreuungsbedarfs</w:t>
      </w:r>
      <w:r w:rsidR="001974AD">
        <w:t xml:space="preserve"> durch den Vertrieb</w:t>
      </w:r>
      <w:r w:rsidR="0004504F">
        <w:t xml:space="preserve"> jedoch</w:t>
      </w:r>
      <w:r w:rsidR="001974AD">
        <w:t xml:space="preserve"> kostenintensiv </w:t>
      </w:r>
      <w:r w:rsidR="0004504F">
        <w:t>ist</w:t>
      </w:r>
      <w:sdt>
        <w:sdtPr>
          <w:id w:val="1747371355"/>
          <w:citation/>
        </w:sdtPr>
        <w:sdtEnd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ein Flop</w:t>
      </w:r>
      <w:r w:rsidR="001974AD">
        <w:t xml:space="preserve"> wird</w:t>
      </w:r>
      <w:sdt>
        <w:sdtPr>
          <w:id w:val="519051795"/>
          <w:citation/>
        </w:sdtPr>
        <w:sdtEnd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 xml:space="preserve">Um </w:t>
      </w:r>
      <w:r w:rsidR="001852CF" w:rsidRPr="00006BFE">
        <w:t>das Feedback der Kunden</w:t>
      </w:r>
      <w:r w:rsidR="001852CF">
        <w:t xml:space="preserve"> so zeitig wie möglich zu erhalten und entsprechend reagieren zu können, ist analog der der Entwicklungsphase eine hohe Flexibilität nötig</w:t>
      </w:r>
      <w:sdt>
        <w:sdtPr>
          <w:id w:val="-1032268117"/>
          <w:citation/>
        </w:sdtPr>
        <w:sdtEnd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w:t>
      </w:r>
      <w:r w:rsidR="001852CF" w:rsidRPr="00006BFE">
        <w:t>hierbei die Rolle der Prozesse, Dienste und Werkzeuge</w:t>
      </w:r>
      <w:r w:rsidR="0004504F" w:rsidRPr="00006BFE">
        <w:t>,</w:t>
      </w:r>
      <w:r w:rsidR="001852CF" w:rsidRPr="00006BFE">
        <w:t xml:space="preserve"> die für die schnelle Freigabe von neuen</w:t>
      </w:r>
      <w:r w:rsidR="001852CF">
        <w:t xml:space="preserve"> Versionen (Releases) notwendig sind </w:t>
      </w:r>
      <w:sdt>
        <w:sdtPr>
          <w:id w:val="-1824422974"/>
          <w:citation/>
        </w:sdtPr>
        <w:sdtEnd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04504F">
        <w:t>Positiv wirkt sich in dieser Phase der t</w:t>
      </w:r>
      <w:r w:rsidR="001974AD">
        <w:t>ypischerweise</w:t>
      </w:r>
      <w:r w:rsidR="0004504F">
        <w:t xml:space="preserve"> geringe Konkurrenzdruck aus</w:t>
      </w:r>
      <w:sdt>
        <w:sdtPr>
          <w:id w:val="-1624066719"/>
          <w:citation/>
        </w:sdtPr>
        <w:sdtEnd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xml:space="preserve">. Dies </w:t>
      </w:r>
      <w:r w:rsidR="0004504F">
        <w:t>ist allerdings auch abhängig von anderen Faktoren, wie z. B. dem</w:t>
      </w:r>
      <w:r w:rsidR="001974AD">
        <w:t xml:space="preserve"> Marktlebenszyklus, welcher den Lebenszyklus der gesamten Produktgruppe auf dem Markt darstellt und demnach vom Stadium des einzelnen Produkts abweichen kann</w:t>
      </w:r>
      <w:sdt>
        <w:sdtPr>
          <w:id w:val="229976954"/>
          <w:citation/>
        </w:sdtPr>
        <w:sdtEnd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EF4AF6">
        <w:t xml:space="preserve"> </w:t>
      </w:r>
      <w:r w:rsidR="0004504F">
        <w:t xml:space="preserve">Mit Erreichen des </w:t>
      </w:r>
      <w:r w:rsidR="0013257C">
        <w:t xml:space="preserve">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d. h. wenn die Erlöse die Kosten übersteigen</w:t>
      </w:r>
      <w:r w:rsidR="0004504F">
        <w:t xml:space="preserve">, gilt die Produkteinführungsphase für beendet </w:t>
      </w:r>
      <w:sdt>
        <w:sdtPr>
          <w:id w:val="781925154"/>
          <w:citation/>
        </w:sdtPr>
        <w:sdtEnd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r w:rsidR="0004504F">
        <w:t xml:space="preserve"> Sollte ein Produkt den BEP nie erreichen, gilt es als Flop (vgl. Kapitel </w:t>
      </w:r>
      <w:r w:rsidR="0004504F">
        <w:fldChar w:fldCharType="begin"/>
      </w:r>
      <w:r w:rsidR="0004504F">
        <w:instrText xml:space="preserve"> REF _Ref445276009 \r \h </w:instrText>
      </w:r>
      <w:r w:rsidR="0004504F">
        <w:fldChar w:fldCharType="separate"/>
      </w:r>
      <w:r w:rsidR="0004504F">
        <w:t>2.3</w:t>
      </w:r>
      <w:r w:rsidR="0004504F">
        <w:fldChar w:fldCharType="end"/>
      </w:r>
      <w:r w:rsidR="0004504F">
        <w:t>).</w:t>
      </w:r>
    </w:p>
    <w:p w14:paraId="47B80F56" w14:textId="1003C9AB"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nötig</w:t>
      </w:r>
      <w:r w:rsidR="00466529">
        <w:t xml:space="preserve"> entdeckte Fehle</w:t>
      </w:r>
      <w:r w:rsidR="00006BFE">
        <w:t xml:space="preserve">r schnell zu beseitigen und zeitnah auf das Feedback der </w:t>
      </w:r>
      <w:r w:rsidR="00466529">
        <w:t>inno</w:t>
      </w:r>
      <w:r w:rsidR="00006BFE">
        <w:t xml:space="preserve">vationsbezogenen Kundengruppe mittels Produktverbesserungen einzugehen. Die geforderte zeitnahe Fehlerbeseitigung unterstreicht außerdem den weiterhin gültigen Risikoaspekt der mangelhaften Qualität. </w:t>
      </w:r>
    </w:p>
    <w:p w14:paraId="7E3271D7" w14:textId="305F59DE" w:rsidR="00461FAA" w:rsidRDefault="00461FAA" w:rsidP="00E67FF7">
      <w:pPr>
        <w:pStyle w:val="berschrift2"/>
      </w:pPr>
      <w:bookmarkStart w:id="51" w:name="_Ref455738543"/>
      <w:bookmarkStart w:id="52" w:name="_Ref455738792"/>
      <w:bookmarkStart w:id="53" w:name="_Toc456884968"/>
      <w:r>
        <w:t>Wachstum</w:t>
      </w:r>
      <w:bookmarkEnd w:id="51"/>
      <w:bookmarkEnd w:id="52"/>
      <w:bookmarkEnd w:id="53"/>
    </w:p>
    <w:p w14:paraId="617E76E6" w14:textId="3D0C7CDE" w:rsid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End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w:t>
      </w:r>
      <w:r w:rsidR="000D00F7">
        <w:t>an den geringeren</w:t>
      </w:r>
      <w:r w:rsidR="00496AA8">
        <w:t xml:space="preserve"> Aufbaukosten und </w:t>
      </w:r>
      <w:r w:rsidR="000D00F7">
        <w:t>der Gewinnung der sogenannten frühen Mehrheit als Kundengruppe</w:t>
      </w:r>
      <w:sdt>
        <w:sdtPr>
          <w:id w:val="-886112623"/>
          <w:citation/>
        </w:sdtPr>
        <w:sdtEnd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0D00F7">
        <w:t xml:space="preserve">Unter Aufbaukosten werden die Aufwände für die </w:t>
      </w:r>
      <w:r w:rsidR="0081285F">
        <w:t xml:space="preserve">Ergänzung und Modifikation des Produkts sowie die Veröffentlichungen von unterschiedlichen Produktoptionen </w:t>
      </w:r>
      <w:r w:rsidR="000D00F7">
        <w:t>zusammengefasst</w:t>
      </w:r>
      <w:sdt>
        <w:sdtPr>
          <w:id w:val="1292715724"/>
          <w:citation/>
        </w:sdtPr>
        <w:sdtEnd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Durch die höheren Absatzzahlen lassen sich beim Einkauf und der Produktion Skaleneffekte realisieren, welche ebenfalls die Kosten senken</w:t>
      </w:r>
      <w:sdt>
        <w:sdtPr>
          <w:id w:val="1520886239"/>
          <w:citation/>
        </w:sdtPr>
        <w:sdtEnd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w:t>
      </w:r>
      <w:r w:rsidR="000D00F7">
        <w:t xml:space="preserve">jedoch </w:t>
      </w:r>
      <w:r w:rsidR="00702287">
        <w:t>der Wettbewerbsdruck entsprechend</w:t>
      </w:r>
      <w:sdt>
        <w:sdtPr>
          <w:id w:val="-329528819"/>
          <w:citation/>
        </w:sdtPr>
        <w:sdtEnd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0D00F7">
        <w:t>Das</w:t>
      </w:r>
      <w:r w:rsidR="0081285F">
        <w:t xml:space="preserve"> Ende der Phase </w:t>
      </w:r>
      <w:r w:rsidR="000D00F7">
        <w:t xml:space="preserve">ist erreicht, sobald das Umsatzwachstum am Höhepunkt ist, spätestens dann </w:t>
      </w:r>
      <w:r w:rsidR="0081285F">
        <w:t xml:space="preserve">sollten </w:t>
      </w:r>
      <w:r w:rsidR="0081285F">
        <w:lastRenderedPageBreak/>
        <w:t>die Voraussetzungen für</w:t>
      </w:r>
      <w:r w:rsidR="00F74F2B">
        <w:t xml:space="preserve"> ein Nachfolgeprodukt geschaffen sein</w:t>
      </w:r>
      <w:sdt>
        <w:sdtPr>
          <w:id w:val="1510791048"/>
          <w:citation/>
        </w:sdtPr>
        <w:sdtEndPr/>
        <w:sdtContent>
          <w:r w:rsidR="00F74F2B">
            <w:fldChar w:fldCharType="begin"/>
          </w:r>
          <w:r w:rsidR="00602E95">
            <w:instrText xml:space="preserve">CITATION Kai04 \p "S. 62" \m Len06 \p "S. 20" \l 1031 </w:instrText>
          </w:r>
          <w:r w:rsidR="00F74F2B">
            <w:fldChar w:fldCharType="separate"/>
          </w:r>
          <w:r w:rsidR="00602E95">
            <w:rPr>
              <w:noProof/>
            </w:rPr>
            <w:t xml:space="preserve"> (Kairies 2004, S. 62, Lennertz 2006, S. 20)</w:t>
          </w:r>
          <w:r w:rsidR="00F74F2B">
            <w:fldChar w:fldCharType="end"/>
          </w:r>
        </w:sdtContent>
      </w:sdt>
      <w:r w:rsidR="000D00F7">
        <w:t>.</w:t>
      </w:r>
    </w:p>
    <w:p w14:paraId="67320CF7" w14:textId="5ECEC53F" w:rsidR="00BC71A2" w:rsidRPr="00BC71A2" w:rsidRDefault="00602E95" w:rsidP="00BC71A2">
      <w:r>
        <w:t>Die Phasenbeschreibung des Wachstums zeigt, dass die Risiken bezüglich der zeitlichen Dimension im Gegensatz zu den vorherigen Phasen nicht mehr im Vordergrund stehen. Weiterhin relevant ist das Qualitätsrisiko</w:t>
      </w:r>
      <w:r w:rsidR="00534262">
        <w:t>,</w:t>
      </w:r>
      <w:r>
        <w:t xml:space="preserve"> da es</w:t>
      </w:r>
      <w:r w:rsidR="00534262">
        <w:t xml:space="preserve"> </w:t>
      </w:r>
      <w:r>
        <w:t>entscheidend für den Ausbau der Marktanteile ist. Dazu steigt die Bedeutung des Kostenrisikos, da</w:t>
      </w:r>
      <w:r w:rsidR="00534262">
        <w:t xml:space="preserve"> im Fokus die Kostensenkung steht. Beide Risiken sind von entscheidender Bedeutung für die Durchsetzung gegen den Wettbewerb.</w:t>
      </w:r>
    </w:p>
    <w:p w14:paraId="534DD47A" w14:textId="3B30F4AB" w:rsidR="00461FAA" w:rsidRDefault="00921A03" w:rsidP="00E67FF7">
      <w:pPr>
        <w:pStyle w:val="berschrift2"/>
      </w:pPr>
      <w:bookmarkStart w:id="54" w:name="_Ref455738794"/>
      <w:bookmarkStart w:id="55" w:name="_Toc456884969"/>
      <w:r>
        <w:t>Reife</w:t>
      </w:r>
      <w:bookmarkEnd w:id="54"/>
      <w:bookmarkEnd w:id="55"/>
    </w:p>
    <w:p w14:paraId="565008ED" w14:textId="3D71F49A"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 xml:space="preserve">stagnierende und </w:t>
      </w:r>
      <w:r w:rsidR="00973440">
        <w:t>ggf.</w:t>
      </w:r>
      <w:r w:rsidR="00702287">
        <w:t xml:space="preserve"> </w:t>
      </w:r>
      <w:r w:rsidR="00A95269">
        <w:t>rückläufige Wachstumsraten und Deckungsbeiträge</w:t>
      </w:r>
      <w:r w:rsidR="00162FA4">
        <w:t xml:space="preserve"> aus</w:t>
      </w:r>
      <w:sdt>
        <w:sdtPr>
          <w:id w:val="-810252064"/>
          <w:citation/>
        </w:sdtPr>
        <w:sdtEndPr/>
        <w:sdtContent>
          <w:r w:rsidR="00A95269">
            <w:fldChar w:fldCharType="begin"/>
          </w:r>
          <w:r w:rsidR="00090467">
            <w:instrText xml:space="preserve">CITATION Aum09 \p "S. 295" \m Kai04 \p "S. 62" \m Len06 \p "S. 20" \l 1031 </w:instrText>
          </w:r>
          <w:r w:rsidR="00A95269">
            <w:fldChar w:fldCharType="separate"/>
          </w:r>
          <w:r w:rsidR="00090467">
            <w:rPr>
              <w:noProof/>
            </w:rPr>
            <w:t xml:space="preserve"> (Aumayr 2009, S. 295, Kairies 2004, S. 62, Lennertz 2006, S. 20)</w:t>
          </w:r>
          <w:r w:rsidR="00A95269">
            <w:fldChar w:fldCharType="end"/>
          </w:r>
        </w:sdtContent>
      </w:sdt>
      <w:r w:rsidR="00A95269">
        <w:t>.</w:t>
      </w:r>
      <w:r w:rsidR="00702287">
        <w:t xml:space="preserve"> Nach und nach </w:t>
      </w:r>
      <w:r w:rsidR="00162FA4">
        <w:t>kann</w:t>
      </w:r>
      <w:r w:rsidR="00702287">
        <w:t xml:space="preserve"> </w:t>
      </w:r>
      <w:r w:rsidR="00162FA4">
        <w:t xml:space="preserve">zwar </w:t>
      </w:r>
      <w:r w:rsidR="00702287">
        <w:t xml:space="preserve">die späte Mehrheit als </w:t>
      </w:r>
      <w:r w:rsidR="00162FA4">
        <w:t>Kunden</w:t>
      </w:r>
      <w:r w:rsidR="00702287">
        <w:t xml:space="preserve"> gewonnen werden</w:t>
      </w:r>
      <w:r w:rsidR="00162FA4">
        <w:t>, doch das dauert länger als bei den vorherigen Kundengruppen</w:t>
      </w:r>
      <w:sdt>
        <w:sdtPr>
          <w:id w:val="-1372375333"/>
          <w:citation/>
        </w:sdtPr>
        <w:sdtEndPr/>
        <w:sdtContent>
          <w:r w:rsidR="00162FA4">
            <w:fldChar w:fldCharType="begin"/>
          </w:r>
          <w:r w:rsidR="00162FA4">
            <w:instrText xml:space="preserve">CITATION Aum09 \p "S. 305" \l 1031 </w:instrText>
          </w:r>
          <w:r w:rsidR="00162FA4">
            <w:fldChar w:fldCharType="separate"/>
          </w:r>
          <w:r w:rsidR="00162FA4">
            <w:rPr>
              <w:noProof/>
            </w:rPr>
            <w:t xml:space="preserve"> (Aumayr 2009, S. 305)</w:t>
          </w:r>
          <w:r w:rsidR="00162FA4">
            <w:fldChar w:fldCharType="end"/>
          </w:r>
        </w:sdtContent>
      </w:sdt>
      <w:r w:rsidR="00162FA4">
        <w:t>. Dafür fallen die</w:t>
      </w:r>
      <w:r w:rsidR="00702287">
        <w:t xml:space="preserve"> Erhaltungskosten </w:t>
      </w:r>
      <w:r w:rsidR="00312900">
        <w:t>geringer aus, da der Ä</w:t>
      </w:r>
      <w:r w:rsidR="00162FA4">
        <w:t xml:space="preserve">nderungsbedarf aufgrund der </w:t>
      </w:r>
      <w:r w:rsidR="00BD63D2">
        <w:t xml:space="preserve">eher </w:t>
      </w:r>
      <w:r w:rsidR="00162FA4">
        <w:t xml:space="preserve">vorhersagbaren Marktentwicklung </w:t>
      </w:r>
      <w:r w:rsidR="00973440">
        <w:t>niedriger</w:t>
      </w:r>
      <w:r w:rsidR="00162FA4">
        <w:t xml:space="preserve"> </w:t>
      </w:r>
      <w:r w:rsidR="00973440">
        <w:t>ist</w:t>
      </w:r>
      <w:r w:rsidR="00702287">
        <w:t xml:space="preserve"> </w:t>
      </w:r>
      <w:sdt>
        <w:sdtPr>
          <w:id w:val="-497654895"/>
          <w:citation/>
        </w:sdtPr>
        <w:sdtEndPr/>
        <w:sdtContent>
          <w:r w:rsidR="00702287">
            <w:fldChar w:fldCharType="begin"/>
          </w:r>
          <w:r w:rsidR="00973440">
            <w:instrText xml:space="preserve">CITATION Aum09 \p "S. 305" \m Pic14 \p "S. 39" \l 1031 </w:instrText>
          </w:r>
          <w:r w:rsidR="00702287">
            <w:fldChar w:fldCharType="separate"/>
          </w:r>
          <w:r w:rsidR="00973440">
            <w:rPr>
              <w:noProof/>
            </w:rPr>
            <w:t>(Aumayr 2009, S. 305, Pichler 2014, S. 39)</w:t>
          </w:r>
          <w:r w:rsidR="00702287">
            <w:fldChar w:fldCharType="end"/>
          </w:r>
        </w:sdtContent>
      </w:sdt>
      <w:r w:rsidR="00702287">
        <w:t>.</w:t>
      </w:r>
      <w:r w:rsidR="001852CF">
        <w:t xml:space="preserve"> </w:t>
      </w:r>
      <w:r w:rsidR="00973440">
        <w:t xml:space="preserve">Im Fokus der Phase stehen als </w:t>
      </w:r>
      <w:r w:rsidR="00702287">
        <w:t>Ziele die Sicherung der Marktanteile sowie die Gewinnoptimierung</w:t>
      </w:r>
      <w:sdt>
        <w:sdtPr>
          <w:id w:val="-676890199"/>
          <w:citation/>
        </w:sdtPr>
        <w:sdtEnd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w:t>
      </w:r>
      <w:r w:rsidR="00EF23C5">
        <w:t>durch Alleinstellungsmerkmale</w:t>
      </w:r>
      <w:r w:rsidR="00F74F2B">
        <w:t xml:space="preserve"> entscheidend</w:t>
      </w:r>
      <w:r w:rsidR="00973440">
        <w:t>, auch wenn der Konkurrenzdruck nicht mehr weiter steigt</w:t>
      </w:r>
      <w:sdt>
        <w:sdtPr>
          <w:id w:val="580027713"/>
          <w:citation/>
        </w:sdtPr>
        <w:sdtEndPr/>
        <w:sdtContent>
          <w:r w:rsidR="00F74F2B">
            <w:fldChar w:fldCharType="begin"/>
          </w:r>
          <w:r w:rsidR="00973440">
            <w:instrText xml:space="preserve">CITATION Kai04 \p "S. 63" \m Aum09 \p "S. 305" \l 1031 </w:instrText>
          </w:r>
          <w:r w:rsidR="00F74F2B">
            <w:fldChar w:fldCharType="separate"/>
          </w:r>
          <w:r w:rsidR="00973440">
            <w:rPr>
              <w:noProof/>
            </w:rPr>
            <w:t xml:space="preserve"> (Kairies 2004, S. 63, Aumayr 2009, S. 305)</w:t>
          </w:r>
          <w:r w:rsidR="00F74F2B">
            <w:fldChar w:fldCharType="end"/>
          </w:r>
        </w:sdtContent>
      </w:sdt>
      <w:r w:rsidR="00F74F2B">
        <w:t xml:space="preserve">. </w:t>
      </w:r>
      <w:r w:rsidR="00EF23C5">
        <w:t>Aufgrund des rückläufigen Wachstums, sollte m</w:t>
      </w:r>
      <w:r w:rsidR="00F74F2B">
        <w:t>i</w:t>
      </w:r>
      <w:r w:rsidR="00EF23C5">
        <w:t>t Erreichen der Sättigung</w:t>
      </w:r>
      <w:r w:rsidR="00F74F2B">
        <w:t xml:space="preserve"> das Nachfolgeprodukt </w:t>
      </w:r>
      <w:r w:rsidR="00EC4946">
        <w:t>fertig entwickelt sein und ersten Kunden verkündet werden</w:t>
      </w:r>
      <w:sdt>
        <w:sdtPr>
          <w:id w:val="1573384343"/>
          <w:citation/>
        </w:sdtPr>
        <w:sdtEnd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1FF3572B" w14:textId="3889B79D" w:rsidR="00E8229F" w:rsidRPr="00E8229F" w:rsidRDefault="00EF23C5" w:rsidP="00E8229F">
      <w:r>
        <w:t xml:space="preserve">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wichtige Rolle </w:t>
      </w:r>
      <w:r w:rsidR="00BD63D2">
        <w:t>bei</w:t>
      </w:r>
      <w:r>
        <w:t xml:space="preserve"> der Sicherung der Marktanteile, da sie auch als Alleinstellungsmerkmal gesehen werden kann.</w:t>
      </w:r>
    </w:p>
    <w:p w14:paraId="6BDD2C73" w14:textId="38BD2F4C" w:rsidR="00461FAA" w:rsidRDefault="000F467E" w:rsidP="00E67FF7">
      <w:pPr>
        <w:pStyle w:val="berschrift2"/>
      </w:pPr>
      <w:bookmarkStart w:id="56" w:name="_Ref455738545"/>
      <w:bookmarkStart w:id="57" w:name="_Ref455738900"/>
      <w:bookmarkStart w:id="58" w:name="_Toc456884970"/>
      <w:r>
        <w:t>Entsorgung</w:t>
      </w:r>
      <w:bookmarkEnd w:id="56"/>
      <w:bookmarkEnd w:id="57"/>
      <w:bookmarkEnd w:id="58"/>
    </w:p>
    <w:p w14:paraId="0EF13657" w14:textId="28B0BDD0"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7C2367">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End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Produkts und die Kostensenkung, da nur noch Nachzügler als Kunden gewonnen werden können</w:t>
      </w:r>
      <w:r w:rsidR="00EC4946">
        <w:t xml:space="preserve">, </w:t>
      </w:r>
      <w:r w:rsidR="007C2367">
        <w:t>aufgrund der fehlenden K</w:t>
      </w:r>
      <w:r w:rsidR="00EC4946">
        <w:t>onkurrenzfähig</w:t>
      </w:r>
      <w:r w:rsidR="007C2367">
        <w:t>keit</w:t>
      </w:r>
      <w:sdt>
        <w:sdtPr>
          <w:id w:val="673537305"/>
          <w:citation/>
        </w:sdtPr>
        <w:sdtEnd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w:t>
          </w:r>
          <w:r w:rsidR="00EC4946">
            <w:rPr>
              <w:noProof/>
            </w:rPr>
            <w:lastRenderedPageBreak/>
            <w:t>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End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End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End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End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End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End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1F6EA51D" w14:textId="0AA1DE20" w:rsidR="007C2367" w:rsidRDefault="00154BC1" w:rsidP="00E8229F">
      <w:r>
        <w:t>Die Entsorgungsphase weist</w:t>
      </w:r>
      <w:r w:rsidR="007C2367">
        <w:t xml:space="preserve"> </w:t>
      </w:r>
      <w:r w:rsidR="001B2E93">
        <w:t>erneut ähnliche Risikotypen</w:t>
      </w:r>
      <w:r w:rsidR="007C2367">
        <w:t xml:space="preserve"> </w:t>
      </w:r>
      <w:r>
        <w:t>wie die beiden</w:t>
      </w:r>
      <w:r w:rsidR="007C2367">
        <w:t xml:space="preserve"> Phasen davor auf. </w:t>
      </w:r>
      <w:r w:rsidR="00E04A06">
        <w:t xml:space="preserve">Aufgrund der bevorstehenden Elimination des Produkts erfolgt keine Weiterentwicklung mehr, welche zeitlichen Risiken ausgesetzt sein könnte. </w:t>
      </w:r>
      <w:r>
        <w:t>D</w:t>
      </w:r>
      <w:r w:rsidR="00E04A06">
        <w:t xml:space="preserve">as Qualitätsrisiko liegt in dieser Phase </w:t>
      </w:r>
      <w:r>
        <w:t>weiterhin</w:t>
      </w:r>
      <w:r w:rsidR="00E04A06">
        <w:t xml:space="preserve"> vor, da die </w:t>
      </w:r>
      <w:r>
        <w:t>bestehenden Kunden solange wie möglich gehalten werden sollen und beim Produktwechsel nicht aufgrund negativer Erfahrung, z. B. aufgrund mangelhafter Verfügbarkeit oder Performanz, den Anbieter wechseln sollen. Eine schlechte Qualität würde auch die Kosten für dringend notwendige Anpassungen (schwerwiegende Fehler, Sicherheitslücken oder Änderung von rechtlichen Rahmenbedingungen) erhöhen. I</w:t>
      </w:r>
      <w:r w:rsidR="00E04A06">
        <w:t xml:space="preserve">m Zentrum der Phase steht </w:t>
      </w:r>
      <w:r>
        <w:t xml:space="preserve">demnach </w:t>
      </w:r>
      <w:r w:rsidR="00E04A06">
        <w:t xml:space="preserve">die Einsparung von Kosten </w:t>
      </w:r>
      <w:r>
        <w:t>unter Beibehaltung eines akzeptablen Qualitätsniveaus.</w:t>
      </w:r>
      <w:r w:rsidR="00E04A06">
        <w:t xml:space="preserve"> </w:t>
      </w:r>
    </w:p>
    <w:p w14:paraId="516F60D8" w14:textId="348E36EE" w:rsidR="00175F2D" w:rsidRDefault="00175F2D" w:rsidP="00E67FF7">
      <w:pPr>
        <w:pStyle w:val="berschrift2"/>
      </w:pPr>
      <w:bookmarkStart w:id="59" w:name="_Ref451345102"/>
      <w:bookmarkStart w:id="60" w:name="_Toc456884971"/>
      <w:r>
        <w:t>Zusammenf</w:t>
      </w:r>
      <w:r w:rsidR="0007273A">
        <w:t xml:space="preserve">assung der Risiken </w:t>
      </w:r>
      <w:r w:rsidR="0074599A">
        <w:t>in den</w:t>
      </w:r>
      <w:r>
        <w:t xml:space="preserve"> Phasen</w:t>
      </w:r>
      <w:bookmarkEnd w:id="59"/>
      <w:bookmarkEnd w:id="60"/>
    </w:p>
    <w:p w14:paraId="59F7BBD9" w14:textId="2DF914C1" w:rsidR="00E67FF7" w:rsidRPr="00E04A06" w:rsidRDefault="00E04A06" w:rsidP="00E67FF7">
      <w:r>
        <w:t>Die Betrachtung der unterschiedlichen Phasen in den vorherigen Kapiteln hat die Annahme</w:t>
      </w:r>
      <w:r w:rsidR="00906349">
        <w:t xml:space="preserve"> der verschiedenen Risikotypen</w:t>
      </w:r>
      <w:r>
        <w:t xml:space="preserve"> bestätigt. Während zu Beginn des Lebenszyklus das zeitliche Risiko domini</w:t>
      </w:r>
      <w:r w:rsidR="00154BC1">
        <w:t>ert und das Qualitätsrisiko</w:t>
      </w:r>
      <w:r>
        <w:t xml:space="preserve"> im gesamten Verlauf relevant ist, sind die Kosten erst nach der Etablierung des Produkts am Markt ein Risiko</w:t>
      </w:r>
      <w:r w:rsidR="00AD0A40">
        <w:t>, da sie vorher eine untergeordnete Rolle spielen</w:t>
      </w:r>
      <w:r>
        <w:t xml:space="preserve">. Diese Ausführungen zeigen weiterhin, dass anhand des Produktlebenszyklus </w:t>
      </w:r>
      <w:r w:rsidR="00154BC1">
        <w:t>drei</w:t>
      </w:r>
      <w:r>
        <w:t xml:space="preserve"> verschiedene Risikotypen identifiziert werden können: die Zeit, die Qualität und die Kosten. </w:t>
      </w:r>
      <w:r w:rsidR="00FB54F6">
        <w:t xml:space="preserve">Letztendlich lassen sich die Risiken der Zeit und der Qualität natürlich auch in Form von Kosten darstellen, da z. B. die Verzögerung einer Veröffentlichung zu weniger Umsatz führt </w:t>
      </w:r>
      <w:r w:rsidR="00154BC1">
        <w:t xml:space="preserve">(Opportunitätskosten) </w:t>
      </w:r>
      <w:r w:rsidR="00FB54F6">
        <w:t xml:space="preserve">und schlechte Qualität zu höheren Kosten </w:t>
      </w:r>
      <w:r w:rsidR="006E3E0F">
        <w:t xml:space="preserve">beispielsweise </w:t>
      </w:r>
      <w:r w:rsidR="00FB54F6">
        <w:t xml:space="preserve">aufgrund </w:t>
      </w:r>
      <w:r w:rsidR="006E3E0F">
        <w:t>einer höheren Nachbesserungsquote führt. Da sich der hier genannte Risikotyp Kosten aber eher auf direkten Aufwand als auf Folgekosten bezieht, ist die Unterscheidung trotzdem gerechtfertigt.</w:t>
      </w:r>
      <w:r w:rsidR="00FB54F6">
        <w:t xml:space="preserve"> </w:t>
      </w:r>
      <w:r>
        <w:t xml:space="preserve">Zusammenfassend für das Kapitel 3 erfolgt in </w:t>
      </w:r>
      <w:r w:rsidR="00692308">
        <w:fldChar w:fldCharType="begin"/>
      </w:r>
      <w:r w:rsidR="00692308">
        <w:instrText xml:space="preserve"> REF _Ref450759520 \h </w:instrText>
      </w:r>
      <w:r w:rsidR="00692308">
        <w:fldChar w:fldCharType="separate"/>
      </w:r>
      <w:r w:rsidR="00692308">
        <w:t xml:space="preserve">Tabelle </w:t>
      </w:r>
      <w:r w:rsidR="00692308">
        <w:rPr>
          <w:noProof/>
        </w:rPr>
        <w:t>3</w:t>
      </w:r>
      <w:r w:rsidR="00692308">
        <w:t>.</w:t>
      </w:r>
      <w:r w:rsidR="00692308">
        <w:rPr>
          <w:noProof/>
        </w:rPr>
        <w:t>1</w:t>
      </w:r>
      <w:r w:rsidR="00692308">
        <w:fldChar w:fldCharType="end"/>
      </w:r>
      <w:r w:rsidR="00692308">
        <w:t xml:space="preserve"> </w:t>
      </w:r>
      <w:r>
        <w:t xml:space="preserve">eine Zuordnung dieser Risikotypen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14:paraId="2E6990FF" w14:textId="77777777" w:rsidTr="007C2367">
        <w:trPr>
          <w:trHeight w:val="230"/>
        </w:trPr>
        <w:tc>
          <w:tcPr>
            <w:tcW w:w="2090" w:type="dxa"/>
            <w:vMerge w:val="restart"/>
            <w:shd w:val="clear" w:color="auto" w:fill="595959" w:themeFill="text1" w:themeFillTint="A6"/>
            <w:vAlign w:val="center"/>
          </w:tcPr>
          <w:p w14:paraId="3F979BF4" w14:textId="784E9C7D" w:rsidR="00623CCD" w:rsidRPr="00E61E9A" w:rsidRDefault="00623CCD" w:rsidP="007C2367">
            <w:pPr>
              <w:jc w:val="center"/>
              <w:rPr>
                <w:color w:val="FFFFFF" w:themeColor="background1"/>
              </w:rPr>
            </w:pPr>
            <w:r w:rsidRPr="00E61E9A">
              <w:rPr>
                <w:color w:val="FFFFFF" w:themeColor="background1"/>
              </w:rPr>
              <w:lastRenderedPageBreak/>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14:paraId="2D0B87E8" w14:textId="79A7C762"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14:paraId="63F6945B" w14:textId="77777777" w:rsidTr="00E61E9A">
        <w:trPr>
          <w:trHeight w:val="230"/>
        </w:trPr>
        <w:tc>
          <w:tcPr>
            <w:tcW w:w="2090" w:type="dxa"/>
            <w:vMerge/>
            <w:shd w:val="clear" w:color="auto" w:fill="595959" w:themeFill="text1" w:themeFillTint="A6"/>
          </w:tcPr>
          <w:p w14:paraId="7EA07F42" w14:textId="77777777" w:rsidR="00623CCD" w:rsidRPr="00E61E9A" w:rsidRDefault="00623CCD" w:rsidP="00E67FF7"/>
        </w:tc>
        <w:tc>
          <w:tcPr>
            <w:tcW w:w="2090" w:type="dxa"/>
            <w:shd w:val="clear" w:color="auto" w:fill="D9D9D9" w:themeFill="background1" w:themeFillShade="D9"/>
          </w:tcPr>
          <w:p w14:paraId="6E3EF98A" w14:textId="1A24A150" w:rsidR="00623CCD" w:rsidRPr="00E61E9A" w:rsidRDefault="00623CCD" w:rsidP="00E67FF7">
            <w:r w:rsidRPr="00E61E9A">
              <w:t>Zeit</w:t>
            </w:r>
          </w:p>
        </w:tc>
        <w:tc>
          <w:tcPr>
            <w:tcW w:w="2090" w:type="dxa"/>
            <w:shd w:val="clear" w:color="auto" w:fill="D9D9D9" w:themeFill="background1" w:themeFillShade="D9"/>
          </w:tcPr>
          <w:p w14:paraId="00F81900" w14:textId="0A4D3675" w:rsidR="00623CCD" w:rsidRPr="00E61E9A" w:rsidRDefault="00623CCD" w:rsidP="00E67FF7">
            <w:r w:rsidRPr="00E61E9A">
              <w:t>Qualität</w:t>
            </w:r>
          </w:p>
        </w:tc>
        <w:tc>
          <w:tcPr>
            <w:tcW w:w="2090" w:type="dxa"/>
            <w:shd w:val="clear" w:color="auto" w:fill="D9D9D9" w:themeFill="background1" w:themeFillShade="D9"/>
          </w:tcPr>
          <w:p w14:paraId="48E3BDD6" w14:textId="4F2EE96A" w:rsidR="00623CCD" w:rsidRPr="00E61E9A" w:rsidRDefault="00623CCD" w:rsidP="00E67FF7">
            <w:r w:rsidRPr="00E61E9A">
              <w:t>Kosten</w:t>
            </w:r>
          </w:p>
        </w:tc>
      </w:tr>
      <w:tr w:rsidR="00623CCD" w14:paraId="2ED222E8" w14:textId="77777777" w:rsidTr="007C2367">
        <w:tc>
          <w:tcPr>
            <w:tcW w:w="2090" w:type="dxa"/>
            <w:shd w:val="clear" w:color="auto" w:fill="D9D9D9" w:themeFill="background1" w:themeFillShade="D9"/>
          </w:tcPr>
          <w:p w14:paraId="22EC4594" w14:textId="7E19146A" w:rsidR="00623CCD" w:rsidRPr="00006BFE" w:rsidRDefault="00623CCD" w:rsidP="00E67FF7">
            <w:r w:rsidRPr="00006BFE">
              <w:t>Entwicklung</w:t>
            </w:r>
          </w:p>
        </w:tc>
        <w:tc>
          <w:tcPr>
            <w:tcW w:w="2090" w:type="dxa"/>
            <w:shd w:val="clear" w:color="auto" w:fill="FFC000"/>
          </w:tcPr>
          <w:p w14:paraId="5D36086B" w14:textId="1073E0ED" w:rsidR="00623CCD" w:rsidRPr="00006BFE" w:rsidRDefault="00B9579B" w:rsidP="00E67FF7">
            <w:r w:rsidRPr="00006BFE">
              <w:t>ja</w:t>
            </w:r>
          </w:p>
        </w:tc>
        <w:tc>
          <w:tcPr>
            <w:tcW w:w="2090" w:type="dxa"/>
            <w:shd w:val="clear" w:color="auto" w:fill="FFC000"/>
          </w:tcPr>
          <w:p w14:paraId="7CEDDFE9" w14:textId="4888AB81" w:rsidR="00623CCD" w:rsidRPr="00006BFE" w:rsidRDefault="00B9579B" w:rsidP="00E67FF7">
            <w:r w:rsidRPr="00006BFE">
              <w:t>ja</w:t>
            </w:r>
          </w:p>
        </w:tc>
        <w:tc>
          <w:tcPr>
            <w:tcW w:w="2090" w:type="dxa"/>
          </w:tcPr>
          <w:p w14:paraId="4CB3F530" w14:textId="3E2851AD" w:rsidR="00623CCD" w:rsidRPr="00006BFE" w:rsidRDefault="00B9579B" w:rsidP="00E67FF7">
            <w:r w:rsidRPr="00006BFE">
              <w:t>nein</w:t>
            </w:r>
          </w:p>
        </w:tc>
      </w:tr>
      <w:tr w:rsidR="00623CCD" w14:paraId="3EBA647B" w14:textId="77777777" w:rsidTr="007C2367">
        <w:trPr>
          <w:trHeight w:val="631"/>
        </w:trPr>
        <w:tc>
          <w:tcPr>
            <w:tcW w:w="2090" w:type="dxa"/>
            <w:shd w:val="clear" w:color="auto" w:fill="D9D9D9" w:themeFill="background1" w:themeFillShade="D9"/>
          </w:tcPr>
          <w:p w14:paraId="4E91EA68" w14:textId="664BC135" w:rsidR="00623CCD" w:rsidRPr="00006BFE" w:rsidRDefault="00B9579B" w:rsidP="00E67FF7">
            <w:r w:rsidRPr="00006BFE">
              <w:t>Einführung</w:t>
            </w:r>
          </w:p>
        </w:tc>
        <w:tc>
          <w:tcPr>
            <w:tcW w:w="2090" w:type="dxa"/>
            <w:shd w:val="clear" w:color="auto" w:fill="FFC000"/>
          </w:tcPr>
          <w:p w14:paraId="4EDA869A" w14:textId="54E08FA0" w:rsidR="00623CCD" w:rsidRPr="00006BFE" w:rsidRDefault="00006BFE" w:rsidP="00E67FF7">
            <w:r w:rsidRPr="00006BFE">
              <w:t>ja</w:t>
            </w:r>
          </w:p>
        </w:tc>
        <w:tc>
          <w:tcPr>
            <w:tcW w:w="2090" w:type="dxa"/>
            <w:shd w:val="clear" w:color="auto" w:fill="FFC000"/>
          </w:tcPr>
          <w:p w14:paraId="306A8E39" w14:textId="45F2D5E0" w:rsidR="00623CCD" w:rsidRPr="00006BFE" w:rsidRDefault="00006BFE" w:rsidP="00E67FF7">
            <w:r w:rsidRPr="00006BFE">
              <w:t>ja</w:t>
            </w:r>
          </w:p>
        </w:tc>
        <w:tc>
          <w:tcPr>
            <w:tcW w:w="2090" w:type="dxa"/>
          </w:tcPr>
          <w:p w14:paraId="02DEF71A" w14:textId="7C5C700C" w:rsidR="00623CCD" w:rsidRPr="00006BFE" w:rsidRDefault="00006BFE" w:rsidP="00E67FF7">
            <w:r w:rsidRPr="00006BFE">
              <w:t>nein</w:t>
            </w:r>
          </w:p>
        </w:tc>
      </w:tr>
      <w:tr w:rsidR="00623CCD" w14:paraId="30B0E710" w14:textId="77777777" w:rsidTr="007C2367">
        <w:tc>
          <w:tcPr>
            <w:tcW w:w="2090" w:type="dxa"/>
            <w:shd w:val="clear" w:color="auto" w:fill="D9D9D9" w:themeFill="background1" w:themeFillShade="D9"/>
          </w:tcPr>
          <w:p w14:paraId="0FAD99D5" w14:textId="033FEEB1" w:rsidR="00623CCD" w:rsidRPr="00534262" w:rsidRDefault="00B9579B" w:rsidP="00E67FF7">
            <w:r w:rsidRPr="00534262">
              <w:t>Wachstum</w:t>
            </w:r>
          </w:p>
        </w:tc>
        <w:tc>
          <w:tcPr>
            <w:tcW w:w="2090" w:type="dxa"/>
          </w:tcPr>
          <w:p w14:paraId="11F32E03" w14:textId="4527F99D" w:rsidR="00623CCD" w:rsidRPr="00534262" w:rsidRDefault="00E61E9A" w:rsidP="00E67FF7">
            <w:r w:rsidRPr="00534262">
              <w:t>nein</w:t>
            </w:r>
          </w:p>
        </w:tc>
        <w:tc>
          <w:tcPr>
            <w:tcW w:w="2090" w:type="dxa"/>
            <w:shd w:val="clear" w:color="auto" w:fill="FFC000"/>
          </w:tcPr>
          <w:p w14:paraId="3938F452" w14:textId="35C273CB" w:rsidR="00E61E9A" w:rsidRPr="00534262" w:rsidRDefault="007C2367" w:rsidP="00E67FF7">
            <w:r>
              <w:t>j</w:t>
            </w:r>
            <w:r w:rsidR="00E61E9A" w:rsidRPr="00534262">
              <w:t>a</w:t>
            </w:r>
          </w:p>
        </w:tc>
        <w:tc>
          <w:tcPr>
            <w:tcW w:w="2090" w:type="dxa"/>
            <w:shd w:val="clear" w:color="auto" w:fill="FFC000"/>
          </w:tcPr>
          <w:p w14:paraId="5901AF5A" w14:textId="285EA47C" w:rsidR="00623CCD" w:rsidRPr="00534262" w:rsidRDefault="007C2367" w:rsidP="00E67FF7">
            <w:r>
              <w:t>j</w:t>
            </w:r>
            <w:r w:rsidR="00E61E9A" w:rsidRPr="00534262">
              <w:t>a</w:t>
            </w:r>
          </w:p>
        </w:tc>
      </w:tr>
      <w:tr w:rsidR="00623CCD" w14:paraId="0B942514" w14:textId="77777777" w:rsidTr="007C2367">
        <w:tc>
          <w:tcPr>
            <w:tcW w:w="2090" w:type="dxa"/>
            <w:shd w:val="clear" w:color="auto" w:fill="D9D9D9" w:themeFill="background1" w:themeFillShade="D9"/>
          </w:tcPr>
          <w:p w14:paraId="0D9D22B6" w14:textId="753B7444" w:rsidR="00623CCD" w:rsidRPr="00EF23C5" w:rsidRDefault="00B9579B" w:rsidP="00E67FF7">
            <w:r w:rsidRPr="00EF23C5">
              <w:t>Reife</w:t>
            </w:r>
          </w:p>
        </w:tc>
        <w:tc>
          <w:tcPr>
            <w:tcW w:w="2090" w:type="dxa"/>
          </w:tcPr>
          <w:p w14:paraId="6049680C" w14:textId="4952171A" w:rsidR="00623CCD" w:rsidRPr="00EF23C5" w:rsidRDefault="007C2367" w:rsidP="00E67FF7">
            <w:r>
              <w:t>n</w:t>
            </w:r>
            <w:r w:rsidR="00E61E9A" w:rsidRPr="00EF23C5">
              <w:t>ein</w:t>
            </w:r>
          </w:p>
        </w:tc>
        <w:tc>
          <w:tcPr>
            <w:tcW w:w="2090" w:type="dxa"/>
            <w:shd w:val="clear" w:color="auto" w:fill="FFC000"/>
          </w:tcPr>
          <w:p w14:paraId="7B297C95" w14:textId="74D28903" w:rsidR="00623CCD" w:rsidRPr="00EF23C5" w:rsidRDefault="007C2367" w:rsidP="00E67FF7">
            <w:r>
              <w:t>j</w:t>
            </w:r>
            <w:r w:rsidR="00E61E9A" w:rsidRPr="00EF23C5">
              <w:t>a</w:t>
            </w:r>
          </w:p>
        </w:tc>
        <w:tc>
          <w:tcPr>
            <w:tcW w:w="2090" w:type="dxa"/>
            <w:shd w:val="clear" w:color="auto" w:fill="FFC000"/>
          </w:tcPr>
          <w:p w14:paraId="019D535F" w14:textId="42B6CB87" w:rsidR="00623CCD" w:rsidRPr="00EF23C5" w:rsidRDefault="007C2367" w:rsidP="00E67FF7">
            <w:r>
              <w:t>j</w:t>
            </w:r>
            <w:r w:rsidR="00E61E9A" w:rsidRPr="00EF23C5">
              <w:t>a</w:t>
            </w:r>
          </w:p>
        </w:tc>
      </w:tr>
      <w:tr w:rsidR="00623CCD" w14:paraId="4FCB77C8" w14:textId="77777777" w:rsidTr="00154BC1">
        <w:tc>
          <w:tcPr>
            <w:tcW w:w="2090" w:type="dxa"/>
            <w:shd w:val="clear" w:color="auto" w:fill="D9D9D9" w:themeFill="background1" w:themeFillShade="D9"/>
          </w:tcPr>
          <w:p w14:paraId="4D5F2145" w14:textId="1B77E61A" w:rsidR="00623CCD" w:rsidRPr="00E04A06" w:rsidRDefault="00B9579B" w:rsidP="00E67FF7">
            <w:r w:rsidRPr="00E04A06">
              <w:t>Entsorgung</w:t>
            </w:r>
          </w:p>
        </w:tc>
        <w:tc>
          <w:tcPr>
            <w:tcW w:w="2090" w:type="dxa"/>
          </w:tcPr>
          <w:p w14:paraId="558C3177" w14:textId="4069834A" w:rsidR="00623CCD" w:rsidRPr="00E04A06" w:rsidRDefault="00E04A06" w:rsidP="00E67FF7">
            <w:r w:rsidRPr="00E04A06">
              <w:t>n</w:t>
            </w:r>
            <w:r w:rsidR="00E61E9A" w:rsidRPr="00E04A06">
              <w:t>ein</w:t>
            </w:r>
          </w:p>
        </w:tc>
        <w:tc>
          <w:tcPr>
            <w:tcW w:w="2090" w:type="dxa"/>
            <w:shd w:val="clear" w:color="auto" w:fill="FFC000"/>
          </w:tcPr>
          <w:p w14:paraId="7E5278D8" w14:textId="49ACD012" w:rsidR="00623CCD" w:rsidRPr="00E04A06" w:rsidRDefault="00154BC1" w:rsidP="00E67FF7">
            <w:r>
              <w:t>ja</w:t>
            </w:r>
          </w:p>
        </w:tc>
        <w:tc>
          <w:tcPr>
            <w:tcW w:w="2090" w:type="dxa"/>
            <w:shd w:val="clear" w:color="auto" w:fill="FFC000"/>
          </w:tcPr>
          <w:p w14:paraId="3CF2F5C6" w14:textId="47D51787" w:rsidR="00623CCD" w:rsidRPr="00E04A06" w:rsidRDefault="00E04A06" w:rsidP="00E61E9A">
            <w:pPr>
              <w:keepNext/>
            </w:pPr>
            <w:r w:rsidRPr="00E04A06">
              <w:t>j</w:t>
            </w:r>
            <w:r w:rsidR="00E61E9A" w:rsidRPr="00E04A06">
              <w:t>a</w:t>
            </w:r>
          </w:p>
        </w:tc>
      </w:tr>
    </w:tbl>
    <w:p w14:paraId="3BD5E0E0" w14:textId="3B348045" w:rsidR="00E61E9A" w:rsidRDefault="00E61E9A" w:rsidP="00E61E9A">
      <w:pPr>
        <w:pStyle w:val="Beschriftung"/>
      </w:pPr>
      <w:bookmarkStart w:id="61" w:name="_Ref450759520"/>
      <w:bookmarkStart w:id="62" w:name="_Toc456884995"/>
      <w:r>
        <w:t xml:space="preserve">Tabelle </w:t>
      </w:r>
      <w:r w:rsidR="005F5E76">
        <w:fldChar w:fldCharType="begin"/>
      </w:r>
      <w:r w:rsidR="005F5E76">
        <w:instrText xml:space="preserve"> STYLEREF 1 \s </w:instrText>
      </w:r>
      <w:r w:rsidR="005F5E76">
        <w:fldChar w:fldCharType="separate"/>
      </w:r>
      <w:r w:rsidR="00EA4433">
        <w:rPr>
          <w:noProof/>
        </w:rPr>
        <w:t>3</w:t>
      </w:r>
      <w:r w:rsidR="005F5E76">
        <w:rPr>
          <w:noProof/>
        </w:rPr>
        <w:fldChar w:fldCharType="end"/>
      </w:r>
      <w:r w:rsidR="00EA4433">
        <w:t>.</w:t>
      </w:r>
      <w:r w:rsidR="005F5E76">
        <w:fldChar w:fldCharType="begin"/>
      </w:r>
      <w:r w:rsidR="005F5E76">
        <w:instrText xml:space="preserve"> SEQ Tabelle \* ARABIC \s 1 </w:instrText>
      </w:r>
      <w:r w:rsidR="005F5E76">
        <w:fldChar w:fldCharType="separate"/>
      </w:r>
      <w:r w:rsidR="00EA4433">
        <w:rPr>
          <w:noProof/>
        </w:rPr>
        <w:t>1</w:t>
      </w:r>
      <w:r w:rsidR="005F5E76">
        <w:rPr>
          <w:noProof/>
        </w:rPr>
        <w:fldChar w:fldCharType="end"/>
      </w:r>
      <w:bookmarkEnd w:id="61"/>
      <w:r>
        <w:t>: Zuordnung Risikotypen zu Produktlebenszyklusphasen</w:t>
      </w:r>
      <w:bookmarkEnd w:id="62"/>
    </w:p>
    <w:p w14:paraId="04837DF2" w14:textId="43835C0B" w:rsidR="00E61E9A" w:rsidRDefault="00E61E9A" w:rsidP="00E61E9A">
      <w:pPr>
        <w:jc w:val="center"/>
      </w:pPr>
      <w:r>
        <w:t>Quelle: eigene Tabelle</w:t>
      </w:r>
    </w:p>
    <w:p w14:paraId="55E10D52" w14:textId="31C32EB4" w:rsidR="00692308" w:rsidRDefault="00692308" w:rsidP="00692308">
      <w:pPr>
        <w:jc w:val="left"/>
      </w:pPr>
      <w:r>
        <w:t xml:space="preserve">Die Darstellung in der </w:t>
      </w:r>
      <w:r>
        <w:fldChar w:fldCharType="begin"/>
      </w:r>
      <w:r>
        <w:instrText xml:space="preserve"> REF _Ref450759520 \h </w:instrText>
      </w:r>
      <w:r>
        <w:fldChar w:fldCharType="separate"/>
      </w:r>
      <w:r>
        <w:t xml:space="preserve">Tabelle </w:t>
      </w:r>
      <w:r>
        <w:rPr>
          <w:noProof/>
        </w:rPr>
        <w:t>3</w:t>
      </w:r>
      <w:r>
        <w:t>.</w:t>
      </w:r>
      <w:r>
        <w:rPr>
          <w:noProof/>
        </w:rPr>
        <w:t>1</w:t>
      </w:r>
      <w:r>
        <w:fldChar w:fldCharType="end"/>
      </w:r>
      <w:r>
        <w:t xml:space="preserve"> zeigt die Ähnlichkeit verschiedener Phasen</w:t>
      </w:r>
      <w:r w:rsidR="00A5132D">
        <w:t xml:space="preserve"> hinsichtlich der korrespondierenden Risikotypen</w:t>
      </w:r>
      <w:r>
        <w:t xml:space="preserve">. Dies ermöglicht für die Standardtypdefinition die Reduktion der Komplexität, da nicht für jede Produktlebenszyklusphase eine eigene Ausgestaltung der Release-Management-Prozesse erfolgen muss, sondern ein Standardtyp für mehrere </w:t>
      </w:r>
      <w:r w:rsidR="002C090B">
        <w:t>Phasen mit gleichem Risikotyp</w:t>
      </w:r>
      <w:r>
        <w:t xml:space="preserve"> angewendet werden kann. </w:t>
      </w:r>
      <w:r w:rsidR="00154BC1">
        <w:t xml:space="preserve">Der Risikotyp der Qualität ist in jeder Phase relevant und kann daher für die weitere Betrachtung zur Unterscheidung eliminiert werden. </w:t>
      </w:r>
      <w:r>
        <w:t>In</w:t>
      </w:r>
      <w:r w:rsidR="00A5132D">
        <w:t xml:space="preserve"> </w:t>
      </w:r>
      <w:r w:rsidR="00A5132D">
        <w:fldChar w:fldCharType="begin"/>
      </w:r>
      <w:r w:rsidR="00A5132D">
        <w:instrText xml:space="preserve"> REF _Ref450760245 \h </w:instrText>
      </w:r>
      <w:r w:rsidR="00A5132D">
        <w:fldChar w:fldCharType="separate"/>
      </w:r>
      <w:r w:rsidR="00A5132D">
        <w:t xml:space="preserve">Tabelle </w:t>
      </w:r>
      <w:r w:rsidR="00A5132D">
        <w:rPr>
          <w:noProof/>
        </w:rPr>
        <w:t>3</w:t>
      </w:r>
      <w:r w:rsidR="00A5132D">
        <w:t>.</w:t>
      </w:r>
      <w:r w:rsidR="00A5132D">
        <w:rPr>
          <w:noProof/>
        </w:rPr>
        <w:t>2</w:t>
      </w:r>
      <w:r w:rsidR="00A5132D">
        <w:fldChar w:fldCharType="end"/>
      </w:r>
      <w:r>
        <w:t xml:space="preserve"> erfolgt </w:t>
      </w:r>
      <w:r w:rsidR="002C090B">
        <w:t xml:space="preserve">daher </w:t>
      </w:r>
      <w:r>
        <w:t xml:space="preserve">die Zuordnung der Phasen zum jeweiligen </w:t>
      </w:r>
      <w:r w:rsidR="002C090B">
        <w:t>Risikotyp ohne das Qualitätsrisiko.</w:t>
      </w:r>
      <w:r w:rsidR="00A5132D">
        <w:t xml:space="preserve"> </w:t>
      </w:r>
    </w:p>
    <w:tbl>
      <w:tblPr>
        <w:tblStyle w:val="Tabellenraster"/>
        <w:tblW w:w="8472" w:type="dxa"/>
        <w:tblLook w:val="04A0" w:firstRow="1" w:lastRow="0" w:firstColumn="1" w:lastColumn="0" w:noHBand="0" w:noVBand="1"/>
      </w:tblPr>
      <w:tblGrid>
        <w:gridCol w:w="2863"/>
        <w:gridCol w:w="2915"/>
        <w:gridCol w:w="2694"/>
      </w:tblGrid>
      <w:tr w:rsidR="002C090B" w14:paraId="0A6BD1FF" w14:textId="77777777" w:rsidTr="002C090B">
        <w:trPr>
          <w:trHeight w:val="230"/>
        </w:trPr>
        <w:tc>
          <w:tcPr>
            <w:tcW w:w="2863" w:type="dxa"/>
            <w:vMerge w:val="restart"/>
            <w:shd w:val="clear" w:color="auto" w:fill="595959" w:themeFill="text1" w:themeFillTint="A6"/>
            <w:vAlign w:val="center"/>
          </w:tcPr>
          <w:p w14:paraId="62ABF605" w14:textId="1D51405A" w:rsidR="002C090B" w:rsidRPr="00692308" w:rsidRDefault="002C090B" w:rsidP="00692308">
            <w:pPr>
              <w:jc w:val="left"/>
              <w:rPr>
                <w:color w:val="FFFFFF" w:themeColor="background1"/>
              </w:rPr>
            </w:pPr>
            <w:r w:rsidRPr="00692308">
              <w:rPr>
                <w:color w:val="FFFFFF" w:themeColor="background1"/>
              </w:rPr>
              <w:t>Produktlebenszyklusphase</w:t>
            </w:r>
          </w:p>
        </w:tc>
        <w:tc>
          <w:tcPr>
            <w:tcW w:w="5609" w:type="dxa"/>
            <w:gridSpan w:val="2"/>
            <w:shd w:val="clear" w:color="auto" w:fill="595959" w:themeFill="text1" w:themeFillTint="A6"/>
            <w:vAlign w:val="center"/>
          </w:tcPr>
          <w:p w14:paraId="5F0C1A4E" w14:textId="48A43067" w:rsidR="002C090B" w:rsidRPr="00692308" w:rsidRDefault="002C090B" w:rsidP="00692308">
            <w:pPr>
              <w:jc w:val="center"/>
              <w:rPr>
                <w:color w:val="FFFFFF" w:themeColor="background1"/>
              </w:rPr>
            </w:pPr>
            <w:r>
              <w:rPr>
                <w:color w:val="FFFFFF" w:themeColor="background1"/>
              </w:rPr>
              <w:t>Risikotyp</w:t>
            </w:r>
          </w:p>
        </w:tc>
      </w:tr>
      <w:tr w:rsidR="002C090B" w14:paraId="69C4B87D" w14:textId="77777777" w:rsidTr="002C090B">
        <w:trPr>
          <w:trHeight w:val="230"/>
        </w:trPr>
        <w:tc>
          <w:tcPr>
            <w:tcW w:w="2863" w:type="dxa"/>
            <w:vMerge/>
          </w:tcPr>
          <w:p w14:paraId="57A6665F" w14:textId="77777777" w:rsidR="002C090B" w:rsidRDefault="002C090B" w:rsidP="00692308">
            <w:pPr>
              <w:jc w:val="left"/>
            </w:pPr>
          </w:p>
        </w:tc>
        <w:tc>
          <w:tcPr>
            <w:tcW w:w="2915" w:type="dxa"/>
            <w:shd w:val="clear" w:color="auto" w:fill="D9D9D9" w:themeFill="background1" w:themeFillShade="D9"/>
          </w:tcPr>
          <w:p w14:paraId="25B232D0" w14:textId="207623D9" w:rsidR="002C090B" w:rsidRDefault="002C090B" w:rsidP="00692308">
            <w:pPr>
              <w:jc w:val="left"/>
            </w:pPr>
            <w:r>
              <w:t>Zeit</w:t>
            </w:r>
          </w:p>
        </w:tc>
        <w:tc>
          <w:tcPr>
            <w:tcW w:w="2694" w:type="dxa"/>
            <w:shd w:val="clear" w:color="auto" w:fill="D9D9D9" w:themeFill="background1" w:themeFillShade="D9"/>
          </w:tcPr>
          <w:p w14:paraId="77C55E6F" w14:textId="051A9C98" w:rsidR="002C090B" w:rsidRDefault="002C090B" w:rsidP="00692308">
            <w:pPr>
              <w:jc w:val="left"/>
            </w:pPr>
            <w:r>
              <w:t>Kosten</w:t>
            </w:r>
          </w:p>
        </w:tc>
      </w:tr>
      <w:tr w:rsidR="002C090B" w14:paraId="5A695C0B" w14:textId="77777777" w:rsidTr="002C090B">
        <w:tc>
          <w:tcPr>
            <w:tcW w:w="2863" w:type="dxa"/>
            <w:shd w:val="clear" w:color="auto" w:fill="D9D9D9" w:themeFill="background1" w:themeFillShade="D9"/>
          </w:tcPr>
          <w:p w14:paraId="6563E306" w14:textId="511E7F15" w:rsidR="002C090B" w:rsidRDefault="002C090B" w:rsidP="00692308">
            <w:pPr>
              <w:jc w:val="left"/>
            </w:pPr>
            <w:r>
              <w:t>Entwicklung</w:t>
            </w:r>
          </w:p>
        </w:tc>
        <w:tc>
          <w:tcPr>
            <w:tcW w:w="2915" w:type="dxa"/>
            <w:shd w:val="clear" w:color="auto" w:fill="FFC000"/>
          </w:tcPr>
          <w:p w14:paraId="440950A5" w14:textId="6E996DC4" w:rsidR="002C090B" w:rsidRDefault="002C090B" w:rsidP="00692308">
            <w:pPr>
              <w:jc w:val="left"/>
            </w:pPr>
            <w:r>
              <w:t>ja</w:t>
            </w:r>
          </w:p>
        </w:tc>
        <w:tc>
          <w:tcPr>
            <w:tcW w:w="2694" w:type="dxa"/>
          </w:tcPr>
          <w:p w14:paraId="067BE769" w14:textId="4FD4201E" w:rsidR="002C090B" w:rsidRDefault="002C090B" w:rsidP="00692308">
            <w:pPr>
              <w:jc w:val="left"/>
            </w:pPr>
            <w:r>
              <w:t>nein</w:t>
            </w:r>
          </w:p>
        </w:tc>
      </w:tr>
      <w:tr w:rsidR="002C090B" w14:paraId="461AA0E4" w14:textId="77777777" w:rsidTr="002C090B">
        <w:tc>
          <w:tcPr>
            <w:tcW w:w="2863" w:type="dxa"/>
            <w:shd w:val="clear" w:color="auto" w:fill="D9D9D9" w:themeFill="background1" w:themeFillShade="D9"/>
          </w:tcPr>
          <w:p w14:paraId="16FCF4FB" w14:textId="19FE1FEC" w:rsidR="002C090B" w:rsidRDefault="002C090B" w:rsidP="00692308">
            <w:pPr>
              <w:jc w:val="left"/>
            </w:pPr>
            <w:r>
              <w:t>Einführung</w:t>
            </w:r>
          </w:p>
        </w:tc>
        <w:tc>
          <w:tcPr>
            <w:tcW w:w="2915" w:type="dxa"/>
            <w:shd w:val="clear" w:color="auto" w:fill="FFC000"/>
          </w:tcPr>
          <w:p w14:paraId="014EF2A4" w14:textId="0F14F9D5" w:rsidR="002C090B" w:rsidRDefault="002C090B" w:rsidP="00692308">
            <w:pPr>
              <w:jc w:val="left"/>
            </w:pPr>
            <w:r>
              <w:t>ja</w:t>
            </w:r>
          </w:p>
        </w:tc>
        <w:tc>
          <w:tcPr>
            <w:tcW w:w="2694" w:type="dxa"/>
          </w:tcPr>
          <w:p w14:paraId="5D1D3F84" w14:textId="2BADA81A" w:rsidR="002C090B" w:rsidRDefault="002C090B" w:rsidP="00692308">
            <w:pPr>
              <w:jc w:val="left"/>
            </w:pPr>
            <w:r>
              <w:t>nein</w:t>
            </w:r>
          </w:p>
        </w:tc>
      </w:tr>
      <w:tr w:rsidR="002C090B" w14:paraId="1833FADB" w14:textId="77777777" w:rsidTr="002C090B">
        <w:tc>
          <w:tcPr>
            <w:tcW w:w="2863" w:type="dxa"/>
            <w:shd w:val="clear" w:color="auto" w:fill="D9D9D9" w:themeFill="background1" w:themeFillShade="D9"/>
          </w:tcPr>
          <w:p w14:paraId="069B20ED" w14:textId="451B6BAA" w:rsidR="002C090B" w:rsidRDefault="002C090B" w:rsidP="00692308">
            <w:pPr>
              <w:jc w:val="left"/>
            </w:pPr>
            <w:r>
              <w:t>Wachstum</w:t>
            </w:r>
          </w:p>
        </w:tc>
        <w:tc>
          <w:tcPr>
            <w:tcW w:w="2915" w:type="dxa"/>
          </w:tcPr>
          <w:p w14:paraId="084ACC43" w14:textId="127FF02F" w:rsidR="002C090B" w:rsidRDefault="002C090B" w:rsidP="00692308">
            <w:pPr>
              <w:jc w:val="left"/>
            </w:pPr>
            <w:r>
              <w:t>nein</w:t>
            </w:r>
          </w:p>
        </w:tc>
        <w:tc>
          <w:tcPr>
            <w:tcW w:w="2694" w:type="dxa"/>
            <w:shd w:val="clear" w:color="auto" w:fill="FFC000"/>
          </w:tcPr>
          <w:p w14:paraId="43E3E0CD" w14:textId="313CCBA7" w:rsidR="002C090B" w:rsidRDefault="002C090B" w:rsidP="00692308">
            <w:pPr>
              <w:jc w:val="left"/>
            </w:pPr>
            <w:r>
              <w:t>ja</w:t>
            </w:r>
          </w:p>
        </w:tc>
      </w:tr>
      <w:tr w:rsidR="002C090B" w14:paraId="2B4FD467" w14:textId="77777777" w:rsidTr="002C090B">
        <w:tc>
          <w:tcPr>
            <w:tcW w:w="2863" w:type="dxa"/>
            <w:shd w:val="clear" w:color="auto" w:fill="D9D9D9" w:themeFill="background1" w:themeFillShade="D9"/>
          </w:tcPr>
          <w:p w14:paraId="1D2B69FE" w14:textId="73A3FBC8" w:rsidR="002C090B" w:rsidRDefault="002C090B" w:rsidP="00692308">
            <w:pPr>
              <w:jc w:val="left"/>
            </w:pPr>
            <w:r>
              <w:t>Reife</w:t>
            </w:r>
          </w:p>
        </w:tc>
        <w:tc>
          <w:tcPr>
            <w:tcW w:w="2915" w:type="dxa"/>
          </w:tcPr>
          <w:p w14:paraId="258E0539" w14:textId="42DCF021" w:rsidR="002C090B" w:rsidRDefault="002C090B" w:rsidP="00692308">
            <w:pPr>
              <w:jc w:val="left"/>
            </w:pPr>
            <w:r>
              <w:t>nein</w:t>
            </w:r>
          </w:p>
        </w:tc>
        <w:tc>
          <w:tcPr>
            <w:tcW w:w="2694" w:type="dxa"/>
            <w:shd w:val="clear" w:color="auto" w:fill="FFC000"/>
          </w:tcPr>
          <w:p w14:paraId="2EDB3A14" w14:textId="14FCA414" w:rsidR="002C090B" w:rsidRDefault="002C090B" w:rsidP="00692308">
            <w:pPr>
              <w:jc w:val="left"/>
            </w:pPr>
            <w:r>
              <w:t>ja</w:t>
            </w:r>
          </w:p>
        </w:tc>
      </w:tr>
      <w:tr w:rsidR="002C090B" w14:paraId="1B970759" w14:textId="77777777" w:rsidTr="002C090B">
        <w:tc>
          <w:tcPr>
            <w:tcW w:w="2863" w:type="dxa"/>
            <w:shd w:val="clear" w:color="auto" w:fill="D9D9D9" w:themeFill="background1" w:themeFillShade="D9"/>
          </w:tcPr>
          <w:p w14:paraId="529D92C2" w14:textId="0C01AEF6" w:rsidR="002C090B" w:rsidRDefault="002C090B" w:rsidP="00692308">
            <w:pPr>
              <w:jc w:val="left"/>
            </w:pPr>
            <w:r>
              <w:t>Entsorgung</w:t>
            </w:r>
          </w:p>
        </w:tc>
        <w:tc>
          <w:tcPr>
            <w:tcW w:w="2915" w:type="dxa"/>
          </w:tcPr>
          <w:p w14:paraId="0213F545" w14:textId="41BB6DA9" w:rsidR="002C090B" w:rsidRDefault="002C090B" w:rsidP="00692308">
            <w:pPr>
              <w:jc w:val="left"/>
            </w:pPr>
            <w:r>
              <w:t>nein</w:t>
            </w:r>
          </w:p>
        </w:tc>
        <w:tc>
          <w:tcPr>
            <w:tcW w:w="2694" w:type="dxa"/>
            <w:shd w:val="clear" w:color="auto" w:fill="FFC000"/>
          </w:tcPr>
          <w:p w14:paraId="07EFF502" w14:textId="6B96A689" w:rsidR="002C090B" w:rsidRDefault="002C090B" w:rsidP="00A5132D">
            <w:pPr>
              <w:keepNext/>
              <w:jc w:val="left"/>
            </w:pPr>
            <w:r>
              <w:t>ja</w:t>
            </w:r>
          </w:p>
        </w:tc>
      </w:tr>
    </w:tbl>
    <w:p w14:paraId="096F88B1" w14:textId="7E092B00" w:rsidR="00692308" w:rsidRDefault="00A5132D" w:rsidP="00A5132D">
      <w:pPr>
        <w:pStyle w:val="Beschriftung"/>
      </w:pPr>
      <w:bookmarkStart w:id="63" w:name="_Ref450760245"/>
      <w:bookmarkStart w:id="64" w:name="_Ref455661998"/>
      <w:bookmarkStart w:id="65" w:name="_Toc456884996"/>
      <w:r>
        <w:t xml:space="preserve">Tabelle </w:t>
      </w:r>
      <w:r w:rsidR="005F5E76">
        <w:fldChar w:fldCharType="begin"/>
      </w:r>
      <w:r w:rsidR="005F5E76">
        <w:instrText xml:space="preserve"> STYLEREF 1 \s </w:instrText>
      </w:r>
      <w:r w:rsidR="005F5E76">
        <w:fldChar w:fldCharType="separate"/>
      </w:r>
      <w:r w:rsidR="00EA4433">
        <w:rPr>
          <w:noProof/>
        </w:rPr>
        <w:t>3</w:t>
      </w:r>
      <w:r w:rsidR="005F5E76">
        <w:rPr>
          <w:noProof/>
        </w:rPr>
        <w:fldChar w:fldCharType="end"/>
      </w:r>
      <w:r w:rsidR="00EA4433">
        <w:t>.</w:t>
      </w:r>
      <w:r w:rsidR="005F5E76">
        <w:fldChar w:fldCharType="begin"/>
      </w:r>
      <w:r w:rsidR="005F5E76">
        <w:instrText xml:space="preserve"> SEQ Tabelle \* ARABIC \s 1 </w:instrText>
      </w:r>
      <w:r w:rsidR="005F5E76">
        <w:fldChar w:fldCharType="separate"/>
      </w:r>
      <w:r w:rsidR="00EA4433">
        <w:rPr>
          <w:noProof/>
        </w:rPr>
        <w:t>2</w:t>
      </w:r>
      <w:r w:rsidR="005F5E76">
        <w:rPr>
          <w:noProof/>
        </w:rPr>
        <w:fldChar w:fldCharType="end"/>
      </w:r>
      <w:bookmarkEnd w:id="63"/>
      <w:r>
        <w:t xml:space="preserve">: </w:t>
      </w:r>
      <w:r w:rsidR="002C090B">
        <w:t xml:space="preserve">Reduzierte </w:t>
      </w:r>
      <w:r>
        <w:t xml:space="preserve">Zuordnung </w:t>
      </w:r>
      <w:r w:rsidR="002C090B">
        <w:t xml:space="preserve">Risikotypen zu </w:t>
      </w:r>
      <w:r>
        <w:t>Produktlebenszyklusphasen</w:t>
      </w:r>
      <w:bookmarkEnd w:id="64"/>
      <w:bookmarkEnd w:id="65"/>
    </w:p>
    <w:p w14:paraId="2C9D845E" w14:textId="31EBD920" w:rsidR="00A5132D" w:rsidRDefault="00A5132D" w:rsidP="00A5132D">
      <w:pPr>
        <w:jc w:val="center"/>
      </w:pPr>
      <w:r>
        <w:t>Quelle: eigene Tabelle</w:t>
      </w:r>
    </w:p>
    <w:p w14:paraId="3EAA508E" w14:textId="4384D2AD" w:rsidR="00606248" w:rsidRDefault="00606248" w:rsidP="00606248">
      <w:pPr>
        <w:jc w:val="left"/>
      </w:pPr>
      <w:r>
        <w:lastRenderedPageBreak/>
        <w:t>Als Basis für die Ableitung der Standardtypen in Kapitel 5 erfolgt eine kurze Zusammenfassung der Risikotypen „Zeit“ und „Kosten“.</w:t>
      </w:r>
    </w:p>
    <w:p w14:paraId="7A950F9C" w14:textId="3BE255F5" w:rsidR="00606248" w:rsidRPr="0012339D" w:rsidRDefault="00606248" w:rsidP="00606248">
      <w:pPr>
        <w:jc w:val="left"/>
      </w:pPr>
      <w:r w:rsidRPr="0012339D">
        <w:t xml:space="preserve">Der </w:t>
      </w:r>
      <w:r w:rsidRPr="0012339D">
        <w:rPr>
          <w:b/>
        </w:rPr>
        <w:t>Risikotyp „Zeit“</w:t>
      </w:r>
      <w:r w:rsidRPr="0012339D">
        <w:t xml:space="preserve"> zeichnet</w:t>
      </w:r>
      <w:r w:rsidR="00E00E74" w:rsidRPr="0012339D">
        <w:t xml:space="preserve"> sich gemäß der Ausführungen zu den Produktlebenszyklusphasen Entwicklung und Einführung (vgl. Kapitel </w:t>
      </w:r>
      <w:r w:rsidR="00E00E74" w:rsidRPr="0012339D">
        <w:fldChar w:fldCharType="begin"/>
      </w:r>
      <w:r w:rsidR="00E00E74" w:rsidRPr="0012339D">
        <w:instrText xml:space="preserve"> REF _Ref455737864 \r \h </w:instrText>
      </w:r>
      <w:r w:rsidR="0012339D">
        <w:instrText xml:space="preserve"> \* MERGEFORMAT </w:instrText>
      </w:r>
      <w:r w:rsidR="00E00E74" w:rsidRPr="0012339D">
        <w:fldChar w:fldCharType="separate"/>
      </w:r>
      <w:r w:rsidR="00E00E74" w:rsidRPr="0012339D">
        <w:t>3.1</w:t>
      </w:r>
      <w:r w:rsidR="00E00E74" w:rsidRPr="0012339D">
        <w:fldChar w:fldCharType="end"/>
      </w:r>
      <w:r w:rsidR="00E00E74" w:rsidRPr="0012339D">
        <w:t xml:space="preserve"> und </w:t>
      </w:r>
      <w:r w:rsidR="00E00E74" w:rsidRPr="0012339D">
        <w:fldChar w:fldCharType="begin"/>
      </w:r>
      <w:r w:rsidR="00E00E74" w:rsidRPr="0012339D">
        <w:instrText xml:space="preserve"> REF _Ref455737867 \r \h </w:instrText>
      </w:r>
      <w:r w:rsidR="0012339D">
        <w:instrText xml:space="preserve"> \* MERGEFORMAT </w:instrText>
      </w:r>
      <w:r w:rsidR="00E00E74" w:rsidRPr="0012339D">
        <w:fldChar w:fldCharType="separate"/>
      </w:r>
      <w:r w:rsidR="00E00E74" w:rsidRPr="0012339D">
        <w:t>3.2</w:t>
      </w:r>
      <w:r w:rsidR="00E00E74" w:rsidRPr="0012339D">
        <w:fldChar w:fldCharType="end"/>
      </w:r>
      <w:r w:rsidR="00E00E74" w:rsidRPr="0012339D">
        <w:t>)</w:t>
      </w:r>
      <w:r w:rsidR="0012339D">
        <w:t xml:space="preserve"> durch eine größtmögliche Flexibilität aus, wobei so viele wie mögliche Aktivitäten parallel und nicht sequentiell erfolgen sollten. Dies ist vor allem durch die hohe Unsicherheit aufgrund des Innovationscharakters bedingt, wofür eine empirische Vorgehensweise empfehlenswert ist (vgl. Kapitel </w:t>
      </w:r>
      <w:r w:rsidR="0012339D">
        <w:fldChar w:fldCharType="begin"/>
      </w:r>
      <w:r w:rsidR="0012339D">
        <w:instrText xml:space="preserve"> REF _Ref455738083 \r \h </w:instrText>
      </w:r>
      <w:r w:rsidR="0012339D">
        <w:fldChar w:fldCharType="separate"/>
      </w:r>
      <w:r w:rsidR="0012339D">
        <w:t>3.1</w:t>
      </w:r>
      <w:r w:rsidR="0012339D">
        <w:fldChar w:fldCharType="end"/>
      </w:r>
      <w:r w:rsidR="0012339D">
        <w:t xml:space="preserve">). Um diesen Ansatz zu verfolgen ist die Erstellung eines minimalen Produkts mittels vielen kleinen regelmäßigen Releases zur schnellen Anpassung an das Feedback der Kunden notwendig (vgl. Kapitel </w:t>
      </w:r>
      <w:r w:rsidR="0012339D">
        <w:fldChar w:fldCharType="begin"/>
      </w:r>
      <w:r w:rsidR="0012339D">
        <w:instrText xml:space="preserve"> REF _Ref455738212 \r \h </w:instrText>
      </w:r>
      <w:r w:rsidR="0012339D">
        <w:fldChar w:fldCharType="separate"/>
      </w:r>
      <w:r w:rsidR="0012339D">
        <w:t>3.1</w:t>
      </w:r>
      <w:r w:rsidR="0012339D">
        <w:fldChar w:fldCharType="end"/>
      </w:r>
      <w:r w:rsidR="0012339D">
        <w:t xml:space="preserve">). Wichtig sind dabei vor allem die Prozesse, Dienste und Werkzeuge, welche zur Veröffentlichung von neuen Releases herangezogen werden, da Sie den Zeitpunkt der Veröffentlichung maßgeblich beeinflussen (vgl. Kapitel </w:t>
      </w:r>
      <w:r w:rsidR="0012339D">
        <w:fldChar w:fldCharType="begin"/>
      </w:r>
      <w:r w:rsidR="0012339D">
        <w:instrText xml:space="preserve"> REF _Ref455738391 \r \h </w:instrText>
      </w:r>
      <w:r w:rsidR="0012339D">
        <w:fldChar w:fldCharType="separate"/>
      </w:r>
      <w:r w:rsidR="0012339D">
        <w:t>3.2</w:t>
      </w:r>
      <w:r w:rsidR="0012339D">
        <w:fldChar w:fldCharType="end"/>
      </w:r>
      <w:r w:rsidR="0012339D">
        <w:t>).</w:t>
      </w:r>
    </w:p>
    <w:p w14:paraId="0C1B2BD4" w14:textId="39C43C18" w:rsidR="00606248" w:rsidRDefault="00633F9A" w:rsidP="00606248">
      <w:pPr>
        <w:jc w:val="left"/>
      </w:pPr>
      <w:r w:rsidRPr="00633F9A">
        <w:t xml:space="preserve">Im Gegensatz dazu ist </w:t>
      </w:r>
      <w:r w:rsidR="00723DE4" w:rsidRPr="00633F9A">
        <w:t xml:space="preserve">der </w:t>
      </w:r>
      <w:r w:rsidR="00723DE4" w:rsidRPr="00633F9A">
        <w:rPr>
          <w:b/>
        </w:rPr>
        <w:t>Risikotyp „Kosten“</w:t>
      </w:r>
      <w:r w:rsidR="00723DE4" w:rsidRPr="00633F9A">
        <w:t xml:space="preserve"> durch die folgenden Eigenschaften </w:t>
      </w:r>
      <w:r w:rsidRPr="00633F9A">
        <w:t xml:space="preserve">anhand der anderen drei Phasen (vgl. Kapitel </w:t>
      </w:r>
      <w:r w:rsidRPr="00633F9A">
        <w:fldChar w:fldCharType="begin"/>
      </w:r>
      <w:r w:rsidRPr="00633F9A">
        <w:instrText xml:space="preserve"> REF _Ref455738543 \r \h </w:instrText>
      </w:r>
      <w:r>
        <w:instrText xml:space="preserve"> \* MERGEFORMAT </w:instrText>
      </w:r>
      <w:r w:rsidRPr="00633F9A">
        <w:fldChar w:fldCharType="separate"/>
      </w:r>
      <w:r w:rsidRPr="00633F9A">
        <w:t>3.3</w:t>
      </w:r>
      <w:r w:rsidRPr="00633F9A">
        <w:fldChar w:fldCharType="end"/>
      </w:r>
      <w:r w:rsidRPr="00633F9A">
        <w:t xml:space="preserve"> bis </w:t>
      </w:r>
      <w:r w:rsidRPr="00633F9A">
        <w:fldChar w:fldCharType="begin"/>
      </w:r>
      <w:r w:rsidRPr="00633F9A">
        <w:instrText xml:space="preserve"> REF _Ref455738545 \r \h </w:instrText>
      </w:r>
      <w:r>
        <w:instrText xml:space="preserve"> \* MERGEFORMAT </w:instrText>
      </w:r>
      <w:r w:rsidRPr="00633F9A">
        <w:fldChar w:fldCharType="separate"/>
      </w:r>
      <w:r w:rsidRPr="00633F9A">
        <w:t>3.5</w:t>
      </w:r>
      <w:r w:rsidRPr="00633F9A">
        <w:fldChar w:fldCharType="end"/>
      </w:r>
      <w:r w:rsidRPr="00633F9A">
        <w:t xml:space="preserve">) </w:t>
      </w:r>
      <w:r w:rsidR="00723DE4" w:rsidRPr="00633F9A">
        <w:t>zu beschreiben.</w:t>
      </w:r>
      <w:r>
        <w:t xml:space="preserve"> Im Fokus liegt das einsparen von Kosten, durch reduzierte Aufwände im Aufbau und die Nutzung von Skaleneffekten, wodurch der Markt weiter durchdrungen und der Gewinn optimiert werden sollen (vgl. Kapitel </w:t>
      </w:r>
      <w:r>
        <w:fldChar w:fldCharType="begin"/>
      </w:r>
      <w:r>
        <w:instrText xml:space="preserve"> REF _Ref455738792 \r \h </w:instrText>
      </w:r>
      <w:r>
        <w:fldChar w:fldCharType="separate"/>
      </w:r>
      <w:r>
        <w:t>3.3</w:t>
      </w:r>
      <w:r>
        <w:fldChar w:fldCharType="end"/>
      </w:r>
      <w:r>
        <w:t xml:space="preserve"> und </w:t>
      </w:r>
      <w:r>
        <w:fldChar w:fldCharType="begin"/>
      </w:r>
      <w:r>
        <w:instrText xml:space="preserve"> REF _Ref455738794 \r \h </w:instrText>
      </w:r>
      <w:r>
        <w:fldChar w:fldCharType="separate"/>
      </w:r>
      <w:r>
        <w:t>3.4</w:t>
      </w:r>
      <w:r>
        <w:fldChar w:fldCharType="end"/>
      </w:r>
      <w:r>
        <w:t xml:space="preserve">). Nicht unbedingt notwendige Ausgaben oder wenig erfolgreiche Maßnahme sind im Sinne der Kostensenkung zu vermeiden (vgl. Kapitel </w:t>
      </w:r>
      <w:r>
        <w:fldChar w:fldCharType="begin"/>
      </w:r>
      <w:r>
        <w:instrText xml:space="preserve"> REF _Ref455738900 \r \h </w:instrText>
      </w:r>
      <w:r>
        <w:fldChar w:fldCharType="separate"/>
      </w:r>
      <w:r>
        <w:t>3.5</w:t>
      </w:r>
      <w:r>
        <w:fldChar w:fldCharType="end"/>
      </w:r>
      <w:r>
        <w:t>).</w:t>
      </w:r>
    </w:p>
    <w:p w14:paraId="36A79C99" w14:textId="59073A33" w:rsidR="00723DE4" w:rsidRPr="00A5132D" w:rsidRDefault="00633F9A" w:rsidP="00606248">
      <w:pPr>
        <w:jc w:val="left"/>
      </w:pPr>
      <w:r>
        <w:t xml:space="preserve">Nach diesen kurzen Zusammenfassungen </w:t>
      </w:r>
      <w:r w:rsidR="00723DE4">
        <w:t>der Risikotypen erfolgt nun die Erarbeitung der unterschiedlichen Prozessfaktoren des Release-Managements</w:t>
      </w:r>
      <w:r>
        <w:t xml:space="preserve"> zum Umgang mit den Risiken</w:t>
      </w:r>
      <w:r w:rsidR="00723DE4">
        <w:t>.</w:t>
      </w:r>
    </w:p>
    <w:p w14:paraId="1EFF39B5" w14:textId="4C5ABE77" w:rsidR="00461FAA" w:rsidRDefault="0042751A" w:rsidP="00E67FF7">
      <w:pPr>
        <w:pStyle w:val="berschrift1"/>
      </w:pPr>
      <w:bookmarkStart w:id="66" w:name="_Toc456884972"/>
      <w:r>
        <w:lastRenderedPageBreak/>
        <w:t>Faktoren</w:t>
      </w:r>
      <w:r w:rsidR="00461FAA">
        <w:t xml:space="preserve"> des </w:t>
      </w:r>
      <w:r w:rsidR="00803CAA">
        <w:t>Release-Management</w:t>
      </w:r>
      <w:r w:rsidR="00461FAA">
        <w:t>s zum Umgang mit Risiken</w:t>
      </w:r>
      <w:bookmarkEnd w:id="66"/>
    </w:p>
    <w:p w14:paraId="67B3684E" w14:textId="3BE70F7D"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w:t>
      </w:r>
      <w:r w:rsidR="00906349">
        <w:t xml:space="preserve"> beiden Risikotypen (vgl. </w:t>
      </w:r>
      <w:r w:rsidR="00906349">
        <w:fldChar w:fldCharType="begin"/>
      </w:r>
      <w:r w:rsidR="00906349">
        <w:instrText xml:space="preserve"> REF _Ref450760245 \h </w:instrText>
      </w:r>
      <w:r w:rsidR="00906349">
        <w:fldChar w:fldCharType="separate"/>
      </w:r>
      <w:r w:rsidR="00906349">
        <w:t xml:space="preserve">Tabelle </w:t>
      </w:r>
      <w:r w:rsidR="00906349">
        <w:rPr>
          <w:noProof/>
        </w:rPr>
        <w:t>3</w:t>
      </w:r>
      <w:r w:rsidR="00906349">
        <w:t>.</w:t>
      </w:r>
      <w:r w:rsidR="00906349">
        <w:rPr>
          <w:noProof/>
        </w:rPr>
        <w:t>2</w:t>
      </w:r>
      <w:r w:rsidR="00906349">
        <w:fldChar w:fldCharType="end"/>
      </w:r>
      <w:r w:rsidR="00906349">
        <w:t>)</w:t>
      </w:r>
      <w:r w:rsidR="00AD0A40">
        <w:t xml:space="preserve"> aus dem vorhergehenden Hauptkapitel</w:t>
      </w:r>
      <w:r w:rsidR="009344EF">
        <w:t xml:space="preserve"> zu untersuchen.</w:t>
      </w:r>
      <w:r w:rsidR="00425DD7">
        <w:t xml:space="preserve"> Hierfür werden als Basis die Prozesse der ITIL Service Transition betrachtet</w:t>
      </w:r>
      <w:r w:rsidR="00AD0A40">
        <w:t>, da es als de-facto Standard gilt (vgl.</w:t>
      </w:r>
      <w:r w:rsidR="00C84BCE">
        <w:t xml:space="preserve"> Kapitel</w:t>
      </w:r>
      <w:r w:rsidR="00AD0A40">
        <w:t xml:space="preserve"> </w:t>
      </w:r>
      <w:r w:rsidR="00AD0A40">
        <w:fldChar w:fldCharType="begin"/>
      </w:r>
      <w:r w:rsidR="00AD0A40">
        <w:instrText xml:space="preserve"> REF _Ref446517190 \r \h </w:instrText>
      </w:r>
      <w:r w:rsidR="00AD0A40">
        <w:fldChar w:fldCharType="separate"/>
      </w:r>
      <w:r w:rsidR="00AD0A40">
        <w:t>2.4</w:t>
      </w:r>
      <w:r w:rsidR="00AD0A40">
        <w:fldChar w:fldCharType="end"/>
      </w:r>
      <w:r w:rsidR="00AD0A40">
        <w:t>).</w:t>
      </w:r>
      <w:r w:rsidR="00425DD7">
        <w:t xml:space="preserve"> </w:t>
      </w:r>
      <w:r w:rsidR="00AD0A40">
        <w:t xml:space="preserve">Die Erkenntnisse werden </w:t>
      </w:r>
      <w:r w:rsidR="00842D9E">
        <w:t xml:space="preserve">an den passenden Stellen </w:t>
      </w:r>
      <w:r w:rsidR="00425DD7">
        <w:t xml:space="preserve">um </w:t>
      </w:r>
      <w:r w:rsidR="00AD0A40">
        <w:t xml:space="preserve">die </w:t>
      </w:r>
      <w:r w:rsidR="00425DD7">
        <w:t xml:space="preserve">Aspekte aus der ISO/IEC 20000 Norm </w:t>
      </w:r>
      <w:r w:rsidR="005240C6">
        <w:t>e</w:t>
      </w:r>
      <w:r w:rsidR="00425DD7">
        <w:t>rgänzt.</w:t>
      </w:r>
      <w:r w:rsidR="006F5EA9">
        <w:t xml:space="preserve"> Das COBIT-Framework findet keine eigenständige Betrachtung, da COBIT einen Fokus auf Governance-Aspekte hat, wogegen der Fokus bei ITIL auf Prozessen liegt</w:t>
      </w:r>
      <w:r w:rsidR="00195FBD">
        <w:t xml:space="preserve"> und es sich in den wesentlichen Punkten nicht unterscheidet </w:t>
      </w:r>
      <w:sdt>
        <w:sdtPr>
          <w:id w:val="-1349635510"/>
          <w:citation/>
        </w:sdtPr>
        <w:sdtEndPr/>
        <w:sdtContent>
          <w:r w:rsidR="00842D9E">
            <w:fldChar w:fldCharType="begin"/>
          </w:r>
          <w:r w:rsidR="00542459">
            <w:instrText xml:space="preserve">CITATION Aun08 \p "S. 98" \l 1031 </w:instrText>
          </w:r>
          <w:r w:rsidR="00842D9E">
            <w:fldChar w:fldCharType="separate"/>
          </w:r>
          <w:r w:rsidR="00542459">
            <w:rPr>
              <w:noProof/>
            </w:rPr>
            <w:t>(Auner 2008, S. 98)</w:t>
          </w:r>
          <w:r w:rsidR="00842D9E">
            <w:fldChar w:fldCharType="end"/>
          </w:r>
        </w:sdtContent>
      </w:sdt>
      <w:r w:rsidR="006F5EA9">
        <w:t>.</w:t>
      </w:r>
      <w:r w:rsidR="00425DD7">
        <w:t xml:space="preserve"> </w:t>
      </w:r>
      <w:bookmarkStart w:id="67" w:name="_Ref446516759"/>
      <w:r w:rsidR="00842D9E">
        <w:t>Für die Betrachtung</w:t>
      </w:r>
      <w:r w:rsidR="00BE5B1B">
        <w:t xml:space="preserve">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w:t>
      </w:r>
      <w:r w:rsidR="0042751A">
        <w:t>Faktoren</w:t>
      </w:r>
      <w:r w:rsidR="00AD0A40">
        <w:t xml:space="preserve">, die je nach </w:t>
      </w:r>
      <w:r w:rsidR="00906349">
        <w:t>Risikotyp</w:t>
      </w:r>
      <w:r w:rsidR="00C24124">
        <w:t xml:space="preserve"> unterschiedlich definiert werden müssen.</w:t>
      </w:r>
      <w:r w:rsidR="00E67FF7">
        <w:t xml:space="preserve">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r w:rsidR="00AD0A40">
        <w:t xml:space="preserve"> </w:t>
      </w:r>
      <w:r w:rsidR="00906349">
        <w:t>als</w:t>
      </w:r>
      <w:r w:rsidR="00AD0A40">
        <w:t xml:space="preserve"> Grundlage für die Ableitung der Standardtypen im nächsten Hauptkapitel</w:t>
      </w:r>
      <w:r w:rsidR="00E40C6B">
        <w:t>.</w:t>
      </w:r>
    </w:p>
    <w:p w14:paraId="51D3E5F0" w14:textId="594FAE47" w:rsidR="00461FAA" w:rsidRDefault="00BE5B1B" w:rsidP="00E67FF7">
      <w:pPr>
        <w:pStyle w:val="berschrift2"/>
      </w:pPr>
      <w:bookmarkStart w:id="68" w:name="_Ref446517322"/>
      <w:bookmarkStart w:id="69" w:name="_Toc456884973"/>
      <w:bookmarkEnd w:id="67"/>
      <w:r>
        <w:t>T</w:t>
      </w:r>
      <w:r w:rsidR="00425DD7">
        <w:t>r</w:t>
      </w:r>
      <w:r>
        <w:t>ansition Planning and Support</w:t>
      </w:r>
      <w:bookmarkEnd w:id="68"/>
      <w:bookmarkEnd w:id="69"/>
      <w:r>
        <w:rPr>
          <w:rStyle w:val="Kommentarzeichen"/>
          <w:b w:val="0"/>
          <w:kern w:val="0"/>
        </w:rPr>
        <w:t xml:space="preserve"> </w:t>
      </w:r>
    </w:p>
    <w:p w14:paraId="717C6F43" w14:textId="08BD362C" w:rsidR="009344EF" w:rsidRDefault="00666621" w:rsidP="00461FAA">
      <w:r>
        <w:t xml:space="preserve">Der Prozess </w:t>
      </w:r>
      <w:r w:rsidRPr="00BE5B1B">
        <w:t>Transition Planning and Support (TPS)</w:t>
      </w:r>
      <w:r w:rsidR="00BE5B1B">
        <w:t xml:space="preserve"> </w:t>
      </w:r>
      <w:r>
        <w:t xml:space="preserve">dient der übergreifenden Planung und Koordination </w:t>
      </w:r>
      <w:r w:rsidR="00312900">
        <w:t>von Ä</w:t>
      </w:r>
      <w:r w:rsidR="00AD0A40">
        <w:t>nderungsvorhaben</w:t>
      </w:r>
      <w:r w:rsidR="009344EF">
        <w:t xml:space="preserve"> sowie der nötigen Ressourcen</w:t>
      </w:r>
      <w:sdt>
        <w:sdtPr>
          <w:id w:val="558301663"/>
          <w:citation/>
        </w:sdtPr>
        <w:sdtEndPr/>
        <w:sdtContent>
          <w:r>
            <w:fldChar w:fldCharType="begin"/>
          </w:r>
          <w:r>
            <w:instrText xml:space="preserve">CITATION AXE11 \p "S. 51" \l 1031 </w:instrText>
          </w:r>
          <w:r>
            <w:fldChar w:fldCharType="separate"/>
          </w:r>
          <w:r>
            <w:rPr>
              <w:noProof/>
            </w:rPr>
            <w:t xml:space="preserve"> (AXELOS 2011, S. 51)</w:t>
          </w:r>
          <w:r>
            <w:fldChar w:fldCharType="end"/>
          </w:r>
        </w:sdtContent>
      </w:sdt>
      <w:r>
        <w:t>. Zi</w:t>
      </w:r>
      <w:r w:rsidR="00312900">
        <w:t>el ist es unter anderem die Ä</w:t>
      </w:r>
      <w:r>
        <w:t>nderung innerhalb der geplanten Vorgaben hinsichtlich Kosten, Zeit und Qualität durchzuführen</w:t>
      </w:r>
      <w:sdt>
        <w:sdtPr>
          <w:id w:val="77105146"/>
          <w:citation/>
        </w:sdtPr>
        <w:sdtEndPr/>
        <w:sdtContent>
          <w:r>
            <w:fldChar w:fldCharType="begin"/>
          </w:r>
          <w:r>
            <w:instrText xml:space="preserve">CITATION AXE11 \p "S. 51" \l 1031 </w:instrText>
          </w:r>
          <w:r>
            <w:fldChar w:fldCharType="separate"/>
          </w:r>
          <w:r>
            <w:rPr>
              <w:noProof/>
            </w:rPr>
            <w:t xml:space="preserve"> (AXELOS 2011, S. 51)</w:t>
          </w:r>
          <w:r>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w:t>
      </w:r>
      <w:r w:rsidR="00AD0A40">
        <w:t xml:space="preserve">bei der Umsetzung </w:t>
      </w:r>
      <w:r w:rsidR="005E2E45">
        <w:t>zu senken</w:t>
      </w:r>
      <w:sdt>
        <w:sdtPr>
          <w:id w:val="286321910"/>
          <w:citation/>
        </w:sdtPr>
        <w:sdtEnd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Der Mehrwert des Services liegt in der Befähigung </w:t>
      </w:r>
      <w:r w:rsidR="00AD0A40">
        <w:t xml:space="preserve">der Organisation </w:t>
      </w:r>
      <w:r w:rsidR="005E2E45">
        <w:t>zur Bearbeit</w:t>
      </w:r>
      <w:r w:rsidR="00312900">
        <w:t>ung einer großen Anzahl von Ä</w:t>
      </w:r>
      <w:r w:rsidR="005E2E45">
        <w:t>nderungen unter Einhaltung der Vorgaben</w:t>
      </w:r>
      <w:r w:rsidR="009344EF">
        <w:t xml:space="preserve"> sowie der Ausrichtung des IT-Service-Managements anhand der Bedürfnisse der Stakeholder</w:t>
      </w:r>
      <w:sdt>
        <w:sdtPr>
          <w:id w:val="-1200167755"/>
          <w:citation/>
        </w:sdtPr>
        <w:sdtEnd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w:t>
      </w:r>
      <w:r w:rsidR="00EF1D28">
        <w:t>vorgeschlagen</w:t>
      </w:r>
      <w:r w:rsidR="005E2E45">
        <w:t xml:space="preserve">, welche </w:t>
      </w:r>
      <w:r w:rsidR="009344EF">
        <w:t>folgende Aspekte betreffen</w:t>
      </w:r>
      <w:sdt>
        <w:sdtPr>
          <w:id w:val="167292728"/>
          <w:citation/>
        </w:sdtPr>
        <w:sdtEnd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t>Nutzung von Medienbibliotheken</w:t>
      </w:r>
    </w:p>
    <w:p w14:paraId="4FED1EE6" w14:textId="6CA3A1EB" w:rsidR="003E0117" w:rsidRPr="004E72CB" w:rsidRDefault="003E0117" w:rsidP="003E0117">
      <w:pPr>
        <w:pStyle w:val="Listenabsatz"/>
        <w:numPr>
          <w:ilvl w:val="0"/>
          <w:numId w:val="28"/>
        </w:numPr>
      </w:pPr>
      <w:r w:rsidRPr="004E72CB">
        <w:lastRenderedPageBreak/>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r w:rsidRPr="004E72CB">
        <w:t>Versionierung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Default="003E0117" w:rsidP="003E0117">
      <w:pPr>
        <w:pStyle w:val="Listenabsatz"/>
        <w:numPr>
          <w:ilvl w:val="0"/>
          <w:numId w:val="28"/>
        </w:numPr>
      </w:pPr>
      <w:r w:rsidRPr="004E72CB">
        <w:t>Kriterien für den Abschluss der Beobachtungsphase</w:t>
      </w:r>
    </w:p>
    <w:p w14:paraId="04A550B1" w14:textId="5B2FD46E" w:rsidR="00037301" w:rsidRDefault="00AD0A40" w:rsidP="003E0117">
      <w:r>
        <w:t>Un</w:t>
      </w:r>
      <w:r w:rsidR="001B2E93">
        <w:t>abhängig vom Risikotyp</w:t>
      </w:r>
      <w:r>
        <w:t xml:space="preserve"> ist es notwendig gewisse </w:t>
      </w:r>
      <w:r w:rsidRPr="00326537">
        <w:rPr>
          <w:b/>
        </w:rPr>
        <w:t>Namens- und Identifizierungskonventionen</w:t>
      </w:r>
      <w:r>
        <w:t xml:space="preserve"> einzuhalten, um </w:t>
      </w:r>
      <w:r w:rsidR="00312900">
        <w:t>einen eindeutigen Bezug zum Ä</w:t>
      </w:r>
      <w:r>
        <w:t xml:space="preserve">nderungsvorhaben innerhalb der Organisation sicherzustellen und Missverständnisse zu vermeiden. Dieser Sachverhalt gilt ebenfalls für die </w:t>
      </w:r>
      <w:r w:rsidR="00326537">
        <w:t xml:space="preserve">Vorschriften zur </w:t>
      </w:r>
      <w:r w:rsidR="00326537" w:rsidRPr="00326537">
        <w:rPr>
          <w:b/>
        </w:rPr>
        <w:t>Versionierung</w:t>
      </w:r>
      <w:r w:rsidR="00326537">
        <w:t xml:space="preserve">. Damit nicht nur der Name und die Version eines Releases eindeutig sind, sondern auch der Ablageort, auf denen verschiedene Personen wie Entwickler, Tester und Andere zugreifen müssen, empfiehlt sich die </w:t>
      </w:r>
      <w:r w:rsidR="0048741D">
        <w:t xml:space="preserve">allgemeine </w:t>
      </w:r>
      <w:r w:rsidR="00326537">
        <w:t xml:space="preserve">Nutzung von zentralen </w:t>
      </w:r>
      <w:r w:rsidR="00326537" w:rsidRPr="00326537">
        <w:rPr>
          <w:b/>
        </w:rPr>
        <w:t>Medienbibliotheken</w:t>
      </w:r>
      <w:r w:rsidR="00326537">
        <w:t>. Die Verwendung der genannten Richtlinien behandelt Risiken allgemeiner Natur, aber nicht die s</w:t>
      </w:r>
      <w:r w:rsidR="001B2E93">
        <w:t>pezifisch genannten Risikotypen</w:t>
      </w:r>
      <w:r w:rsidR="00326537">
        <w:t xml:space="preserve"> aus dem vorherigen Hauptkapitel.</w:t>
      </w:r>
      <w:r w:rsidR="00037301">
        <w:t xml:space="preserve"> </w:t>
      </w:r>
      <w:r w:rsidR="002A14CE">
        <w:t>Von zentraler Bedeutung</w:t>
      </w:r>
      <w:r w:rsidR="00037301">
        <w:t xml:space="preserve"> dagegen</w:t>
      </w:r>
      <w:r w:rsidR="002A14CE">
        <w:t xml:space="preserve"> ist die Festlegung des </w:t>
      </w:r>
      <w:r w:rsidR="002A14CE" w:rsidRPr="00EA2F6B">
        <w:rPr>
          <w:b/>
        </w:rPr>
        <w:t>Release-Zyklus</w:t>
      </w:r>
      <w:r w:rsidR="00037301">
        <w:t xml:space="preserve"> aufgrund der direkten Auswirkung auf das zeitliche Risiko</w:t>
      </w:r>
      <w:r w:rsidR="005240C6">
        <w:t xml:space="preserve">, welcher auch von der ISO/IEC 20000-1:2011 vorgeschrieben wird </w:t>
      </w:r>
      <w:sdt>
        <w:sdtPr>
          <w:id w:val="-169496656"/>
          <w:citation/>
        </w:sdtPr>
        <w:sdtEndPr/>
        <w:sdtContent>
          <w:r w:rsidR="005240C6">
            <w:fldChar w:fldCharType="begin"/>
          </w:r>
          <w:r w:rsidR="005240C6">
            <w:instrText xml:space="preserve">CITATION ISO11 \p "S. 24" \t  \l 1031 </w:instrText>
          </w:r>
          <w:r w:rsidR="005240C6">
            <w:fldChar w:fldCharType="separate"/>
          </w:r>
          <w:r w:rsidR="005240C6">
            <w:rPr>
              <w:noProof/>
            </w:rPr>
            <w:t>(ISO/IEC 2011, S. 24)</w:t>
          </w:r>
          <w:r w:rsidR="005240C6">
            <w:fldChar w:fldCharType="end"/>
          </w:r>
        </w:sdtContent>
      </w:sdt>
      <w:r w:rsidR="002A14CE">
        <w:t>. Je größer der Abstand zwischen den Releases wi</w:t>
      </w:r>
      <w:r w:rsidR="008D3E9B">
        <w:t>rd, desto umfangreicher wird ein</w:t>
      </w:r>
      <w:r w:rsidR="002A14CE">
        <w:t xml:space="preserve"> </w:t>
      </w:r>
      <w:r w:rsidR="008D3E9B">
        <w:t xml:space="preserve">einzelnes </w:t>
      </w:r>
      <w:r w:rsidR="002A14CE">
        <w:t>Release hinsichtlich der umgesetzten Anforderungen und desto später kann das Feedback der Endkunden eingeholten werden</w:t>
      </w:r>
      <w:r w:rsidR="00D83F8A">
        <w:t xml:space="preserve"> – das Risiko einer Fehlentwicklung steigt</w:t>
      </w:r>
      <w:r w:rsidR="002A14CE">
        <w:t xml:space="preserve"> (vgl. Kapitel 2.1).</w:t>
      </w:r>
      <w:r w:rsidR="00D83F8A">
        <w:t xml:space="preserve"> </w:t>
      </w:r>
      <w:r w:rsidR="008D3E9B">
        <w:t xml:space="preserve">Auch die Dauer bis eine notwendige Fehlerbehebung zur Verfügung gestellt werden kann </w:t>
      </w:r>
      <w:r w:rsidR="007610A0">
        <w:t xml:space="preserve">steigt und je nach Fehlerauswirkung </w:t>
      </w:r>
      <w:r w:rsidR="00326537">
        <w:t>kann die</w:t>
      </w:r>
      <w:r w:rsidR="007610A0">
        <w:t xml:space="preserve"> Kundenzufriedenheit</w:t>
      </w:r>
      <w:r w:rsidR="00326537">
        <w:t xml:space="preserve"> sinken</w:t>
      </w:r>
      <w:r w:rsidR="007610A0">
        <w:t xml:space="preserve"> bzw. erhöhte Prozesskosten</w:t>
      </w:r>
      <w:r w:rsidR="00326537">
        <w:t xml:space="preserve"> entstehen</w:t>
      </w:r>
      <w:r w:rsidR="007610A0">
        <w:t>. Der Testaufwand steigt aufgrund der größeren Komplexität ebenfalls sowie das Risiko einen Fehler zu übersehen</w:t>
      </w:r>
      <w:r w:rsidR="008D3E9B">
        <w:t xml:space="preserve">. </w:t>
      </w:r>
      <w:r w:rsidR="00326537">
        <w:t xml:space="preserve">Der beschriebene Umfang eines Release wird durch die </w:t>
      </w:r>
      <w:r w:rsidR="00326537" w:rsidRPr="00326537">
        <w:rPr>
          <w:b/>
        </w:rPr>
        <w:t>Release-Bündelung</w:t>
      </w:r>
      <w:r w:rsidR="00326537">
        <w:t xml:space="preserve"> bestimmt, d. h. welche Änderungen werden gemeinsam veröffentlicht</w:t>
      </w:r>
      <w:r w:rsidR="005240C6">
        <w:t xml:space="preserve"> </w:t>
      </w:r>
      <w:sdt>
        <w:sdtPr>
          <w:id w:val="2062351046"/>
          <w:citation/>
        </w:sdtPr>
        <w:sdtEndPr/>
        <w:sdtContent>
          <w:r w:rsidR="005240C6">
            <w:fldChar w:fldCharType="begin"/>
          </w:r>
          <w:r w:rsidR="005240C6">
            <w:instrText xml:space="preserve">CITATION ISO12 \p "S. 72" \t  \l 1031 </w:instrText>
          </w:r>
          <w:r w:rsidR="005240C6">
            <w:fldChar w:fldCharType="separate"/>
          </w:r>
          <w:r w:rsidR="005240C6">
            <w:rPr>
              <w:noProof/>
            </w:rPr>
            <w:t>(ISO/IEC 2012, S. 72)</w:t>
          </w:r>
          <w:r w:rsidR="005240C6">
            <w:fldChar w:fldCharType="end"/>
          </w:r>
        </w:sdtContent>
      </w:sdt>
      <w:r w:rsidR="00326537">
        <w:t>. Kurze Release-Zyklen reduzieren die Zeit zur Umsetzung neuer Änderungen und verringern damit die Release-Bündelung</w:t>
      </w:r>
      <w:r w:rsidR="0048741D">
        <w:t>, so dass ggf. jede Änderung als eigenständiges Release veröffentlich wird</w:t>
      </w:r>
      <w:r w:rsidR="00326537">
        <w:t xml:space="preserve">. Aufgrund des direkten Zusammenhangs zwischen dem Release-Zyklus und der Release-Bündelung, wird die Bündelung als Nebeneffekt angesehen und nicht weiter gesondert betrachtet. </w:t>
      </w:r>
      <w:r w:rsidR="008D3E9B">
        <w:t xml:space="preserve">Negativ </w:t>
      </w:r>
      <w:r w:rsidR="00037301">
        <w:t>kann</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w:t>
      </w:r>
      <w:r w:rsidR="00037301">
        <w:rPr>
          <w:b/>
        </w:rPr>
        <w:t xml:space="preserve"> </w:t>
      </w:r>
      <w:r w:rsidR="00037301">
        <w:t>auf das zeitliche Risiko auswirken</w:t>
      </w:r>
      <w:r w:rsidR="008D3E9B">
        <w:t>. Mit der Anzahl der beteiligten Personen an den Prüfungen und Freigaben steigt die Dauer bis zur Freigabe aufgrund von Wartezeiten, in denen niemand aktiv daran arbeitet</w:t>
      </w:r>
      <w:r w:rsidR="00EA2F6B">
        <w:t>. Typischerweise bedeutet</w:t>
      </w:r>
      <w:r w:rsidR="006A6B63">
        <w:t xml:space="preserve"> eine Aufteilung</w:t>
      </w:r>
      <w:r w:rsidR="00EA2F6B">
        <w:t xml:space="preserve"> der Verantwortung</w:t>
      </w:r>
      <w:r w:rsidR="006A6B63">
        <w:t>, dass eine einzelne</w:t>
      </w:r>
      <w:r w:rsidR="00EA2F6B">
        <w:t xml:space="preserve"> Person </w:t>
      </w:r>
      <w:r w:rsidR="00E97129">
        <w:t>weniger</w:t>
      </w:r>
      <w:r w:rsidR="00D245C4">
        <w:t xml:space="preserve"> Aufgaben für </w:t>
      </w:r>
      <w:r w:rsidR="00EA2F6B">
        <w:t xml:space="preserve">eine größere Anzahl </w:t>
      </w:r>
      <w:r w:rsidR="00EA2F6B">
        <w:lastRenderedPageBreak/>
        <w:t>von</w:t>
      </w:r>
      <w:r w:rsidR="006A6B63">
        <w:t xml:space="preserve"> Se</w:t>
      </w:r>
      <w:r w:rsidR="00AD3CB4">
        <w:t>rvices betreuen muss</w:t>
      </w:r>
      <w:r w:rsidR="007E3971">
        <w:t>, um ausgelastet zu sein</w:t>
      </w:r>
      <w:r w:rsidR="006A6B63">
        <w:t>.</w:t>
      </w:r>
      <w:r w:rsidR="008D3E9B">
        <w:t xml:space="preserve"> </w:t>
      </w:r>
      <w:r w:rsidR="00AD3CB4">
        <w:t>Die dadurch häufiger notwendigen</w:t>
      </w:r>
      <w:r w:rsidR="006A6B63">
        <w:t xml:space="preserve"> </w:t>
      </w:r>
      <w:r w:rsidR="005240C6">
        <w:t>Themen</w:t>
      </w:r>
      <w:r w:rsidR="006A6B63">
        <w:t xml:space="preserve">wechsel </w:t>
      </w:r>
      <w:r w:rsidR="00AD3CB4">
        <w:t xml:space="preserve">führen zu längeren Bearbeitungszeiten, da </w:t>
      </w:r>
      <w:r w:rsidR="007E3971">
        <w:t>jedes Mal</w:t>
      </w:r>
      <w:r w:rsidR="00AD3CB4">
        <w:t xml:space="preserve"> eine gewisse Einarbeitungszeit benötigt wird</w:t>
      </w:r>
      <w:r w:rsidR="008D3E9B">
        <w:t>.</w:t>
      </w:r>
      <w:r w:rsidR="00645DA8">
        <w:t xml:space="preserve"> Verstärkt wird dieser Effekt durch </w:t>
      </w:r>
      <w:r w:rsidR="005240C6">
        <w:t xml:space="preserve">eine sinkende Motivation und Leistung der Mitarbeiter, aufgrund der eintönigen und repetitiven Aufgaben </w:t>
      </w:r>
      <w:sdt>
        <w:sdtPr>
          <w:id w:val="1463621277"/>
          <w:citation/>
        </w:sdtPr>
        <w:sdtEndPr/>
        <w:sdtContent>
          <w:r w:rsidR="005240C6">
            <w:fldChar w:fldCharType="begin"/>
          </w:r>
          <w:r w:rsidR="005240C6">
            <w:instrText xml:space="preserve">CITATION Kel82 \p "S. 204 ff." \l 1031 </w:instrText>
          </w:r>
          <w:r w:rsidR="005240C6">
            <w:fldChar w:fldCharType="separate"/>
          </w:r>
          <w:r w:rsidR="005240C6">
            <w:rPr>
              <w:noProof/>
            </w:rPr>
            <w:t>(Kelly 1982, S. 204 ff.)</w:t>
          </w:r>
          <w:r w:rsidR="005240C6">
            <w:fldChar w:fldCharType="end"/>
          </w:r>
        </w:sdtContent>
      </w:sdt>
      <w:r w:rsidR="00EA2F6B">
        <w:t>.</w:t>
      </w:r>
      <w:r w:rsidR="00645DA8">
        <w:t xml:space="preserve"> </w:t>
      </w:r>
      <w:r w:rsidR="00AD3CB4">
        <w:t>Die Rollentrennung kann im Sinne der Qualität aber auch sinnvoll sein, vor allem wenn die Verantwortung mit dem R</w:t>
      </w:r>
      <w:r w:rsidR="00C61B91">
        <w:t>elease von einer Abteilung zu einer A</w:t>
      </w:r>
      <w:r w:rsidR="00AD3CB4">
        <w:t>nderen wechselt</w:t>
      </w:r>
      <w:r w:rsidR="00C61B91">
        <w:t>. Über eine zusätzlich Prüfung, kann dann sichergestellt werden,</w:t>
      </w:r>
      <w:r w:rsidR="00AD3CB4">
        <w:t xml:space="preserve"> dass die Anforderungen der übernehmenden Abteilung eingehalten werden. </w:t>
      </w:r>
      <w:r w:rsidR="00C61B91">
        <w:t>Daher ist</w:t>
      </w:r>
      <w:r w:rsidR="00EA2F6B">
        <w:t xml:space="preserve"> </w:t>
      </w:r>
      <w:r w:rsidR="00C61B91">
        <w:t xml:space="preserve">der </w:t>
      </w:r>
      <w:r w:rsidR="00EA2F6B">
        <w:t>Faktor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 xml:space="preserve">direkt </w:t>
      </w:r>
      <w:r w:rsidR="006A6B63">
        <w:t>abhängig von den entsprechenden Rollen</w:t>
      </w:r>
      <w:r w:rsidR="00EA2F6B">
        <w:t xml:space="preserve"> und </w:t>
      </w:r>
      <w:r w:rsidR="00037301">
        <w:t>ein wichtiges Mittel um Qualität sicherzustellen. Die Forcierung der Einhaltung von Qualitätskriterien, z. B. durch den zwingenden Nachweis von Testergebnissen, stellt sicher, dass kein Release unterhalb des definierten Qualitätsniveaus veröffentlicht wird. Eine Ausnahme ist die bewusste Entscheidung trotzdem das Release zu veröffentlichen, aufgrund von anderen Risiken (z. B. Zeit</w:t>
      </w:r>
      <w:r w:rsidR="00FB54F6">
        <w:t>druck</w:t>
      </w:r>
      <w:r w:rsidR="00037301">
        <w:t xml:space="preserve"> oder drohenden Kosten)</w:t>
      </w:r>
      <w:r w:rsidR="00FB54F6">
        <w:t>. In diesem Fall führt diese Richtlinie jedoch zu Transparenz und vermeidet die blinde Risikoakzeptanz.</w:t>
      </w:r>
      <w:r w:rsidR="00EA2F6B">
        <w:t xml:space="preserve"> </w:t>
      </w:r>
      <w:r w:rsidR="00645DA8">
        <w:t xml:space="preserve">Ein positiver Aspekt der die Durchlaufzeit begünstigt </w:t>
      </w:r>
      <w:r w:rsidR="005240C6">
        <w:t xml:space="preserve">und Risiken senkt </w:t>
      </w:r>
      <w:r w:rsidR="00645DA8">
        <w:t xml:space="preserve">ist die </w:t>
      </w:r>
      <w:r w:rsidR="00645DA8" w:rsidRPr="00EA2F6B">
        <w:rPr>
          <w:b/>
        </w:rPr>
        <w:t>Automatisierung</w:t>
      </w:r>
      <w:r w:rsidR="00645DA8">
        <w:t xml:space="preserve"> von</w:t>
      </w:r>
      <w:r w:rsidR="00EA2F6B">
        <w:t xml:space="preserve"> Tätigkeiten</w:t>
      </w:r>
      <w:r w:rsidR="005240C6">
        <w:t xml:space="preserve"> </w:t>
      </w:r>
      <w:sdt>
        <w:sdtPr>
          <w:id w:val="1613251664"/>
          <w:citation/>
        </w:sdtPr>
        <w:sdtEndPr/>
        <w:sdtContent>
          <w:r w:rsidR="005240C6">
            <w:fldChar w:fldCharType="begin"/>
          </w:r>
          <w:r w:rsidR="005240C6">
            <w:instrText xml:space="preserve">CITATION Bau14 \p "S. 6" \t  \l 1031 </w:instrText>
          </w:r>
          <w:r w:rsidR="005240C6">
            <w:fldChar w:fldCharType="separate"/>
          </w:r>
          <w:r w:rsidR="005240C6">
            <w:rPr>
              <w:noProof/>
            </w:rPr>
            <w:t>(Baumann 2014, S. 6)</w:t>
          </w:r>
          <w:r w:rsidR="005240C6">
            <w:fldChar w:fldCharType="end"/>
          </w:r>
        </w:sdtContent>
      </w:sdt>
      <w:r w:rsidR="00EA2F6B">
        <w:t xml:space="preserve">. Dieser steht </w:t>
      </w:r>
      <w:r w:rsidR="00645DA8">
        <w:t>eng mit dem Release-Zyklus in Verbindung, denn bei einer kurzen Durchlaufzeit und häufiger Wiederholung ist eine Automation unabdingba</w:t>
      </w:r>
      <w:r w:rsidR="007610A0">
        <w:t>r. Bei wenigen Releases mit</w:t>
      </w:r>
      <w:r w:rsidR="00312900">
        <w:t xml:space="preserve"> größerem Ä</w:t>
      </w:r>
      <w:r w:rsidR="00645DA8">
        <w:t xml:space="preserve">nderungsumfang und daraus resultierenden größeren Anpassungsbedarfen der Automatisierung ist diese </w:t>
      </w:r>
      <w:r w:rsidR="006A6B63">
        <w:t xml:space="preserve">wiederum </w:t>
      </w:r>
      <w:r w:rsidR="00645DA8">
        <w:t>zu überdenken.</w:t>
      </w:r>
      <w:r w:rsidR="006A6B63">
        <w:t xml:space="preserve"> Daher wird die Automatisierung nich</w:t>
      </w:r>
      <w:r w:rsidR="00EA2F6B">
        <w:t>t als einzelner Faktor</w:t>
      </w:r>
      <w:r w:rsidR="00037301">
        <w:t xml:space="preserve"> des TPS-Prozess</w:t>
      </w:r>
      <w:r w:rsidR="00EA2F6B">
        <w:t xml:space="preserve">, sondern </w:t>
      </w:r>
      <w:r w:rsidR="006A6B63">
        <w:t>in Abhängigkeit vom Release-Zyklus gewertet.</w:t>
      </w:r>
      <w:r w:rsidR="00E13F2F">
        <w:t xml:space="preserve"> </w:t>
      </w:r>
      <w:r w:rsidR="00FB54F6">
        <w:t xml:space="preserve">Die </w:t>
      </w:r>
      <w:r w:rsidR="00FB54F6" w:rsidRPr="00FB54F6">
        <w:rPr>
          <w:b/>
        </w:rPr>
        <w:t>Abschlusskriterien</w:t>
      </w:r>
      <w:r w:rsidR="00FB54F6">
        <w:t xml:space="preserve"> der Beobachtungsphase sind von verschiedenen Faktoren abhängig. Entscheidend ist jedoch der Umfang der Änderung, denn je kleiner </w:t>
      </w:r>
      <w:r w:rsidR="0048741D">
        <w:t xml:space="preserve">der Umfang, </w:t>
      </w:r>
      <w:r w:rsidR="00FB54F6">
        <w:t xml:space="preserve">desto geringer das Risiko eines Problems und desto kürzer der Beobachtungszeitraum. Daher wird dieser Faktor ebenfalls in Abhängigkeit des </w:t>
      </w:r>
      <w:r w:rsidR="00FB54F6" w:rsidRPr="00FB54F6">
        <w:rPr>
          <w:b/>
        </w:rPr>
        <w:t>Release-Zyklus</w:t>
      </w:r>
      <w:r w:rsidR="00FB54F6">
        <w:t xml:space="preserve"> betrachtet.</w:t>
      </w:r>
    </w:p>
    <w:p w14:paraId="007F1F16" w14:textId="36EA0C00"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in Abhängigkeit </w:t>
      </w:r>
      <w:r w:rsidR="00FB54F6">
        <w:t>des Ri</w:t>
      </w:r>
      <w:r w:rsidR="001B2E93">
        <w:t>sikotyps</w:t>
      </w:r>
      <w:r w:rsidR="00FB54F6">
        <w:t xml:space="preserve"> </w:t>
      </w:r>
      <w:r>
        <w:t>zu definieren</w:t>
      </w:r>
      <w:r w:rsidR="00FB54F6">
        <w:t>, welche vor allem eine Auswirku</w:t>
      </w:r>
      <w:r w:rsidR="00845B0C">
        <w:t>ng auf die Zeit</w:t>
      </w:r>
      <w:r w:rsidR="00FB54F6">
        <w:t xml:space="preserve"> haben</w:t>
      </w:r>
      <w:r>
        <w:t>.</w:t>
      </w:r>
    </w:p>
    <w:p w14:paraId="55BF5BD1" w14:textId="6BC0B899" w:rsidR="00B47F0C" w:rsidRDefault="005E2E45" w:rsidP="00E67FF7">
      <w:pPr>
        <w:pStyle w:val="berschrift2"/>
      </w:pPr>
      <w:bookmarkStart w:id="70" w:name="_Ref450406185"/>
      <w:bookmarkStart w:id="71" w:name="_Ref450406361"/>
      <w:bookmarkStart w:id="72" w:name="_Ref450406746"/>
      <w:bookmarkStart w:id="73" w:name="_Ref450484385"/>
      <w:bookmarkStart w:id="74" w:name="_Ref450484394"/>
      <w:bookmarkStart w:id="75" w:name="_Toc456884974"/>
      <w:r w:rsidRPr="005E2E45">
        <w:t>Change Management</w:t>
      </w:r>
      <w:bookmarkEnd w:id="70"/>
      <w:bookmarkEnd w:id="71"/>
      <w:bookmarkEnd w:id="72"/>
      <w:bookmarkEnd w:id="73"/>
      <w:bookmarkEnd w:id="74"/>
      <w:bookmarkEnd w:id="75"/>
    </w:p>
    <w:p w14:paraId="1F0E1533" w14:textId="1B1E1F4E" w:rsidR="00EA2F6B" w:rsidRDefault="00867E7F" w:rsidP="00EA2F6B">
      <w:r>
        <w:t xml:space="preserve">Der Change Management </w:t>
      </w:r>
      <w:r w:rsidR="00865469">
        <w:t xml:space="preserve">(CHM) </w:t>
      </w:r>
      <w:r>
        <w:t>Prozess dient der Steue</w:t>
      </w:r>
      <w:r w:rsidR="00312900">
        <w:t>rung des Lebenszyklus aller Ä</w:t>
      </w:r>
      <w:r>
        <w:t>nderungen zur minimalen Beeinflussung der produktiven Services</w:t>
      </w:r>
      <w:sdt>
        <w:sdtPr>
          <w:id w:val="489761824"/>
          <w:citation/>
        </w:sdtPr>
        <w:sdtEndPr/>
        <w:sdtContent>
          <w:r>
            <w:fldChar w:fldCharType="begin"/>
          </w:r>
          <w:r>
            <w:instrText xml:space="preserve">CITATION AXE11 \p "S. 61" \l 1031 </w:instrText>
          </w:r>
          <w:r>
            <w:fldChar w:fldCharType="separate"/>
          </w:r>
          <w:r>
            <w:rPr>
              <w:noProof/>
            </w:rPr>
            <w:t xml:space="preserve"> (AXELOS 2011, S. 61)</w:t>
          </w:r>
          <w:r>
            <w:fldChar w:fldCharType="end"/>
          </w:r>
        </w:sdtContent>
      </w:sdt>
      <w:r>
        <w:t>.</w:t>
      </w:r>
      <w:r w:rsidR="00312900">
        <w:t xml:space="preserve"> Der Fokus liegt demnach nicht auf organisatorischen Veränderungen sondern auf technischen Änderungen an IT-Services.</w:t>
      </w:r>
      <w:r>
        <w:t xml:space="preserve"> Ziele sind die Optimierung der Geschäftsrisiken unter Beachtung des potentiellen Nutzens, der </w:t>
      </w:r>
      <w:r>
        <w:lastRenderedPageBreak/>
        <w:t>Kundenanforderungen und</w:t>
      </w:r>
      <w:r w:rsidR="008608B3">
        <w:t xml:space="preserve"> der </w:t>
      </w:r>
      <w:r w:rsidR="007610A0">
        <w:t>nötigen</w:t>
      </w:r>
      <w:r w:rsidR="008608B3">
        <w:t xml:space="preserve"> Dokumentation</w:t>
      </w:r>
      <w:sdt>
        <w:sdtPr>
          <w:id w:val="-1256593697"/>
          <w:citation/>
        </w:sdtPr>
        <w:sdtEnd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End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Weiterhin lassen sich durch einen gut</w:t>
      </w:r>
      <w:r w:rsidR="007610A0">
        <w:t xml:space="preserve"> </w:t>
      </w:r>
      <w:r w:rsidR="008608B3">
        <w:t>strukturierten Change Management Prozess erhebliche Kosteneinsparungen realisieren</w:t>
      </w:r>
      <w:sdt>
        <w:sdtPr>
          <w:id w:val="-1303778014"/>
          <w:citation/>
        </w:sdtPr>
        <w:sdtEnd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Für den CHM-Prozess werden folgende spezifische Regelungen empfohlen</w:t>
      </w:r>
      <w:sdt>
        <w:sdtPr>
          <w:id w:val="1856995364"/>
          <w:citation/>
        </w:sdtPr>
        <w:sdtEnd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220E4765" w:rsidR="008608B3" w:rsidRDefault="008608B3" w:rsidP="008608B3">
      <w:pPr>
        <w:pStyle w:val="Listenabsatz"/>
        <w:numPr>
          <w:ilvl w:val="0"/>
          <w:numId w:val="29"/>
        </w:numPr>
      </w:pPr>
      <w:r>
        <w:t>Ausrichtung d</w:t>
      </w:r>
      <w:r w:rsidR="0064096F">
        <w:t>es Change Management</w:t>
      </w:r>
      <w:r w:rsidR="0048741D">
        <w:t>s</w:t>
      </w:r>
      <w:r>
        <w:t xml:space="preserve"> an die Stakeholder</w:t>
      </w:r>
    </w:p>
    <w:p w14:paraId="247DE470" w14:textId="1CCED1D7" w:rsidR="008608B3" w:rsidRDefault="008608B3" w:rsidP="008608B3">
      <w:pPr>
        <w:pStyle w:val="Listenabsatz"/>
        <w:numPr>
          <w:ilvl w:val="0"/>
          <w:numId w:val="29"/>
        </w:numPr>
      </w:pPr>
      <w:r>
        <w:t>Messen der Mehrwerte von Changes</w:t>
      </w:r>
    </w:p>
    <w:p w14:paraId="31F4F103" w14:textId="0DCE0090" w:rsidR="008608B3" w:rsidRPr="00FC0D49" w:rsidRDefault="0064096F" w:rsidP="008608B3">
      <w:pPr>
        <w:pStyle w:val="Listenabsatz"/>
        <w:numPr>
          <w:ilvl w:val="0"/>
          <w:numId w:val="29"/>
        </w:numPr>
      </w:pPr>
      <w:r w:rsidRPr="00FC0D49">
        <w:t>Priorisierung von Changes</w:t>
      </w:r>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Nachverfolgbarkeit von Changes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Leistungs- und Risikobewertung aller Changes</w:t>
      </w:r>
    </w:p>
    <w:p w14:paraId="0431F4D3" w14:textId="489FAB8C" w:rsidR="0064096F" w:rsidRPr="004E72CB" w:rsidRDefault="0064096F" w:rsidP="008608B3">
      <w:pPr>
        <w:pStyle w:val="Listenabsatz"/>
        <w:numPr>
          <w:ilvl w:val="0"/>
          <w:numId w:val="29"/>
        </w:numPr>
      </w:pPr>
      <w:r w:rsidRPr="004E72CB">
        <w:t>Messung der Effizienz und Effektivität von Changes</w:t>
      </w:r>
    </w:p>
    <w:p w14:paraId="6851B41D" w14:textId="16EEA23B"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w:t>
      </w:r>
      <w:r w:rsidR="0048741D">
        <w:t>s</w:t>
      </w:r>
      <w:r w:rsidR="007233B5">
        <w:t xml:space="preserve"> zu errei</w:t>
      </w:r>
      <w:r w:rsidR="006E3E0F">
        <w:t>chen und sicherzustellen, dass überhaupt e</w:t>
      </w:r>
      <w:r w:rsidR="007233B5">
        <w:t>ine Risikobewertung erfolg</w:t>
      </w:r>
      <w:r w:rsidR="00C24124">
        <w:t xml:space="preserve">t. Ein Change-Prozess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EndPr/>
        <w:sdtContent>
          <w:r w:rsidR="004E72CB">
            <w:fldChar w:fldCharType="begin"/>
          </w:r>
          <w:r w:rsidR="004E72CB">
            <w:instrText xml:space="preserve">CITATION AXE11 \p "S. 89" \l 1031 </w:instrText>
          </w:r>
          <w:r w:rsidR="004E72CB">
            <w:fldChar w:fldCharType="separate"/>
          </w:r>
          <w:r w:rsidR="004E72CB">
            <w:rPr>
              <w:noProof/>
            </w:rPr>
            <w:t xml:space="preserve"> (AXELOS 2011, S. 89)</w:t>
          </w:r>
          <w:r w:rsidR="004E72CB">
            <w:fldChar w:fldCharType="end"/>
          </w:r>
        </w:sdtContent>
      </w:sdt>
      <w:r w:rsidR="00C24124">
        <w:t xml:space="preserve">. </w:t>
      </w:r>
      <w:r w:rsidR="007233B5">
        <w:t>Mit der richtigen kulturellen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312900">
        <w:t xml:space="preserve"> Ä</w:t>
      </w:r>
      <w:r w:rsidR="007233B5">
        <w:t>nderung sinnvoll ist, nur weil ein Service bestimmte Mer</w:t>
      </w:r>
      <w:r w:rsidR="004B4F7B">
        <w:t xml:space="preserve">kmale aufweist. Abhängig </w:t>
      </w:r>
      <w:r w:rsidR="007233B5">
        <w:t xml:space="preserve">von der Mehrwertbemessung ist die </w:t>
      </w:r>
      <w:r w:rsidR="007233B5" w:rsidRPr="00FC0D49">
        <w:rPr>
          <w:b/>
        </w:rPr>
        <w:t>Priorität</w:t>
      </w:r>
      <w:r w:rsidR="00312900">
        <w:t xml:space="preserve"> einer Ä</w:t>
      </w:r>
      <w:r w:rsidR="007233B5">
        <w:t>nderung. Je höher der Nu</w:t>
      </w:r>
      <w:r w:rsidR="00312900">
        <w:t>tzen, desto eher sollte die Ä</w:t>
      </w:r>
      <w:r w:rsidR="007233B5">
        <w:t xml:space="preserve">nderung herbeigeführt werden ergo desto </w:t>
      </w:r>
      <w:r w:rsidR="004B4F7B">
        <w:t>höher sollte die Priorität eingestuft</w:t>
      </w:r>
      <w:r w:rsidR="007233B5">
        <w:t xml:space="preserve"> </w:t>
      </w:r>
      <w:r w:rsidR="004B4F7B">
        <w:t>werden</w:t>
      </w:r>
      <w:r w:rsidR="007233B5">
        <w:t xml:space="preserve">. </w:t>
      </w:r>
      <w:r w:rsidR="00312900">
        <w:t>Potentiell sind Ä</w:t>
      </w:r>
      <w:r w:rsidR="004B4F7B">
        <w:t xml:space="preserve">nderungen von </w:t>
      </w:r>
      <w:r w:rsidR="007233B5">
        <w:t xml:space="preserve">Services mit hohem Geschäftsnutzen oder strategischer Bedeutung </w:t>
      </w:r>
      <w:r w:rsidR="004B4F7B">
        <w:t>zwar wichtiger, da aber der Mehrwert nicht pauschal für alle Änderungen definiert werden kann, ist auch die Prio</w:t>
      </w:r>
      <w:r w:rsidR="004B4F7B">
        <w:lastRenderedPageBreak/>
        <w:t>rität nicht pauschal hoch oder niedrig</w:t>
      </w:r>
      <w:r w:rsidR="007233B5">
        <w:t>.</w:t>
      </w:r>
      <w:r w:rsidR="00FC0D49">
        <w:t xml:space="preserve"> </w:t>
      </w:r>
      <w:r w:rsidR="006E3E0F">
        <w:t xml:space="preserve">Bei jedem Change ist zudem </w:t>
      </w:r>
      <w:r w:rsidR="004E72CB">
        <w:t>das entsprechende Risiko</w:t>
      </w:r>
      <w:r w:rsidR="006E3E0F">
        <w:t xml:space="preserve"> zu beachten</w:t>
      </w:r>
      <w:r w:rsidR="004E72CB">
        <w:t xml:space="preserve">, so dass die Durchführung von </w:t>
      </w:r>
      <w:r w:rsidR="004E72CB" w:rsidRPr="004E72CB">
        <w:rPr>
          <w:b/>
        </w:rPr>
        <w:t>Leistungs- und Risikobewertungen</w:t>
      </w:r>
      <w:r w:rsidR="004E72CB">
        <w:t xml:space="preserve"> ebenfalls jederzeit zu erfolgen hat</w:t>
      </w:r>
      <w:r w:rsidR="006E3E0F">
        <w:t>, da auch eine kleine Änderung an einem unkritischen Service zu größeren Problemen führen kann</w:t>
      </w:r>
      <w:r w:rsidR="004E72CB">
        <w:t xml:space="preserve">. </w:t>
      </w:r>
      <w:r w:rsidR="00FC0D49">
        <w:t>Sehr 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 xml:space="preserve">Generell muss es für jeden Service eine Verantwortungsdefinition geben, damit bei Entscheidungen </w:t>
      </w:r>
      <w:r w:rsidR="006E3E0F">
        <w:t xml:space="preserve">die Kompetenzen </w:t>
      </w:r>
      <w:r w:rsidR="00523BB3">
        <w:t xml:space="preserve">klar </w:t>
      </w:r>
      <w:r w:rsidR="006E3E0F">
        <w:t>sind</w:t>
      </w:r>
      <w:r w:rsidR="00523BB3">
        <w:t>. Die Auftrennung der Verantwortung kann jedoch bei jedem Service anders sein, da unterschiedliche Personen in unterschiedlichen Rollen mit individuellen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w:t>
      </w:r>
      <w:r w:rsidR="003362A0">
        <w:t xml:space="preserve"> </w:t>
      </w:r>
      <w:sdt>
        <w:sdtPr>
          <w:id w:val="-535050389"/>
          <w:citation/>
        </w:sdtPr>
        <w:sdtEndPr/>
        <w:sdtContent>
          <w:r w:rsidR="003362A0">
            <w:fldChar w:fldCharType="begin"/>
          </w:r>
          <w:r w:rsidR="003362A0">
            <w:instrText xml:space="preserve">CITATION AXE11 \p "S. 68" \l 1031 </w:instrText>
          </w:r>
          <w:r w:rsidR="003362A0">
            <w:fldChar w:fldCharType="separate"/>
          </w:r>
          <w:r w:rsidR="003362A0">
            <w:rPr>
              <w:noProof/>
            </w:rPr>
            <w:t>(AXELOS 2011, S. 68)</w:t>
          </w:r>
          <w:r w:rsidR="003362A0">
            <w:fldChar w:fldCharType="end"/>
          </w:r>
        </w:sdtContent>
      </w:sdt>
      <w:r w:rsidR="00523BB3">
        <w:t>. Um unnötige Verzögerungen zu vermeiden, sollten aber die Verantwortlichkeiten nicht zu stark verteilt werden</w:t>
      </w:r>
      <w:r w:rsidR="006E3E0F">
        <w:t xml:space="preserve"> (vgl. Kapitel </w:t>
      </w:r>
      <w:r w:rsidR="006E3E0F">
        <w:fldChar w:fldCharType="begin"/>
      </w:r>
      <w:r w:rsidR="006E3E0F">
        <w:instrText xml:space="preserve"> REF _Ref446517322 \r \h </w:instrText>
      </w:r>
      <w:r w:rsidR="006E3E0F">
        <w:fldChar w:fldCharType="separate"/>
      </w:r>
      <w:r w:rsidR="006E3E0F">
        <w:t>4.1</w:t>
      </w:r>
      <w:r w:rsidR="006E3E0F">
        <w:fldChar w:fldCharType="end"/>
      </w:r>
      <w:r w:rsidR="006E3E0F">
        <w:t>)</w:t>
      </w:r>
      <w:r w:rsidR="00523BB3">
        <w:t>.</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gestalten.</w:t>
      </w:r>
      <w:r w:rsidR="006510BC">
        <w:t xml:space="preserve"> Die gleiche Argumentation gilt auch für den Faktor der </w:t>
      </w:r>
      <w:r w:rsidR="006510BC">
        <w:rPr>
          <w:b/>
        </w:rPr>
        <w:t>Zugriffsbeschränkung</w:t>
      </w:r>
      <w:r w:rsidR="006510BC">
        <w:t>, da diese von der jeweiligen Verantwortung der Personen abhängig sind. Prinzipiell sollten</w:t>
      </w:r>
      <w:r w:rsidR="006E3E0F">
        <w:t xml:space="preserve"> jedoch</w:t>
      </w:r>
      <w:r w:rsidR="006510BC">
        <w:t xml:space="preserve"> für alle Services derartige Beschränkungen festgelegt werden.</w:t>
      </w:r>
      <w:r w:rsidR="00FC0D49">
        <w:t xml:space="preserve"> Ein </w:t>
      </w:r>
      <w:r w:rsidR="00FC0D49" w:rsidRPr="00FC0D49">
        <w:rPr>
          <w:b/>
        </w:rPr>
        <w:t>zentraler Anlaufpunkt</w:t>
      </w:r>
      <w:r w:rsidR="00312900">
        <w:t xml:space="preserve"> für alle Ä</w:t>
      </w:r>
      <w:r w:rsidR="00FC0D49">
        <w:t xml:space="preserve">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EndPr/>
        <w:sdtContent>
          <w:r w:rsidR="00ED0C47">
            <w:fldChar w:fldCharType="begin"/>
          </w:r>
          <w:r w:rsidR="00ED0C47">
            <w:instrText xml:space="preserve">CITATION AXE11 \p "S. 80" \l 1031 </w:instrText>
          </w:r>
          <w:r w:rsidR="00ED0C47">
            <w:fldChar w:fldCharType="separate"/>
          </w:r>
          <w:r w:rsidR="00ED0C47">
            <w:rPr>
              <w:noProof/>
            </w:rPr>
            <w:t>(AXELOS 2011, S. 80)</w:t>
          </w:r>
          <w:r w:rsidR="00ED0C47">
            <w:fldChar w:fldCharType="end"/>
          </w:r>
        </w:sdtContent>
      </w:sdt>
      <w:r w:rsidR="00312900">
        <w:t>. Es prüft alle Ä</w:t>
      </w:r>
      <w:r w:rsidR="00EA0FFE">
        <w:t>nderungen und gibt diese frei bzw. lehnt sie</w:t>
      </w:r>
      <w:r w:rsidR="003362A0">
        <w:t xml:space="preserve"> mit Hinweisen zur Verbesserung</w:t>
      </w:r>
      <w:r w:rsidR="00EA0FFE">
        <w:t xml:space="preserve"> ab</w:t>
      </w:r>
      <w:sdt>
        <w:sdtPr>
          <w:id w:val="-1084692606"/>
          <w:citation/>
        </w:sdtPr>
        <w:sdtEndPr/>
        <w:sdtContent>
          <w:r w:rsidR="00ED0C47">
            <w:fldChar w:fldCharType="begin"/>
          </w:r>
          <w:r w:rsidR="003362A0">
            <w:instrText xml:space="preserve">CITATION AXE11 \p "S. 67, 80" \l 1031 </w:instrText>
          </w:r>
          <w:r w:rsidR="00ED0C47">
            <w:fldChar w:fldCharType="separate"/>
          </w:r>
          <w:r w:rsidR="003362A0">
            <w:rPr>
              <w:noProof/>
            </w:rPr>
            <w:t xml:space="preserve"> (AXELOS 2011, S. 67, 80)</w:t>
          </w:r>
          <w:r w:rsidR="00ED0C47">
            <w:fldChar w:fldCharType="end"/>
          </w:r>
        </w:sdtContent>
      </w:sdt>
      <w:r w:rsidR="00EA0FFE">
        <w:t xml:space="preserve">. </w:t>
      </w:r>
      <w:r w:rsidR="003362A0">
        <w:t>Diese Funktion ist gerade dann</w:t>
      </w:r>
      <w:r w:rsidR="00312900">
        <w:t xml:space="preserve"> wichtig, wenn verschiedene Ä</w:t>
      </w:r>
      <w:r w:rsidR="003362A0">
        <w:t>nderungsvorhaben in einer Dimension, z. B. hinsichtlich der benötigten personellen Ressourcen im Konflikt stehen o</w:t>
      </w:r>
      <w:r w:rsidR="00312900">
        <w:t>der andere Services von der Ä</w:t>
      </w:r>
      <w:r w:rsidR="003362A0">
        <w:t>nderung betroffen sind</w:t>
      </w:r>
      <w:sdt>
        <w:sdtPr>
          <w:id w:val="-1230612652"/>
          <w:citation/>
        </w:sdtPr>
        <w:sdtEndPr/>
        <w:sdtContent>
          <w:r w:rsidR="003362A0">
            <w:fldChar w:fldCharType="begin"/>
          </w:r>
          <w:r w:rsidR="003362A0">
            <w:instrText xml:space="preserve">CITATION AXE11 \p "S. 64" \l 1031 </w:instrText>
          </w:r>
          <w:r w:rsidR="003362A0">
            <w:fldChar w:fldCharType="separate"/>
          </w:r>
          <w:r w:rsidR="003362A0">
            <w:rPr>
              <w:noProof/>
            </w:rPr>
            <w:t xml:space="preserve"> (AXELOS 2011, S. 64)</w:t>
          </w:r>
          <w:r w:rsidR="003362A0">
            <w:fldChar w:fldCharType="end"/>
          </w:r>
        </w:sdtContent>
      </w:sdt>
      <w:r w:rsidR="003362A0">
        <w:t>. U</w:t>
      </w:r>
      <w:r w:rsidR="00ED0C47">
        <w:t>m den</w:t>
      </w:r>
      <w:r w:rsidR="00EA0FFE">
        <w:t xml:space="preserve"> verschiedenen Priorisierung gerecht zu werden</w:t>
      </w:r>
      <w:r w:rsidR="003362A0">
        <w:t>, werden mehrere Change-Typen unterschieden</w:t>
      </w:r>
      <w:r w:rsidR="007218A4">
        <w:t xml:space="preserve"> </w:t>
      </w:r>
      <w:sdt>
        <w:sdtPr>
          <w:id w:val="1188721109"/>
          <w:citation/>
        </w:sdtPr>
        <w:sdtEndPr/>
        <w:sdtContent>
          <w:r w:rsidR="007218A4">
            <w:fldChar w:fldCharType="begin"/>
          </w:r>
          <w:r w:rsidR="007218A4">
            <w:instrText xml:space="preserve">CITATION AXE11 \p "S. 65" \l 1031 </w:instrText>
          </w:r>
          <w:r w:rsidR="007218A4">
            <w:fldChar w:fldCharType="separate"/>
          </w:r>
          <w:r w:rsidR="007218A4">
            <w:rPr>
              <w:noProof/>
            </w:rPr>
            <w:t>(AXELOS 2011, S. 65)</w:t>
          </w:r>
          <w:r w:rsidR="007218A4">
            <w:fldChar w:fldCharType="end"/>
          </w:r>
        </w:sdtContent>
      </w:sdt>
      <w:r w:rsidR="00EA0FFE">
        <w:t>. Emergency</w:t>
      </w:r>
      <w:r w:rsidR="008C01EF">
        <w:t xml:space="preserve"> Changes</w:t>
      </w:r>
      <w:r w:rsidR="00312900">
        <w:t xml:space="preserve"> sind Ä</w:t>
      </w:r>
      <w:r w:rsidR="007218A4">
        <w:t>nderungen</w:t>
      </w:r>
      <w:r w:rsidR="005240C6">
        <w:t>,</w:t>
      </w:r>
      <w:r w:rsidR="007218A4">
        <w:t xml:space="preserve"> die so schnell wie möglich durchgeführt werden müssen, um einen schweren Fehler zu beheben oder um ein Sicherheitsupdate einzuspielen</w:t>
      </w:r>
      <w:sdt>
        <w:sdtPr>
          <w:id w:val="332033337"/>
          <w:citation/>
        </w:sdtPr>
        <w:sdtEnd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7218A4">
        <w:t>. St</w:t>
      </w:r>
      <w:r w:rsidR="00312900">
        <w:t>andard Changes dagegen sind Ä</w:t>
      </w:r>
      <w:r w:rsidR="007218A4">
        <w:t>nderungen mit geringem Risiko, welche oft durchgeführt werden und als Routinetätigkeit angesehen werden können</w:t>
      </w:r>
      <w:r w:rsidR="003362A0">
        <w:t xml:space="preserve"> und demnach bevorzugt durchzuführen sind</w:t>
      </w:r>
      <w:sdt>
        <w:sdtPr>
          <w:id w:val="-1542744645"/>
          <w:citation/>
        </w:sdtPr>
        <w:sdtEndPr/>
        <w:sdtContent>
          <w:r w:rsidR="007218A4">
            <w:fldChar w:fldCharType="begin"/>
          </w:r>
          <w:r w:rsidR="000E16A4">
            <w:instrText xml:space="preserve">CITATION AXE11 \p "S. 65" \m ISO12 \p "S. 72" \t  \l 1031 </w:instrText>
          </w:r>
          <w:r w:rsidR="007218A4">
            <w:fldChar w:fldCharType="separate"/>
          </w:r>
          <w:r w:rsidR="000E16A4">
            <w:rPr>
              <w:noProof/>
            </w:rPr>
            <w:t xml:space="preserve"> (AXELOS 2011, S. 65, ISO/IEC 2012, S. 72)</w:t>
          </w:r>
          <w:r w:rsidR="007218A4">
            <w:fldChar w:fldCharType="end"/>
          </w:r>
        </w:sdtContent>
      </w:sdt>
      <w:r w:rsidR="003362A0">
        <w:t xml:space="preserve">. </w:t>
      </w:r>
      <w:r w:rsidR="00312900">
        <w:t>Alle anderen Ä</w:t>
      </w:r>
      <w:r w:rsidR="007218A4">
        <w:t>nderungen werden als Normal Changes bezeichnet</w:t>
      </w:r>
      <w:sdt>
        <w:sdtPr>
          <w:id w:val="-1378552887"/>
          <w:citation/>
        </w:sdtPr>
        <w:sdtEnd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312900">
        <w:t>Ä</w:t>
      </w:r>
      <w:r w:rsidR="007218A4">
        <w:t>nderung</w:t>
      </w:r>
      <w:r w:rsidR="00FC0D49">
        <w:t xml:space="preserve"> </w:t>
      </w:r>
      <w:r w:rsidR="00ED0C47">
        <w:t>aktiv werden muss</w:t>
      </w:r>
      <w:sdt>
        <w:sdtPr>
          <w:id w:val="-585225557"/>
          <w:citation/>
        </w:sdtPr>
        <w:sdtEndPr/>
        <w:sdtContent>
          <w:r w:rsidR="00ED0C47">
            <w:fldChar w:fldCharType="begin"/>
          </w:r>
          <w:r w:rsidR="00ED0C47">
            <w:instrText xml:space="preserve">CITATION AXE11 \p "S. 80" \l 1031 </w:instrText>
          </w:r>
          <w:r w:rsidR="00ED0C47">
            <w:fldChar w:fldCharType="separate"/>
          </w:r>
          <w:r w:rsidR="00ED0C47">
            <w:rPr>
              <w:noProof/>
            </w:rPr>
            <w:t xml:space="preserve"> (AXELOS 2011, S. </w:t>
          </w:r>
          <w:r w:rsidR="00ED0C47">
            <w:rPr>
              <w:noProof/>
            </w:rPr>
            <w:lastRenderedPageBreak/>
            <w:t>80)</w:t>
          </w:r>
          <w:r w:rsidR="00ED0C47">
            <w:fldChar w:fldCharType="end"/>
          </w:r>
        </w:sdtContent>
      </w:sdt>
      <w:r w:rsidR="00FC0D49">
        <w:t xml:space="preserve">. </w:t>
      </w:r>
      <w:r w:rsidR="008E73D9">
        <w:t>Über das Standard Change Konstrukt ist e</w:t>
      </w:r>
      <w:r w:rsidR="00312900">
        <w:t>s möglich, die Freigabe für Ä</w:t>
      </w:r>
      <w:r w:rsidR="008E73D9">
        <w:t>nderungen</w:t>
      </w:r>
      <w:r w:rsidR="003362A0">
        <w:t>, wie z. B. Releases,</w:t>
      </w:r>
      <w:r w:rsidR="008E73D9">
        <w:t xml:space="preserve"> im Voraus zu erhalten, wenn dafür eine zuvor abgestimmtes Verfahren eingehalten wird</w:t>
      </w:r>
      <w:sdt>
        <w:sdtPr>
          <w:id w:val="-990401516"/>
          <w:citation/>
        </w:sdtPr>
        <w:sdtEndPr/>
        <w:sdtContent>
          <w:r w:rsidR="003362A0">
            <w:fldChar w:fldCharType="begin"/>
          </w:r>
          <w:r w:rsidR="003362A0">
            <w:instrText xml:space="preserve">CITATION AXE11 \p "S. 69" \l 1031 </w:instrText>
          </w:r>
          <w:r w:rsidR="003362A0">
            <w:fldChar w:fldCharType="separate"/>
          </w:r>
          <w:r w:rsidR="003362A0">
            <w:rPr>
              <w:noProof/>
            </w:rPr>
            <w:t xml:space="preserve"> (AXELOS 2011, S. 69)</w:t>
          </w:r>
          <w:r w:rsidR="003362A0">
            <w:fldChar w:fldCharType="end"/>
          </w:r>
        </w:sdtContent>
      </w:sdt>
      <w:r w:rsidR="008E73D9">
        <w:t>.</w:t>
      </w:r>
      <w:r w:rsidR="00AF3E28">
        <w:t xml:space="preserve"> Demnach sollte bei zeitkritischen Services das Verfahren für die Veröffe</w:t>
      </w:r>
      <w:r w:rsidR="00EF3AB7">
        <w:t xml:space="preserve">ntlichung von Releases </w:t>
      </w:r>
      <w:r w:rsidR="00AF3E28">
        <w:t xml:space="preserve">standardisiert </w:t>
      </w:r>
      <w:r w:rsidR="00EF3AB7">
        <w:t>und als Standard Change registriert werden</w:t>
      </w:r>
      <w:r w:rsidR="00AF3E28">
        <w:t>.</w:t>
      </w:r>
      <w:r w:rsidR="008E73D9">
        <w:t xml:space="preserve"> </w:t>
      </w:r>
      <w:r w:rsidR="00EF3AB7">
        <w:t>Wie die Veröffentlichung prozessual und technisch</w:t>
      </w:r>
      <w:r w:rsidR="00AF3E28">
        <w:t xml:space="preserve"> konkret erfolgt, ist im Release and Deployment Management zu definieren (vgl. Kapitel </w:t>
      </w:r>
      <w:r w:rsidR="00AF3E28">
        <w:fldChar w:fldCharType="begin"/>
      </w:r>
      <w:r w:rsidR="00AF3E28">
        <w:instrText xml:space="preserve"> REF _Ref449366923 \r \h </w:instrText>
      </w:r>
      <w:r w:rsidR="00AF3E28">
        <w:fldChar w:fldCharType="separate"/>
      </w:r>
      <w:r w:rsidR="00E67FF7">
        <w:t>4.4</w:t>
      </w:r>
      <w:r w:rsidR="00AF3E28">
        <w:fldChar w:fldCharType="end"/>
      </w:r>
      <w:r w:rsidR="00AF3E28">
        <w:t>)</w:t>
      </w:r>
      <w:sdt>
        <w:sdtPr>
          <w:id w:val="1109315551"/>
          <w:citation/>
        </w:sdtPr>
        <w:sdtEnd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AF3E28">
        <w:t>.</w:t>
      </w:r>
      <w:r w:rsidR="001047A0">
        <w:t xml:space="preserve"> </w:t>
      </w:r>
      <w:r w:rsidR="00AF3E28">
        <w:t>Das</w:t>
      </w:r>
      <w:r w:rsidR="001047A0">
        <w:t xml:space="preserve"> CAB als zentrale Anlaufstelle </w:t>
      </w:r>
      <w:r w:rsidR="006E3E0F">
        <w:t>unterstützt</w:t>
      </w:r>
      <w:r w:rsidR="00AF3E28">
        <w:t xml:space="preserve"> weiterhin auch</w:t>
      </w:r>
      <w:r w:rsidR="001047A0">
        <w:t xml:space="preserve"> der </w:t>
      </w:r>
      <w:r w:rsidR="001047A0" w:rsidRPr="001047A0">
        <w:rPr>
          <w:b/>
        </w:rPr>
        <w:t>Nachvollziehbarkeit</w:t>
      </w:r>
      <w:r w:rsidR="001047A0">
        <w:t xml:space="preserve"> </w:t>
      </w:r>
      <w:r w:rsidR="00AF3E28">
        <w:t>aller</w:t>
      </w:r>
      <w:r w:rsidR="001047A0">
        <w:t xml:space="preserve"> Changes, da dort alle </w:t>
      </w:r>
      <w:r w:rsidR="00312900">
        <w:t>Ä</w:t>
      </w:r>
      <w:r w:rsidR="00AF3E28">
        <w:t xml:space="preserve">nderungen </w:t>
      </w:r>
      <w:r w:rsidR="001047A0">
        <w:t>geprüft bzw.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t>
      </w:r>
      <w:r w:rsidR="006E3E0F">
        <w:t xml:space="preserve">es </w:t>
      </w:r>
      <w:r w:rsidR="004E72CB">
        <w:t xml:space="preserve">weiterhin generell sinnvoll die </w:t>
      </w:r>
      <w:r w:rsidR="004E72CB" w:rsidRPr="004E72CB">
        <w:rPr>
          <w:b/>
        </w:rPr>
        <w:t>Effizienz und Effektivität</w:t>
      </w:r>
      <w:r w:rsidR="004E72CB">
        <w:t xml:space="preserve"> der Changes zu betrachten. Der Aspekt des definierten </w:t>
      </w:r>
      <w:r w:rsidR="004E72CB" w:rsidRPr="004E72CB">
        <w:rPr>
          <w:b/>
        </w:rPr>
        <w:t>Wartungsfenster</w:t>
      </w:r>
      <w:r w:rsidR="004E72CB">
        <w:rPr>
          <w:b/>
        </w:rPr>
        <w:t>s</w:t>
      </w:r>
      <w:r w:rsidR="004E72CB">
        <w:t xml:space="preserve">, d. h. der feste Zeitraum und Zyklus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510BC">
        <w:t xml:space="preserve"> Andererseits ist bei den Wartungsfenstern darauf zu achten, dass je nach Änderungsverfahren</w:t>
      </w:r>
      <w:r w:rsidR="006E3E0F">
        <w:t xml:space="preserve"> und -vorhaben</w:t>
      </w:r>
      <w:r w:rsidR="006510BC">
        <w:t xml:space="preserve"> eine Ser</w:t>
      </w:r>
      <w:r w:rsidR="006E3E0F">
        <w:t>viceunterbrechung die Folge sein kann</w:t>
      </w:r>
      <w:r w:rsidR="006510BC">
        <w:t>, welche entweder zu geschäftsarmer Zeit erfolgen sollte, oder über entsprechende Verfahren ganz zu vermeiden ist</w:t>
      </w:r>
      <w:sdt>
        <w:sdtPr>
          <w:id w:val="-385104418"/>
          <w:citation/>
        </w:sdtPr>
        <w:sdtEndPr/>
        <w:sdtContent>
          <w:r w:rsidR="003362A0">
            <w:fldChar w:fldCharType="begin"/>
          </w:r>
          <w:r w:rsidR="000E16A4">
            <w:instrText xml:space="preserve">CITATION AXE11 \p "S. 79" \m Bau14 \p "S. 65" \t  \m ISO12 \p "S. 72" \t  \l 1031 </w:instrText>
          </w:r>
          <w:r w:rsidR="003362A0">
            <w:fldChar w:fldCharType="separate"/>
          </w:r>
          <w:r w:rsidR="000E16A4">
            <w:rPr>
              <w:noProof/>
            </w:rPr>
            <w:t xml:space="preserve"> (AXELOS 2011, S. 79, Baumann 2014, S. 65, ISO/IEC 2012, S. 72)</w:t>
          </w:r>
          <w:r w:rsidR="003362A0">
            <w:fldChar w:fldCharType="end"/>
          </w:r>
        </w:sdtContent>
      </w:sdt>
      <w:r w:rsidR="006510BC">
        <w:t>.</w:t>
      </w:r>
    </w:p>
    <w:p w14:paraId="65D5B3DC" w14:textId="336E8FBA"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 im Sinne der Freigabedauer und des Abwarten des Wartungsfensters, und qualitative Risiken, im Sinne der Serviceunterbrechung durch Wartungsfenster und der Standardisierung des Änderungsverfahrens (Change-Typ).</w:t>
      </w:r>
    </w:p>
    <w:p w14:paraId="3BE2D251" w14:textId="3F5D5BDD" w:rsidR="00BE5B1B" w:rsidRDefault="00BE5B1B" w:rsidP="00E67FF7">
      <w:pPr>
        <w:pStyle w:val="berschrift2"/>
      </w:pPr>
      <w:bookmarkStart w:id="76" w:name="_Toc456884975"/>
      <w:r>
        <w:t>Service Asset And Configuration</w:t>
      </w:r>
      <w:r w:rsidR="008E73D9">
        <w:t xml:space="preserve"> Management</w:t>
      </w:r>
      <w:bookmarkEnd w:id="76"/>
    </w:p>
    <w:p w14:paraId="5650935D" w14:textId="3AB9C59F" w:rsidR="00A7469D" w:rsidRPr="00865469" w:rsidRDefault="00865469" w:rsidP="00935238">
      <w:r>
        <w:t xml:space="preserve">Mittels dem Service Asset And Configuration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EndPr/>
        <w:sdtContent>
          <w:r w:rsidR="006A752B">
            <w:fldChar w:fldCharType="begin"/>
          </w:r>
          <w:r w:rsidR="0009663E">
            <w:instrText xml:space="preserve">CITATION AXE11 \p "S. 89 f." \l 1031 </w:instrText>
          </w:r>
          <w:r w:rsidR="006A752B">
            <w:fldChar w:fldCharType="separate"/>
          </w:r>
          <w:r w:rsidR="0009663E">
            <w:rPr>
              <w:noProof/>
            </w:rPr>
            <w:t>(AXELOS 2011, S. 89 f.)</w:t>
          </w:r>
          <w:r w:rsidR="006A752B">
            <w:fldChar w:fldCharType="end"/>
          </w:r>
        </w:sdtContent>
      </w:sdt>
      <w:r w:rsidR="006A752B">
        <w:t>. Diese Informationen umfassen einerseits spezifische Details der Elemente sowie deren Beziehungen zueinander</w:t>
      </w:r>
      <w:sdt>
        <w:sdtPr>
          <w:id w:val="1484280900"/>
          <w:citation/>
        </w:sdtPr>
        <w:sdtEnd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Das Hauptziel des SACM ist somit die Sicherstellung, dass alle Elemente über den kompletten Lebenszyklus ordnungsgemäß identifiziert und gepflegt sind</w:t>
      </w:r>
      <w:sdt>
        <w:sdtPr>
          <w:id w:val="1793484191"/>
          <w:citation/>
        </w:sdtPr>
        <w:sdtEnd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Dazu wird ein Configuration Management System (CMS) benötigt, welches alle diese Informationen speichert </w:t>
      </w:r>
      <w:r w:rsidR="006A752B">
        <w:lastRenderedPageBreak/>
        <w:t>und anderen ITIL-Prozessen zur Verfügung stellt</w:t>
      </w:r>
      <w:sdt>
        <w:sdtPr>
          <w:id w:val="-431973309"/>
          <w:citation/>
        </w:sdtPr>
        <w:sdtEnd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 xml:space="preserve">Mehrkosten und Strafzahlungen </w:t>
      </w:r>
      <w:r w:rsidR="00A7469D">
        <w:t>führt</w:t>
      </w:r>
      <w:sdt>
        <w:sdtPr>
          <w:id w:val="-457267026"/>
          <w:citation/>
        </w:sdtPr>
        <w:sdtEndPr/>
        <w:sdtContent>
          <w:r w:rsidR="00A7469D">
            <w:fldChar w:fldCharType="begin"/>
          </w:r>
          <w:r w:rsidR="00A7469D">
            <w:instrText xml:space="preserve">CITATION AXE11 \p "S. 90" \l 1031 </w:instrText>
          </w:r>
          <w:r w:rsidR="00A7469D">
            <w:fldChar w:fldCharType="separate"/>
          </w:r>
          <w:r w:rsidR="00A7469D">
            <w:rPr>
              <w:noProof/>
            </w:rPr>
            <w:t xml:space="preserve"> (AXELOS 2011, S. 90)</w:t>
          </w:r>
          <w:r w:rsidR="00A7469D">
            <w:fldChar w:fldCharType="end"/>
          </w:r>
        </w:sdtContent>
      </w:sdt>
      <w:r w:rsidR="00A7469D">
        <w:t>. Weiterhin führt diese Transparenz zu einer bess</w:t>
      </w:r>
      <w:r w:rsidR="00312900">
        <w:t>eren Planbarkeit von Ä</w:t>
      </w:r>
      <w:r w:rsidR="00A7469D">
        <w:t xml:space="preserve">nderungen sowie zu einer höheren Erfolgsquote bei deren </w:t>
      </w:r>
      <w:r w:rsidR="00A7469D" w:rsidRPr="00A52FAF">
        <w:t>Durchführung</w:t>
      </w:r>
      <w:sdt>
        <w:sdtPr>
          <w:id w:val="-216049081"/>
          <w:citation/>
        </w:sdtPr>
        <w:sdtEndPr/>
        <w:sdtContent>
          <w:r w:rsidR="00A7469D" w:rsidRPr="00A52FAF">
            <w:fldChar w:fldCharType="begin"/>
          </w:r>
          <w:r w:rsidR="00A7469D" w:rsidRPr="00A52FAF">
            <w:instrText xml:space="preserve">CITATION AXE11 \p "S. 91" \l 1031 </w:instrText>
          </w:r>
          <w:r w:rsidR="00A7469D" w:rsidRPr="00A52FAF">
            <w:fldChar w:fldCharType="separate"/>
          </w:r>
          <w:r w:rsidR="00A7469D" w:rsidRPr="00A52FAF">
            <w:rPr>
              <w:noProof/>
            </w:rPr>
            <w:t xml:space="preserve"> (AXELOS 2011, S. 91)</w:t>
          </w:r>
          <w:r w:rsidR="00A7469D" w:rsidRPr="00A52FAF">
            <w:fldChar w:fldCharType="end"/>
          </w:r>
        </w:sdtContent>
      </w:sdt>
      <w:r w:rsidR="00A7469D" w:rsidRPr="00A52FAF">
        <w:t>. Zudem</w:t>
      </w:r>
      <w:r w:rsidR="00A7469D">
        <w:t xml:space="preserve"> ermöglicht SACM</w:t>
      </w:r>
      <w:r w:rsidR="00312900">
        <w:t xml:space="preserve"> die Nachverfolgbarkeit von Ä</w:t>
      </w:r>
      <w:r w:rsidR="00A7469D">
        <w:t>nderungen von der Anforderungserhebung bis zum veröffentlichten Release sowie die Kostenzuordnung auf Serviceebene</w:t>
      </w:r>
      <w:sdt>
        <w:sdtPr>
          <w:id w:val="-1345935312"/>
          <w:citation/>
        </w:sdtPr>
        <w:sdtEndPr/>
        <w:sdtContent>
          <w:r w:rsidR="00A7469D">
            <w:fldChar w:fldCharType="begin"/>
          </w:r>
          <w:r w:rsidR="00A7469D">
            <w:instrText xml:space="preserve">CITATION AXE11 \p "S. 91" \l 1031 </w:instrText>
          </w:r>
          <w:r w:rsidR="00A7469D">
            <w:fldChar w:fldCharType="separate"/>
          </w:r>
          <w:r w:rsidR="00A7469D">
            <w:rPr>
              <w:noProof/>
            </w:rPr>
            <w:t xml:space="preserve"> (AXELOS 2011, S. 91)</w:t>
          </w:r>
          <w:r w:rsidR="00A7469D">
            <w:fldChar w:fldCharType="end"/>
          </w:r>
        </w:sdtContent>
      </w:sdt>
      <w:r w:rsidR="00A7469D">
        <w:t xml:space="preserve">. </w:t>
      </w:r>
      <w:r w:rsidR="00935238">
        <w:t>Die Regularien für das SACM hängen stark von den CHM und Release And Deployment Management (RDM) Prozessen ab und lassen sich nicht unabhängig verallgemeinern</w:t>
      </w:r>
      <w:sdt>
        <w:sdtPr>
          <w:id w:val="1427466252"/>
          <w:citation/>
        </w:sdtPr>
        <w:sdtEnd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 Aufgrund des hohen Aufwands für das SACM ist bei der Ausgestaltung darauf zu achten, welcher Bedarf dafür tatsächlich vorherrscht und ob dieser ggf. nur bestimmte Elementtypen oder Services betrifft</w:t>
      </w:r>
      <w:sdt>
        <w:sdtPr>
          <w:id w:val="-1504039830"/>
          <w:citation/>
        </w:sdtPr>
        <w:sdtEnd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w:t>
      </w:r>
      <w:r w:rsidR="00616200">
        <w:t xml:space="preserve"> Diese</w:t>
      </w:r>
      <w:r w:rsidR="00BE3C47">
        <w:t>r Bedarf</w:t>
      </w:r>
      <w:r w:rsidR="00616200">
        <w:t xml:space="preserve"> bezieht sich vorwiegend auf </w:t>
      </w:r>
      <w:r w:rsidR="00935238">
        <w:t xml:space="preserve">gesetzliche Regelungen in Abhängigkeit </w:t>
      </w:r>
      <w:r w:rsidR="00F5007E">
        <w:t>zur</w:t>
      </w:r>
      <w:r w:rsidR="00935238">
        <w:t xml:space="preserve"> jeweiligen Branche </w:t>
      </w:r>
      <w:r w:rsidR="00BE3C47">
        <w:t xml:space="preserve">bzw. </w:t>
      </w:r>
      <w:r w:rsidR="00F5007E">
        <w:t>zum</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EndPr/>
        <w:sdtContent>
          <w:r w:rsidR="00935238">
            <w:fldChar w:fldCharType="begin"/>
          </w:r>
          <w:r w:rsidR="0009663E">
            <w:instrText xml:space="preserve">CITATION AXE11 \p "S. 90 f." \l 1031 </w:instrText>
          </w:r>
          <w:r w:rsidR="00935238">
            <w:fldChar w:fldCharType="separate"/>
          </w:r>
          <w:r w:rsidR="0009663E">
            <w:rPr>
              <w:noProof/>
            </w:rPr>
            <w:t>(AXELOS 2011, S. 90 f.)</w:t>
          </w:r>
          <w:r w:rsidR="00935238">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77" w:name="_Ref449366923"/>
      <w:bookmarkStart w:id="78" w:name="_Toc456884976"/>
      <w:r>
        <w:t>Release And Deployment Management</w:t>
      </w:r>
      <w:bookmarkEnd w:id="77"/>
      <w:bookmarkEnd w:id="78"/>
    </w:p>
    <w:p w14:paraId="702D5913" w14:textId="4172FE71" w:rsidR="00534679" w:rsidRDefault="00554883" w:rsidP="00534679">
      <w:r>
        <w:t>Das Release And Deploy Management ist für die Planung und Steuerung des Baus, des Tests und der Installation von Releases verantwortlich</w:t>
      </w:r>
      <w:sdt>
        <w:sdtPr>
          <w:id w:val="242840596"/>
          <w:citation/>
        </w:sdtPr>
        <w:sdtEndPr/>
        <w:sdtContent>
          <w:r>
            <w:fldChar w:fldCharType="begin"/>
          </w:r>
          <w:r>
            <w:instrText xml:space="preserve">CITATION AXE11 \p "S. 114" \l 1031 </w:instrText>
          </w:r>
          <w:r>
            <w:fldChar w:fldCharType="separate"/>
          </w:r>
          <w:r>
            <w:rPr>
              <w:noProof/>
            </w:rPr>
            <w:t xml:space="preserve"> (AXELOS 2011, S. 114)</w:t>
          </w:r>
          <w:r>
            <w:fldChar w:fldCharType="end"/>
          </w:r>
        </w:sdtContent>
      </w:sdt>
      <w:r>
        <w:t xml:space="preserve">. Es dient der Bereitstellung neuer Funktionalität gemäß der Geschäftsanforderungen, wobei die Integrität bestehender Services gesichert wird </w:t>
      </w:r>
      <w:sdt>
        <w:sdtPr>
          <w:id w:val="552587378"/>
          <w:citation/>
        </w:sdtPr>
        <w:sdtEndPr/>
        <w:sdtContent>
          <w:r>
            <w:fldChar w:fldCharType="begin"/>
          </w:r>
          <w:r w:rsidR="000E16A4">
            <w:instrText xml:space="preserve">CITATION AXE11 \p "S. 114" \m ISO12 \p "S. 72" \t  \l 1031 </w:instrText>
          </w:r>
          <w:r>
            <w:fldChar w:fldCharType="separate"/>
          </w:r>
          <w:r w:rsidR="000E16A4">
            <w:rPr>
              <w:noProof/>
            </w:rPr>
            <w:t>(AXELOS 2011, S. 114, ISO/IEC 2012, S. 72)</w:t>
          </w:r>
          <w:r>
            <w:fldChar w:fldCharType="end"/>
          </w:r>
        </w:sdtContent>
      </w:sdt>
      <w:r w:rsidR="000E16A4">
        <w:t>.</w:t>
      </w:r>
      <w:r>
        <w:t xml:space="preserve"> </w:t>
      </w:r>
      <w:r w:rsidR="000E16A4">
        <w:t>Alle Änderung in der Produktivumgebung müssen über diesen Prozess erfolgen</w:t>
      </w:r>
      <w:sdt>
        <w:sdtPr>
          <w:id w:val="-1371448630"/>
          <w:citation/>
        </w:sdtPr>
        <w:sdtEndPr/>
        <w:sdtContent>
          <w:r w:rsidR="000E16A4">
            <w:fldChar w:fldCharType="begin"/>
          </w:r>
          <w:r w:rsidR="000E16A4">
            <w:instrText xml:space="preserve">CITATION ISO11 \p "S. 15" \t  \l 1031 </w:instrText>
          </w:r>
          <w:r w:rsidR="000E16A4">
            <w:fldChar w:fldCharType="separate"/>
          </w:r>
          <w:r w:rsidR="000E16A4">
            <w:rPr>
              <w:noProof/>
            </w:rPr>
            <w:t xml:space="preserve"> (ISO/IEC 2011, S. 15)</w:t>
          </w:r>
          <w:r w:rsidR="000E16A4">
            <w:fldChar w:fldCharType="end"/>
          </w:r>
        </w:sdtContent>
      </w:sdt>
      <w:r w:rsidR="000E16A4">
        <w:t xml:space="preserve">. </w:t>
      </w:r>
      <w:r>
        <w:t>Daher ist es von zentraler Bedeutung für die Standardtypen des Release-Managements.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EndPr/>
        <w:sdtContent>
          <w:r>
            <w:fldChar w:fldCharType="begin"/>
          </w:r>
          <w:r w:rsidR="0009663E">
            <w:instrText xml:space="preserve">CITATION AXE11 \p "S. 114 f." \l 1031 </w:instrText>
          </w:r>
          <w:r>
            <w:fldChar w:fldCharType="separate"/>
          </w:r>
          <w:r w:rsidR="0009663E">
            <w:rPr>
              <w:noProof/>
            </w:rPr>
            <w:t xml:space="preserve"> (AXELOS 2011, S. 114 f.)</w:t>
          </w:r>
          <w:r>
            <w:fldChar w:fldCharType="end"/>
          </w:r>
        </w:sdtContent>
      </w:sdt>
      <w:r>
        <w:t xml:space="preserve">. Die eigentliche Testdurchführung wird hier sichergestellt, aber über den Service Validation And Testing (SVT) Prozess </w:t>
      </w:r>
      <w:r w:rsidR="00092A4A">
        <w:t>vorgenommen</w:t>
      </w:r>
      <w:sdt>
        <w:sdtPr>
          <w:id w:val="-2137333598"/>
          <w:citation/>
        </w:sdtPr>
        <w:sdtEnd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t>.</w:t>
      </w:r>
      <w:r w:rsidR="00092A4A">
        <w:t xml:space="preserve"> Der Mehrwert liegt in der schnellen Bereitstellung von Änderungen unter optimierten Kosten und Risiken so</w:t>
      </w:r>
      <w:r w:rsidR="003362A0">
        <w:t>wie der Sicherstellung, dass dabei kein Schaden entsteht</w:t>
      </w:r>
      <w:sdt>
        <w:sdtPr>
          <w:id w:val="-2065783676"/>
          <w:citation/>
        </w:sdtPr>
        <w:sdtEnd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Dabei ist zu beachten, dass eine ausgewogene Balance zwischen Kosten, Stabilität und Agilität eingehalten wird</w:t>
      </w:r>
      <w:sdt>
        <w:sdtPr>
          <w:id w:val="-1376155159"/>
          <w:citation/>
        </w:sdtPr>
        <w:sdtEnd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End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 xml:space="preserve">. Für einen Service </w:t>
      </w:r>
      <w:r w:rsidR="00F45654">
        <w:lastRenderedPageBreak/>
        <w:t>steht die Stabilität im Vordergrund für einen anderen</w:t>
      </w:r>
      <w:r w:rsidR="003362A0">
        <w:t xml:space="preserve"> Service</w:t>
      </w:r>
      <w:r w:rsidR="00F45654">
        <w:t xml:space="preserve"> dafür die Agilität</w:t>
      </w:r>
      <w:sdt>
        <w:sdtPr>
          <w:id w:val="778684412"/>
          <w:citation/>
        </w:sdtPr>
        <w:sdtEnd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w:t>
      </w:r>
      <w:r w:rsidR="005A3B04">
        <w:t xml:space="preserve"> Aufgrund der Individualität in Abhängigkeit zum konkreten Service werden in ITIL keine konkreten Regeln aber zwei Beispiele genannt</w:t>
      </w:r>
      <w:sdt>
        <w:sdtPr>
          <w:id w:val="-2015754635"/>
          <w:citation/>
        </w:sdtPr>
        <w:sdtEndPr/>
        <w:sdtContent>
          <w:r w:rsidR="005A3B04">
            <w:fldChar w:fldCharType="begin"/>
          </w:r>
          <w:r w:rsidR="005A3B04">
            <w:instrText xml:space="preserve">CITATION AXE11 \p "S. 115" \l 1031 </w:instrText>
          </w:r>
          <w:r w:rsidR="005A3B04">
            <w:fldChar w:fldCharType="separate"/>
          </w:r>
          <w:r w:rsidR="005A3B04">
            <w:rPr>
              <w:noProof/>
            </w:rPr>
            <w:t xml:space="preserve"> (AXELOS 2011, S. 115)</w:t>
          </w:r>
          <w:r w:rsidR="005A3B04">
            <w:fldChar w:fldCharType="end"/>
          </w:r>
        </w:sdtContent>
      </w:sdt>
      <w:r w:rsidR="005A3B04">
        <w:t>:</w:t>
      </w:r>
    </w:p>
    <w:p w14:paraId="082A8548" w14:textId="254F18AE" w:rsidR="005A3B04" w:rsidRDefault="00312900" w:rsidP="005A3B04">
      <w:pPr>
        <w:pStyle w:val="Listenabsatz"/>
        <w:numPr>
          <w:ilvl w:val="0"/>
          <w:numId w:val="31"/>
        </w:numPr>
      </w:pPr>
      <w:r>
        <w:t>Alle Ä</w:t>
      </w:r>
      <w:r w:rsidR="005A3B04">
        <w:t>nderungen und Releases müssen vor der Veröffentlichung auf ihre Belastbarkeit getestet werden</w:t>
      </w:r>
      <w:r w:rsidR="003362A0">
        <w:t>.</w:t>
      </w:r>
    </w:p>
    <w:p w14:paraId="2E12DDAF" w14:textId="56442021" w:rsidR="005A3B04" w:rsidRDefault="00312900" w:rsidP="005A3B04">
      <w:pPr>
        <w:pStyle w:val="Listenabsatz"/>
        <w:numPr>
          <w:ilvl w:val="0"/>
          <w:numId w:val="31"/>
        </w:numPr>
      </w:pPr>
      <w:r>
        <w:t>Alle Ä</w:t>
      </w:r>
      <w:r w:rsidR="005A3B04">
        <w:t>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w:t>
      </w:r>
      <w:r w:rsidRPr="00373A79">
        <w:rPr>
          <w:b/>
        </w:rPr>
        <w:t>Kriterien zur Freigabe</w:t>
      </w:r>
      <w:r>
        <w:t xml:space="preserve"> eines Releases hinsichtlich der notwendigen Tests bzw. des konkreten Ziels (vgl. Kapitel </w:t>
      </w:r>
      <w:r>
        <w:fldChar w:fldCharType="begin"/>
      </w:r>
      <w:r>
        <w:instrText xml:space="preserve"> REF _Ref446517322 \r \h </w:instrText>
      </w:r>
      <w:r>
        <w:fldChar w:fldCharType="separate"/>
      </w:r>
      <w:r>
        <w:t>4.1</w:t>
      </w:r>
      <w:r>
        <w:fldChar w:fldCharType="end"/>
      </w:r>
      <w:r>
        <w:t xml:space="preserve">). Das zweite Beispiel greift zudem noch den </w:t>
      </w:r>
      <w:r w:rsidRPr="00373A79">
        <w:rPr>
          <w:b/>
        </w:rPr>
        <w:t>Release-Zyklus</w:t>
      </w:r>
      <w:r>
        <w:t xml:space="preserve"> auf (vgl. Kapitel </w:t>
      </w:r>
      <w:r>
        <w:fldChar w:fldCharType="begin"/>
      </w:r>
      <w:r>
        <w:instrText xml:space="preserve"> REF _Ref446517322 \r \h </w:instrText>
      </w:r>
      <w:r>
        <w:fldChar w:fldCharType="separate"/>
      </w:r>
      <w:r>
        <w:t>4.1</w:t>
      </w:r>
      <w:r>
        <w:fldChar w:fldCharType="end"/>
      </w:r>
      <w:r>
        <w:t xml:space="preserve">). </w:t>
      </w:r>
    </w:p>
    <w:p w14:paraId="511278C0" w14:textId="6107F676" w:rsidR="005A3B04"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immer komplett</w:t>
      </w:r>
      <w:r w:rsidR="00373A79">
        <w:t xml:space="preserve"> veröffentlicht werden mü</w:t>
      </w:r>
      <w:r w:rsidR="003145DC">
        <w:t>ss</w:t>
      </w:r>
      <w:r w:rsidR="00373A79">
        <w:t>en</w:t>
      </w:r>
      <w:sdt>
        <w:sdtPr>
          <w:id w:val="1443486305"/>
          <w:citation/>
        </w:sdtPr>
        <w:sdtEndPr/>
        <w:sdtContent>
          <w:r w:rsidR="003145DC">
            <w:fldChar w:fldCharType="begin"/>
          </w:r>
          <w:r w:rsidR="000E16A4">
            <w:instrText xml:space="preserve">CITATION AXE11 \p "S. 116" \m ISO11 \p "S. 24" \t  \l 1031 </w:instrText>
          </w:r>
          <w:r w:rsidR="003145DC">
            <w:fldChar w:fldCharType="separate"/>
          </w:r>
          <w:r w:rsidR="000E16A4">
            <w:rPr>
              <w:noProof/>
            </w:rPr>
            <w:t xml:space="preserve"> (AXELOS 2011, S. 116, ISO/IEC 2011, S. 24)</w:t>
          </w:r>
          <w:r w:rsidR="003145DC">
            <w:fldChar w:fldCharType="end"/>
          </w:r>
        </w:sdtContent>
      </w:sdt>
      <w:r w:rsidR="003145DC">
        <w:t xml:space="preserve">. Ein kritischer Service darf möglicherweise nur </w:t>
      </w:r>
      <w:r w:rsidR="00F5007E">
        <w:t>vollständig</w:t>
      </w:r>
      <w:r w:rsidR="003145DC">
        <w:t xml:space="preserve"> verändert werden, damit keine internen Kompatibilitätsprobleme auftreten</w:t>
      </w:r>
      <w:r w:rsidR="00373A79">
        <w:t xml:space="preserve"> und besteht demnach nur aus einer Release-Einheit</w:t>
      </w:r>
      <w:sdt>
        <w:sdtPr>
          <w:id w:val="-1372461739"/>
          <w:citation/>
        </w:sdtPr>
        <w:sdtEnd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Für einen Internetauftritt könnte dagegen jede einzelne Webseite eine Release-Einheit </w:t>
      </w:r>
      <w:r w:rsidR="00F5007E">
        <w:t>darstellen</w:t>
      </w:r>
      <w:sdt>
        <w:sdtPr>
          <w:id w:val="821393550"/>
          <w:citation/>
        </w:sdtPr>
        <w:sdtEnd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w:t>
      </w:r>
      <w:r w:rsidR="00373A79">
        <w:t xml:space="preserve">Entscheidend für die Risikobetrachtung sind die Komplexität einer Release-Einheit und die Abhängigkeit zu anderen Komponenten. </w:t>
      </w:r>
      <w:r w:rsidR="00F5007E" w:rsidRPr="00373A79">
        <w:t xml:space="preserve">Je </w:t>
      </w:r>
      <w:r w:rsidR="00373A79">
        <w:t>kleiner</w:t>
      </w:r>
      <w:r w:rsidR="00F5007E" w:rsidRPr="00373A79">
        <w:t xml:space="preserve"> eine Release-Einheit</w:t>
      </w:r>
      <w:r w:rsidR="00373A79">
        <w:t xml:space="preserve"> ist, desto geringer ist der Anpassungs- und Testaufwand un</w:t>
      </w:r>
      <w:r w:rsidR="00312900">
        <w:t>d desto schneller kann eine Ä</w:t>
      </w:r>
      <w:r w:rsidR="00373A79">
        <w:t>nderung veröffentlicht werden</w:t>
      </w:r>
      <w:r w:rsidR="00F5007E" w:rsidRPr="00373A79">
        <w:t>.</w:t>
      </w:r>
      <w:r w:rsidR="00373A79">
        <w:t xml:space="preserve"> Dies bedingt jedoch, dass die Release-Einheiten von einander unabhängig sind, da sonst die Auswirkungen auf die anderen Module zu prüfen ist. Die Abhängigkeit zwischen Release-Einheiten kann z. B. durch (temporäre) Abwärtskompatibilität mittels loser Kopplung aufgelöst werden</w:t>
      </w:r>
      <w:r w:rsidR="00140086">
        <w:t xml:space="preserve"> </w:t>
      </w:r>
      <w:sdt>
        <w:sdtPr>
          <w:id w:val="-1797972985"/>
          <w:citation/>
        </w:sdtPr>
        <w:sdtEndPr/>
        <w:sdtContent>
          <w:r w:rsidR="00140086">
            <w:fldChar w:fldCharType="begin"/>
          </w:r>
          <w:r w:rsidR="00140086">
            <w:instrText xml:space="preserve">CITATION Bau14 \p "S. 31" \t  \l 1031 </w:instrText>
          </w:r>
          <w:r w:rsidR="00140086">
            <w:fldChar w:fldCharType="separate"/>
          </w:r>
          <w:r w:rsidR="00140086">
            <w:rPr>
              <w:noProof/>
            </w:rPr>
            <w:t>(Baumann 2014, S. 31)</w:t>
          </w:r>
          <w:r w:rsidR="00140086">
            <w:fldChar w:fldCharType="end"/>
          </w:r>
        </w:sdtContent>
      </w:sdt>
      <w:r w:rsidR="00373A79">
        <w:t>.</w:t>
      </w:r>
      <w:r w:rsidR="00EF4AF6">
        <w:t xml:space="preserve"> </w:t>
      </w:r>
      <w:r w:rsidR="000E7FCA">
        <w:t xml:space="preserve">Neben der Release-Einheit werden für den RDM-Prozess zudem zwei unterschiedliche </w:t>
      </w:r>
      <w:r w:rsidR="00373A79">
        <w:rPr>
          <w:b/>
        </w:rPr>
        <w:t>Release-Methoden</w:t>
      </w:r>
      <w:r w:rsidR="000E7FCA">
        <w:t xml:space="preserve"> beschrieben</w:t>
      </w:r>
      <w:sdt>
        <w:sdtPr>
          <w:id w:val="825472191"/>
          <w:citation/>
        </w:sdtPr>
        <w:sdtEnd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In der „Big bang“-Variante erfolgt die Veröffentlichung des Releases auf alle Bestandteile und Nutzer gleichzeitig, um </w:t>
      </w:r>
      <w:r w:rsidR="003362A0">
        <w:t>die</w:t>
      </w:r>
      <w:r w:rsidR="000E7FCA">
        <w:t xml:space="preserve"> Systemkonsistenz sicherzustellen</w:t>
      </w:r>
      <w:sdt>
        <w:sdtPr>
          <w:id w:val="2053104747"/>
          <w:citation/>
        </w:sdtPr>
        <w:sdtEnd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Im Gegensatz dazu wird im Phasenansatz das Release stufenweise an die einzelnen User verteilt</w:t>
      </w:r>
      <w:sdt>
        <w:sdtPr>
          <w:id w:val="1856539764"/>
          <w:citation/>
        </w:sdtPr>
        <w:sdtEnd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Beide Ansätze haben </w:t>
      </w:r>
      <w:r w:rsidR="003362A0">
        <w:t>ihre</w:t>
      </w:r>
      <w:r w:rsidR="000E7FCA">
        <w:t xml:space="preserve"> individuelle</w:t>
      </w:r>
      <w:r w:rsidR="003362A0">
        <w:t>n</w:t>
      </w:r>
      <w:r w:rsidR="000E7FCA">
        <w:t xml:space="preserve"> Vor- und Nachteile. Das „Big bang“-Release vermeidet die parallele Unterstützung von mehreren Versionen,</w:t>
      </w:r>
      <w:r w:rsidR="00373A79">
        <w:t xml:space="preserve"> wodurch Kosten reduziert werden,</w:t>
      </w:r>
      <w:r w:rsidR="000E7FCA">
        <w:t xml:space="preserve"> lässt sich je nach Änderungskomponente aber nicht immer realisieren und kann im Fehlerfall das komplette Unternehmen negativ beeinflussen</w:t>
      </w:r>
      <w:sdt>
        <w:sdtPr>
          <w:id w:val="-1674870206"/>
          <w:citation/>
        </w:sdtPr>
        <w:sdtEndPr/>
        <w:sdtContent>
          <w:r w:rsidR="000E7FCA">
            <w:fldChar w:fldCharType="begin"/>
          </w:r>
          <w:r w:rsidR="000E7FCA">
            <w:instrText xml:space="preserve">CITATION AXE11 \p "S. 120" \l 1031 </w:instrText>
          </w:r>
          <w:r w:rsidR="000E7FCA">
            <w:fldChar w:fldCharType="separate"/>
          </w:r>
          <w:r w:rsidR="000E7FCA">
            <w:rPr>
              <w:noProof/>
            </w:rPr>
            <w:t xml:space="preserve"> (AXELOS 2011, S. 120)</w:t>
          </w:r>
          <w:r w:rsidR="000E7FCA">
            <w:fldChar w:fldCharType="end"/>
          </w:r>
        </w:sdtContent>
      </w:sdt>
      <w:r w:rsidR="000E7FCA">
        <w:t xml:space="preserve">. </w:t>
      </w:r>
      <w:r w:rsidR="00E62117">
        <w:t>Über das stu</w:t>
      </w:r>
      <w:r w:rsidR="00E62117">
        <w:lastRenderedPageBreak/>
        <w:t>fenweise Verfahren</w:t>
      </w:r>
      <w:r w:rsidR="00373A79">
        <w:t xml:space="preserve"> dagegen</w:t>
      </w:r>
      <w:r w:rsidR="00E62117">
        <w:t xml:space="preserve"> </w:t>
      </w:r>
      <w:r w:rsidR="00373A79">
        <w:t>betreffen</w:t>
      </w:r>
      <w:r w:rsidR="00E62117">
        <w:t xml:space="preserve"> Fehler nur einen Teil der Nutzer, jedoch dauert es bei diesem Ansatz auch entsprechend länger bis das Release vollständig verteilt wurde</w:t>
      </w:r>
      <w:sdt>
        <w:sdtPr>
          <w:id w:val="254864261"/>
          <w:citation/>
        </w:sdtPr>
        <w:sdtEndPr/>
        <w:sdtContent>
          <w:r w:rsidR="00E62117">
            <w:fldChar w:fldCharType="begin"/>
          </w:r>
          <w:r w:rsidR="00E62117">
            <w:instrText xml:space="preserve">CITATION AXE11 \p "S. 120" \l 1031 </w:instrText>
          </w:r>
          <w:r w:rsidR="00E62117">
            <w:fldChar w:fldCharType="separate"/>
          </w:r>
          <w:r w:rsidR="00E62117">
            <w:rPr>
              <w:noProof/>
            </w:rPr>
            <w:t xml:space="preserve"> (AXELOS 2011, S. 120)</w:t>
          </w:r>
          <w:r w:rsidR="00E62117">
            <w:fldChar w:fldCharType="end"/>
          </w:r>
        </w:sdtContent>
      </w:sdt>
      <w:r w:rsidR="00E62117">
        <w:t xml:space="preserve">. </w:t>
      </w:r>
      <w:r w:rsidR="003362A0">
        <w:t xml:space="preserve">Eine besondere </w:t>
      </w:r>
      <w:r w:rsidR="00845B0C">
        <w:t>Stufe im phase</w:t>
      </w:r>
      <w:r w:rsidR="003362A0">
        <w:t>weisen Release stellt der Pilot dar</w:t>
      </w:r>
      <w:sdt>
        <w:sdtPr>
          <w:id w:val="1428769095"/>
          <w:citation/>
        </w:sdtPr>
        <w:sdtEnd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In der Pilotphase wird das neue Release nur einen definierten kleinen Nutzerkreis verteilt, um den Echteinsatz zu testen</w:t>
      </w:r>
      <w:sdt>
        <w:sdtPr>
          <w:id w:val="1594739331"/>
          <w:citation/>
        </w:sdtPr>
        <w:sdtEnd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xml:space="preserve">. Prinzipiell eignet sich dieser Ansatz auch für den sogenannten </w:t>
      </w:r>
      <w:r w:rsidR="00312900">
        <w:t>A/B Test. Denn dabei werden Ä</w:t>
      </w:r>
      <w:r w:rsidR="003362A0">
        <w:t>nderungen, wie z. B. neue Funktionen oder eine neue Oberfläche, nur an einen Teil der Endnutzer geg</w:t>
      </w:r>
      <w:r w:rsidR="00312900">
        <w:t>eben, um zu prüfen, wie die Ä</w:t>
      </w:r>
      <w:r w:rsidR="003362A0">
        <w:t>nderung</w:t>
      </w:r>
      <w:r w:rsidR="00DC1C4F">
        <w:t>en</w:t>
      </w:r>
      <w:r w:rsidR="003362A0">
        <w:t xml:space="preserve"> von den untersc</w:t>
      </w:r>
      <w:r w:rsidR="00DC1C4F">
        <w:t>hiedlichen Nutzern angenommen we</w:t>
      </w:r>
      <w:r w:rsidR="003362A0">
        <w:t>rd</w:t>
      </w:r>
      <w:r w:rsidR="00DC1C4F">
        <w:t>en</w:t>
      </w:r>
      <w:sdt>
        <w:sdtPr>
          <w:id w:val="-830058257"/>
          <w:citation/>
        </w:sdtPr>
        <w:sdtEndPr/>
        <w:sdtContent>
          <w:r w:rsidR="003362A0">
            <w:fldChar w:fldCharType="begin"/>
          </w:r>
          <w:r w:rsidR="003362A0">
            <w:instrText xml:space="preserve">CITATION Koh \p "S. 4" \l 1031 </w:instrText>
          </w:r>
          <w:r w:rsidR="003362A0">
            <w:fldChar w:fldCharType="separate"/>
          </w:r>
          <w:r w:rsidR="003362A0">
            <w:rPr>
              <w:noProof/>
            </w:rPr>
            <w:t xml:space="preserve"> (Kohavi und Longbotham 2015, S. 4)</w:t>
          </w:r>
          <w:r w:rsidR="003362A0">
            <w:fldChar w:fldCharType="end"/>
          </w:r>
        </w:sdtContent>
      </w:sdt>
      <w:r w:rsidR="003362A0">
        <w:t xml:space="preserve">. </w:t>
      </w:r>
      <w:r w:rsidR="00E62117">
        <w:t xml:space="preserve">Das dritte Differenzierungsmerkmal für den RDM-Prozess ist der </w:t>
      </w:r>
      <w:r w:rsidR="00E62117" w:rsidRPr="00373A79">
        <w:rPr>
          <w:b/>
        </w:rPr>
        <w:t>Automationsgrad</w:t>
      </w:r>
      <w:r w:rsidR="00E62117">
        <w:t xml:space="preserve"> der Veröffentlichung</w:t>
      </w:r>
      <w:sdt>
        <w:sdtPr>
          <w:id w:val="-1947153504"/>
          <w:citation/>
        </w:sdtPr>
        <w:sdtEnd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EndPr/>
        <w:sdtContent>
          <w:r w:rsidR="00E62117">
            <w:fldChar w:fldCharType="begin"/>
          </w:r>
          <w:r w:rsidR="000E16A4">
            <w:instrText xml:space="preserve">CITATION AXE11 \p "S. 121" \m Bau14 \p "S. 50" \t  \l 1031 </w:instrText>
          </w:r>
          <w:r w:rsidR="00E62117">
            <w:fldChar w:fldCharType="separate"/>
          </w:r>
          <w:r w:rsidR="000E16A4">
            <w:rPr>
              <w:noProof/>
            </w:rPr>
            <w:t xml:space="preserve"> (AXELOS 2011, S. 121, Baumann 2014, S. 50)</w:t>
          </w:r>
          <w:r w:rsidR="00E62117">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EndPr/>
        <w:sdtContent>
          <w:r w:rsidR="0009663E">
            <w:fldChar w:fldCharType="begin"/>
          </w:r>
          <w:r w:rsidR="0009663E">
            <w:instrText xml:space="preserve">CITATION AXE11 \p "S. 121" \l 1031 </w:instrText>
          </w:r>
          <w:r w:rsidR="0009663E">
            <w:fldChar w:fldCharType="separate"/>
          </w:r>
          <w:r w:rsidR="0009663E">
            <w:rPr>
              <w:noProof/>
            </w:rPr>
            <w:t xml:space="preserve"> (AXELOS 2011, S. 121)</w:t>
          </w:r>
          <w:r w:rsidR="0009663E">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Aktivitäten unterstützen</w:t>
      </w:r>
      <w:sdt>
        <w:sdtPr>
          <w:id w:val="-825122476"/>
          <w:citation/>
        </w:sdtPr>
        <w:sdtEndPr/>
        <w:sdtContent>
          <w:r w:rsidR="0009663E">
            <w:fldChar w:fldCharType="begin"/>
          </w:r>
          <w:r w:rsidR="000E16A4">
            <w:instrText xml:space="preserve">CITATION AXE11 \p "S. 121 f.; 133" \m Bau14 \p "S. 17" \t  \l 1031 </w:instrText>
          </w:r>
          <w:r w:rsidR="0009663E">
            <w:fldChar w:fldCharType="separate"/>
          </w:r>
          <w:r w:rsidR="000E16A4">
            <w:rPr>
              <w:noProof/>
            </w:rPr>
            <w:t xml:space="preserve"> (AXELOS 2011, S. 121 f.; 133, Baumann 2014, S. 17)</w:t>
          </w:r>
          <w:r w:rsidR="0009663E">
            <w:fldChar w:fldCharType="end"/>
          </w:r>
        </w:sdtContent>
      </w:sdt>
      <w:r w:rsidR="0009663E">
        <w:t>:</w:t>
      </w:r>
    </w:p>
    <w:p w14:paraId="07C6BC2F" w14:textId="298C1340" w:rsidR="0009663E" w:rsidRDefault="0009663E" w:rsidP="0009663E">
      <w:pPr>
        <w:pStyle w:val="Listenabsatz"/>
        <w:numPr>
          <w:ilvl w:val="0"/>
          <w:numId w:val="32"/>
        </w:numPr>
      </w:pPr>
      <w:r>
        <w:t>Übersichtsscans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62C59FE8" w:rsidR="003362A0" w:rsidRDefault="003362A0" w:rsidP="003362A0">
      <w:r>
        <w:t xml:space="preserve">Neben den genannten Entwurfsaspekten für RDM werden in ITIL noch zwei weitere Faktoren beschrieben, die </w:t>
      </w:r>
      <w:r w:rsidRPr="00373A79">
        <w:rPr>
          <w:b/>
        </w:rPr>
        <w:t>Remediation</w:t>
      </w:r>
      <w:r>
        <w:t xml:space="preserve"> und der </w:t>
      </w:r>
      <w:r w:rsidRPr="00373A79">
        <w:rPr>
          <w:b/>
        </w:rPr>
        <w:t>Early Life Support</w:t>
      </w:r>
      <w:sdt>
        <w:sdtPr>
          <w:id w:val="-830833789"/>
          <w:citation/>
        </w:sdtPr>
        <w:sdtEndPr/>
        <w:sdtContent>
          <w:r>
            <w:fldChar w:fldCharType="begin"/>
          </w:r>
          <w:r>
            <w:instrText xml:space="preserve">CITATION AXE11 \p "S. 143" \l 1031 </w:instrText>
          </w:r>
          <w:r>
            <w:fldChar w:fldCharType="separate"/>
          </w:r>
          <w:r>
            <w:rPr>
              <w:noProof/>
            </w:rPr>
            <w:t xml:space="preserve"> (AXELOS 2011, S. 143)</w:t>
          </w:r>
          <w:r>
            <w:fldChar w:fldCharType="end"/>
          </w:r>
        </w:sdtContent>
      </w:sdt>
      <w:r>
        <w:t>. Die Remediation dient dazu einen Service wieder in einen definierten Zustand zu überführen, nachdem ein Release fehlgeschlagen ist, weil z. B. ein Fehler aufgetreten ist</w:t>
      </w:r>
      <w:sdt>
        <w:sdtPr>
          <w:id w:val="-835851679"/>
          <w:citation/>
        </w:sdtPr>
        <w:sdtEndPr/>
        <w:sdtContent>
          <w:r>
            <w:fldChar w:fldCharType="begin"/>
          </w:r>
          <w:r w:rsidR="000E16A4">
            <w:instrText xml:space="preserve">CITATION AXE11 \p "S. 143" \m ISO11 \p "S. 24" \t  \l 1031 </w:instrText>
          </w:r>
          <w:r>
            <w:fldChar w:fldCharType="separate"/>
          </w:r>
          <w:r w:rsidR="000E16A4">
            <w:rPr>
              <w:noProof/>
            </w:rPr>
            <w:t xml:space="preserve"> (AXELOS 2011, S. 143, ISO/IEC 2011, S. 24)</w:t>
          </w:r>
          <w:r>
            <w:fldChar w:fldCharType="end"/>
          </w:r>
        </w:sdtContent>
      </w:sdt>
      <w:r>
        <w:t xml:space="preserve">. Typischerweise wird in solch einem Fall die </w:t>
      </w:r>
      <w:r w:rsidR="00DC1C4F">
        <w:t>Installation rückgängig gemacht -</w:t>
      </w:r>
      <w:r>
        <w:t xml:space="preserve"> der sogenannte „back out“</w:t>
      </w:r>
      <w:sdt>
        <w:sdtPr>
          <w:id w:val="-821271033"/>
          <w:citation/>
        </w:sdtPr>
        <w:sdtEndPr/>
        <w:sdtContent>
          <w:r>
            <w:fldChar w:fldCharType="begin"/>
          </w:r>
          <w:r>
            <w:instrText xml:space="preserve">CITATION AXE11 \p "S. 143" \l 1031 </w:instrText>
          </w:r>
          <w:r>
            <w:fldChar w:fldCharType="separate"/>
          </w:r>
          <w:r>
            <w:rPr>
              <w:noProof/>
            </w:rPr>
            <w:t xml:space="preserve"> (AXELOS 2011, S. 143)</w:t>
          </w:r>
          <w:r>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EndPr/>
        <w:sdtContent>
          <w:r>
            <w:fldChar w:fldCharType="begin"/>
          </w:r>
          <w:r>
            <w:instrText xml:space="preserve">CITATION AXE11 \p "S. 143" \l 1031 </w:instrText>
          </w:r>
          <w:r>
            <w:fldChar w:fldCharType="separate"/>
          </w:r>
          <w:r>
            <w:rPr>
              <w:noProof/>
            </w:rPr>
            <w:t xml:space="preserve"> (AXELOS 2011, S. 143)</w:t>
          </w:r>
          <w:r>
            <w:fldChar w:fldCharType="end"/>
          </w:r>
        </w:sdtContent>
      </w:sdt>
      <w:r w:rsidR="00845B0C">
        <w:t>, auch als „go forward“ bezeichnet</w:t>
      </w:r>
      <w:r>
        <w:t>. Die Entscheidung zwischen den beiden Richtungen ist von mehreren Faktoren abhängig. Einerseits führt der „back out“ zur Verzögerung in der Bereitstellung des Releases und damit zu einem zeitlichen Risiko, andererseits führt der Betrieb im Fehlerzustand zu einem Qualitäts</w:t>
      </w:r>
      <w:r w:rsidR="00DC1C4F">
        <w:t>- und Kosten</w:t>
      </w:r>
      <w:r>
        <w:t xml:space="preserve">risiko. Je nachdem </w:t>
      </w:r>
      <w:r>
        <w:lastRenderedPageBreak/>
        <w:t>welches Risiko überwiegt, ist demnach eine Entscheidung zu treffen. Der zweite genannte Faktor, der Early Life Support, beschreibt eine zweistufige Überführung in den Wirkbetrieb</w:t>
      </w:r>
      <w:sdt>
        <w:sdtPr>
          <w:id w:val="1763182992"/>
          <w:citation/>
        </w:sdtPr>
        <w:sdtEndPr/>
        <w:sdtContent>
          <w:r>
            <w:fldChar w:fldCharType="begin"/>
          </w:r>
          <w:r>
            <w:instrText xml:space="preserve">CITATION AXE11 \p "S. 143" \l 1031 </w:instrText>
          </w:r>
          <w:r>
            <w:fldChar w:fldCharType="separate"/>
          </w:r>
          <w:r>
            <w:rPr>
              <w:noProof/>
            </w:rPr>
            <w:t xml:space="preserve"> (AXELOS 2011, S. 143)</w:t>
          </w:r>
          <w:r>
            <w:fldChar w:fldCharType="end"/>
          </w:r>
        </w:sdtContent>
      </w:sdt>
      <w:r>
        <w:t>. In der ersten Stufe nach der Veröffentlichung erfolgt die Betreuung durch Spezialisten, z. B. die Entwickler des Releases und erst nach der Erreichung von definierten Kriterien erfolgt der Verantwortungsübergang an die Standardeinheiten</w:t>
      </w:r>
      <w:sdt>
        <w:sdtPr>
          <w:id w:val="1279837969"/>
          <w:citation/>
        </w:sdtPr>
        <w:sdtEndPr/>
        <w:sdtContent>
          <w:r>
            <w:fldChar w:fldCharType="begin"/>
          </w:r>
          <w:r>
            <w:instrText xml:space="preserve">CITATION AXE11 \p "S. 143" \l 1031 </w:instrText>
          </w:r>
          <w:r>
            <w:fldChar w:fldCharType="separate"/>
          </w:r>
          <w:r>
            <w:rPr>
              <w:noProof/>
            </w:rPr>
            <w:t xml:space="preserve"> (AXELOS 2011, S. 143)</w:t>
          </w:r>
          <w:r>
            <w:fldChar w:fldCharType="end"/>
          </w:r>
        </w:sdtContent>
      </w:sdt>
      <w:r>
        <w:t>. Durch die Phasen ist sichergestellt, dass Fehler aufgrund des speziellen Wissens schneller behoben werden können und die Standardeinheiten nicht durch unerwartete Probleme überfordert werden</w:t>
      </w:r>
      <w:sdt>
        <w:sdtPr>
          <w:id w:val="1998996036"/>
          <w:citation/>
        </w:sdtPr>
        <w:sdtEndPr/>
        <w:sdtContent>
          <w:r>
            <w:fldChar w:fldCharType="begin"/>
          </w:r>
          <w:r>
            <w:instrText xml:space="preserve">CITATION AXE11 \p "S. 143" \l 1031 </w:instrText>
          </w:r>
          <w:r>
            <w:fldChar w:fldCharType="separate"/>
          </w:r>
          <w:r>
            <w:rPr>
              <w:noProof/>
            </w:rPr>
            <w:t xml:space="preserve"> (AXELOS 2011, S. 143)</w:t>
          </w:r>
          <w:r>
            <w:fldChar w:fldCharType="end"/>
          </w:r>
        </w:sdtContent>
      </w:sdt>
      <w:r>
        <w:t>. Der Einsatz der Speziallisten kann jedoch zu erhöhten Kosten gegenüber dem direkten Einsatz der Standardeinheiten führen, da diese möglicherweise einen höheren Stundensatz haben. Weiterhin werden Entwickler möglicherweise von der Bearbeitung neuer Releases abgehalten, da sie Fehler im alten Release beheben müssen. Der Einsatz und die Dauer des Early Life Supports muss demnach ebenfalls je nach Risikosituation abgewogen werden.</w:t>
      </w:r>
    </w:p>
    <w:p w14:paraId="403A4FF3" w14:textId="1FAD3C7D"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Automatisierungsgrads</w:t>
      </w:r>
      <w:r>
        <w:t xml:space="preserve">, der </w:t>
      </w:r>
      <w:r w:rsidRPr="00373A79">
        <w:rPr>
          <w:b/>
        </w:rPr>
        <w:t>Remediation</w:t>
      </w:r>
      <w:r>
        <w:t xml:space="preserve"> und des </w:t>
      </w:r>
      <w:r w:rsidRPr="00373A79">
        <w:rPr>
          <w:b/>
        </w:rPr>
        <w:t>Early Life Supports</w:t>
      </w:r>
      <w:r w:rsidR="0080207B">
        <w:t xml:space="preserve"> relevant, welche auf alle Risikotypen Auswirkungen haben.</w:t>
      </w:r>
    </w:p>
    <w:p w14:paraId="004E07B3" w14:textId="5BE9BF38" w:rsidR="00BE5B1B" w:rsidRDefault="00BE5B1B" w:rsidP="00E67FF7">
      <w:pPr>
        <w:pStyle w:val="berschrift2"/>
      </w:pPr>
      <w:bookmarkStart w:id="79" w:name="_Ref455746723"/>
      <w:bookmarkStart w:id="80" w:name="_Ref455746986"/>
      <w:bookmarkStart w:id="81" w:name="_Ref455747201"/>
      <w:bookmarkStart w:id="82" w:name="_Ref455747312"/>
      <w:bookmarkStart w:id="83" w:name="_Ref455759447"/>
      <w:bookmarkStart w:id="84" w:name="_Ref455759699"/>
      <w:bookmarkStart w:id="85" w:name="_Toc456884977"/>
      <w:r>
        <w:t>Service Validation And Testing</w:t>
      </w:r>
      <w:bookmarkEnd w:id="79"/>
      <w:bookmarkEnd w:id="80"/>
      <w:bookmarkEnd w:id="81"/>
      <w:bookmarkEnd w:id="82"/>
      <w:bookmarkEnd w:id="83"/>
      <w:bookmarkEnd w:id="84"/>
      <w:bookmarkEnd w:id="85"/>
    </w:p>
    <w:p w14:paraId="5B48D034" w14:textId="78A0984A" w:rsidR="0053310C" w:rsidRDefault="0053310C" w:rsidP="0053310C">
      <w:r>
        <w:t>Der Grundgedanke des Service Validation And Testing Prozesses ist die Qualitätssicherung</w:t>
      </w:r>
      <w:sdt>
        <w:sdtPr>
          <w:id w:val="639002904"/>
          <w:citation/>
        </w:sdtPr>
        <w:sdtEndPr/>
        <w:sdtContent>
          <w:r>
            <w:fldChar w:fldCharType="begin"/>
          </w:r>
          <w:r>
            <w:instrText xml:space="preserve">CITATION AXE11 \p "S. 150" \l 1031 </w:instrText>
          </w:r>
          <w:r>
            <w:fldChar w:fldCharType="separate"/>
          </w:r>
          <w:r>
            <w:rPr>
              <w:noProof/>
            </w:rPr>
            <w:t xml:space="preserve"> (AXELOS 2011, S. 150)</w:t>
          </w:r>
          <w:r>
            <w:fldChar w:fldCharType="end"/>
          </w:r>
        </w:sdtContent>
      </w:sdt>
      <w:r>
        <w:t>. Durch die Testdurchführung soll sichergestellt werden, dass ein Release bereit für den produktiven Einsatz ist</w:t>
      </w:r>
      <w:sdt>
        <w:sdtPr>
          <w:id w:val="32624978"/>
          <w:citation/>
        </w:sdtPr>
        <w:sdtEndPr/>
        <w:sdtContent>
          <w:r>
            <w:fldChar w:fldCharType="begin"/>
          </w:r>
          <w:r>
            <w:instrText xml:space="preserve">CITATION AXE11 \p "S. 150" \l 1031 </w:instrText>
          </w:r>
          <w:r>
            <w:fldChar w:fldCharType="separate"/>
          </w:r>
          <w:r>
            <w:rPr>
              <w:noProof/>
            </w:rPr>
            <w:t xml:space="preserve"> (AXELOS 2011, S. 150)</w:t>
          </w:r>
          <w:r>
            <w:fldChar w:fldCharType="end"/>
          </w:r>
        </w:sdtContent>
      </w:sdt>
      <w:r>
        <w:t xml:space="preserve">. </w:t>
      </w:r>
      <w:r w:rsidR="000E16A4">
        <w:t>Die Durchführung von Tests ist ebenfalls in der ISO/IEC 20000-1:2011 vorgeschrieben</w:t>
      </w:r>
      <w:sdt>
        <w:sdtPr>
          <w:id w:val="1504015918"/>
          <w:citation/>
        </w:sdtPr>
        <w:sdtEndPr/>
        <w:sdtContent>
          <w:r w:rsidR="000E16A4">
            <w:fldChar w:fldCharType="begin"/>
          </w:r>
          <w:r w:rsidR="000E16A4">
            <w:instrText xml:space="preserve">CITATION ISO11 \p "S. 15" \t  \l 1031 </w:instrText>
          </w:r>
          <w:r w:rsidR="000E16A4">
            <w:fldChar w:fldCharType="separate"/>
          </w:r>
          <w:r w:rsidR="000E16A4">
            <w:rPr>
              <w:noProof/>
            </w:rPr>
            <w:t xml:space="preserve"> (ISO/IEC 2011, S. 15)</w:t>
          </w:r>
          <w:r w:rsidR="000E16A4">
            <w:fldChar w:fldCharType="end"/>
          </w:r>
        </w:sdtContent>
      </w:sdt>
      <w:r w:rsidR="000E16A4">
        <w:t>. Die Tests führen</w:t>
      </w:r>
      <w:r>
        <w:t xml:space="preserve"> zur Reduktion von Fehlern und damit zur Vermeidung von Kosten</w:t>
      </w:r>
      <w:sdt>
        <w:sdtPr>
          <w:id w:val="216872196"/>
          <w:citation/>
        </w:sdtPr>
        <w:sdtEndPr/>
        <w:sdtContent>
          <w:r>
            <w:fldChar w:fldCharType="begin"/>
          </w:r>
          <w:r>
            <w:instrText xml:space="preserve">CITATION AXE11 \p "S. 150" \l 1031 </w:instrText>
          </w:r>
          <w:r>
            <w:fldChar w:fldCharType="separate"/>
          </w:r>
          <w:r>
            <w:rPr>
              <w:noProof/>
            </w:rPr>
            <w:t xml:space="preserve"> (AXELOS 2011, S. 150)</w:t>
          </w:r>
          <w:r>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EndPr/>
        <w:sdtContent>
          <w:r>
            <w:fldChar w:fldCharType="begin"/>
          </w:r>
          <w:r>
            <w:instrText xml:space="preserve">CITATION AXE11 \p "S. 151" \l 1031 </w:instrText>
          </w:r>
          <w:r>
            <w:fldChar w:fldCharType="separate"/>
          </w:r>
          <w:r>
            <w:rPr>
              <w:noProof/>
            </w:rPr>
            <w:t xml:space="preserve"> (AXELOS 2011, S. 151)</w:t>
          </w:r>
          <w:r>
            <w:fldChar w:fldCharType="end"/>
          </w:r>
        </w:sdtContent>
      </w:sdt>
      <w:r>
        <w:t>.</w:t>
      </w:r>
      <w:r w:rsidR="000A0593">
        <w:t xml:space="preserve"> Hinsichtlich des SVT-Prozess werden innerhalb von ITIL folgende Richtlinien vorgeschlagen</w:t>
      </w:r>
      <w:sdt>
        <w:sdtPr>
          <w:id w:val="329727403"/>
          <w:citation/>
        </w:sdtPr>
        <w:sdtEndPr/>
        <w:sdtContent>
          <w:r w:rsidR="000A0593">
            <w:fldChar w:fldCharType="begin"/>
          </w:r>
          <w:r w:rsidR="00327186">
            <w:instrText xml:space="preserve">CITATION AXE11 \p "S. 151 f." \l 1031 </w:instrText>
          </w:r>
          <w:r w:rsidR="000A0593">
            <w:fldChar w:fldCharType="separate"/>
          </w:r>
          <w:r w:rsidR="00327186">
            <w:rPr>
              <w:noProof/>
            </w:rPr>
            <w:t xml:space="preserve"> (AXELOS 2011, S. 151 f.)</w:t>
          </w:r>
          <w:r w:rsidR="000A0593">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1929BD5F" w:rsidR="000A0593" w:rsidRDefault="000A0593" w:rsidP="000A0593">
      <w:pPr>
        <w:pStyle w:val="Listenabsatz"/>
        <w:numPr>
          <w:ilvl w:val="0"/>
          <w:numId w:val="33"/>
        </w:numPr>
      </w:pPr>
      <w:r>
        <w:t>Alle Testartefakte sollten wiederverwendbar sein und wiederverwendet werden.</w:t>
      </w:r>
    </w:p>
    <w:p w14:paraId="71529A1C" w14:textId="3A527374" w:rsidR="000A0593" w:rsidRDefault="000A0593" w:rsidP="000A0593">
      <w:pPr>
        <w:pStyle w:val="Listenabsatz"/>
        <w:numPr>
          <w:ilvl w:val="0"/>
          <w:numId w:val="33"/>
        </w:numPr>
      </w:pPr>
      <w:r>
        <w:lastRenderedPageBreak/>
        <w:t>Die Testdurchführung soll so zeitig wie möglich und im Entwicklungsprojekt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beteiligt werden.</w:t>
      </w:r>
    </w:p>
    <w:p w14:paraId="25F5ECE0" w14:textId="4EC1CAB0" w:rsidR="00327186" w:rsidRDefault="00327186" w:rsidP="000A0593">
      <w:pPr>
        <w:pStyle w:val="Listenabsatz"/>
        <w:numPr>
          <w:ilvl w:val="0"/>
          <w:numId w:val="33"/>
        </w:numPr>
      </w:pPr>
      <w:r>
        <w:t>Mess- und Überwachungssysteme sollen zur Effizienz- und Effektivitätssteigerung eingesetzt werden.</w:t>
      </w:r>
    </w:p>
    <w:p w14:paraId="668D1DEC" w14:textId="2AA3D051" w:rsidR="00327186" w:rsidRDefault="00327186" w:rsidP="000A0593">
      <w:pPr>
        <w:pStyle w:val="Listenabsatz"/>
        <w:numPr>
          <w:ilvl w:val="0"/>
          <w:numId w:val="33"/>
        </w:numPr>
      </w:pPr>
      <w:r>
        <w:t>Automatisierung der notwendigen Tätigkeiten bei komplexen und kritischen Systemen sowie bei tendenziell zeitkritischen Releases.</w:t>
      </w:r>
    </w:p>
    <w:p w14:paraId="1901305C" w14:textId="491A6BED" w:rsidR="00976B83" w:rsidRDefault="00976B83" w:rsidP="00327186">
      <w:r>
        <w:t xml:space="preserve">Die </w:t>
      </w:r>
      <w:r w:rsidRPr="00FA1CB6">
        <w:rPr>
          <w:b/>
        </w:rPr>
        <w:t>Trennung der Testaktivitäten von den Entwicklungsaktivitäten</w:t>
      </w:r>
      <w:r w:rsidR="00F772C2">
        <w:t xml:space="preserve"> wird </w:t>
      </w:r>
      <w:r>
        <w:t xml:space="preserve">in ITIL als generelle Richtlinie beschrieben, </w:t>
      </w:r>
      <w:r w:rsidR="00DC1C4F">
        <w:t xml:space="preserve">da </w:t>
      </w:r>
      <w:r w:rsidR="00F772C2">
        <w:t>durch</w:t>
      </w:r>
      <w:r w:rsidR="00DC1C4F">
        <w:t xml:space="preserve"> die unabhängige Prüfung</w:t>
      </w:r>
      <w:r w:rsidR="00F772C2">
        <w:t xml:space="preserve"> eine höhere Qualität</w:t>
      </w:r>
      <w:r w:rsidR="00DC1C4F">
        <w:t xml:space="preserve"> und Objektivität</w:t>
      </w:r>
      <w:r w:rsidR="00F772C2">
        <w:t xml:space="preserve"> der Tests erreicht werden soll. Dies </w:t>
      </w:r>
      <w:r>
        <w:t>ist aber individuell zu</w:t>
      </w:r>
      <w:r w:rsidR="00FA1CB6">
        <w:t xml:space="preserve"> betrachten, da es Einfluss auf die Dauer und Kosten eines Releases hat. Die Dauer steigt, da </w:t>
      </w:r>
      <w:r w:rsidR="008D56E1">
        <w:t>ein separater</w:t>
      </w:r>
      <w:r w:rsidR="00FA1CB6">
        <w:t xml:space="preserve"> Tester sich erst mit dem Release vertraut machen muss und dafür von den Entwicklern geschult werden muss. Weiterhin kann </w:t>
      </w:r>
      <w:r w:rsidR="007D5155">
        <w:t>d</w:t>
      </w:r>
      <w:r w:rsidR="00FA1CB6">
        <w:t>er</w:t>
      </w:r>
      <w:r w:rsidR="007D5155">
        <w:t xml:space="preserve"> Tester</w:t>
      </w:r>
      <w:r w:rsidR="00FA1CB6">
        <w:t xml:space="preserve"> Fehler nicht selbst beheben, so dass der Entwickler im Fehlerfall die Testdurchführung nachvollziehen können muss und sicher daher trotzdem mit den Tests beschäftigen muss. Da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zeitlichen Risiko unterliegen, kann es demnach sinnvoll sein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w:t>
      </w:r>
      <w:r w:rsidR="000E16A4">
        <w:t>auch innerhalb der ISO/IEC 20000-1:2011 definiert</w:t>
      </w:r>
      <w:sdt>
        <w:sdtPr>
          <w:id w:val="201680880"/>
          <w:citation/>
        </w:sdtPr>
        <w:sdtEndPr/>
        <w:sdtContent>
          <w:r w:rsidR="000E16A4">
            <w:fldChar w:fldCharType="begin"/>
          </w:r>
          <w:r w:rsidR="000E16A4">
            <w:instrText xml:space="preserve">CITATION ISO11 \p "S. 15; S. 24" \t  \l 1031 </w:instrText>
          </w:r>
          <w:r w:rsidR="000E16A4">
            <w:fldChar w:fldCharType="separate"/>
          </w:r>
          <w:r w:rsidR="000E16A4">
            <w:rPr>
              <w:noProof/>
            </w:rPr>
            <w:t xml:space="preserve"> (ISO/IEC 2011, S. 15; S. 24)</w:t>
          </w:r>
          <w:r w:rsidR="000E16A4">
            <w:fldChar w:fldCharType="end"/>
          </w:r>
        </w:sdtContent>
      </w:sdt>
      <w:r w:rsidR="000E16A4">
        <w:t xml:space="preserve">. Sie ist </w:t>
      </w:r>
      <w:r w:rsidR="00FA1CB6">
        <w:t xml:space="preserve">unabhängig vom </w:t>
      </w:r>
      <w:r w:rsidR="000E16A4">
        <w:t>Risiko</w:t>
      </w:r>
      <w:r w:rsidR="00FA1CB6">
        <w:t>-Typ zu</w:t>
      </w:r>
      <w:r w:rsidR="00B13BFE">
        <w:t xml:space="preserve"> vollziehen, da ohne die</w:t>
      </w:r>
      <w:r w:rsidR="00FA1CB6">
        <w:t xml:space="preserve"> Definition </w:t>
      </w:r>
      <w:r w:rsidR="00B13BFE">
        <w:t xml:space="preserve">eines Solls und damit eines Ziels </w:t>
      </w:r>
      <w:r w:rsidR="00FA1CB6">
        <w:t xml:space="preserve">die Testaktivitäten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jedem Testlauf, da die Ergebnisse sonst nicht vergleichbar und nachvollziehbar sind. Die </w:t>
      </w:r>
      <w:r w:rsidR="00B13BFE" w:rsidRPr="00B13BFE">
        <w:rPr>
          <w:b/>
        </w:rPr>
        <w:t>Wiederverwendbarkeit von Testartefakten</w:t>
      </w:r>
      <w:r w:rsidR="00B13BFE">
        <w:rPr>
          <w:b/>
        </w:rPr>
        <w:t xml:space="preserve"> </w:t>
      </w:r>
      <w:r w:rsidR="00B13BFE">
        <w:t xml:space="preserve">steht in starker Abhängigkeit zum Release-Zyklus des TPS-Prozess (vgl. Kapitel </w:t>
      </w:r>
      <w:r w:rsidR="00B13BFE">
        <w:fldChar w:fldCharType="begin"/>
      </w:r>
      <w:r w:rsidR="00B13BFE">
        <w:instrText xml:space="preserve"> REF _Ref446517322 \r \h </w:instrText>
      </w:r>
      <w:r w:rsidR="00B13BFE">
        <w:fldChar w:fldCharType="separate"/>
      </w:r>
      <w:r w:rsidR="00B13BFE">
        <w:t>4.1</w:t>
      </w:r>
      <w:r w:rsidR="00B13BFE">
        <w:fldChar w:fldCharType="end"/>
      </w:r>
      <w:r w:rsidR="00B13BFE">
        <w:t xml:space="preserve">). Je kürzer der Release-Zyklus </w:t>
      </w:r>
      <w:r w:rsidR="00312900">
        <w:t>ist, desto geringer ist der Ä</w:t>
      </w:r>
      <w:r w:rsidR="00B13BFE">
        <w:t>nderungsgrad und desto eher können bestehende Testartefakte ohne Anpassung wiederverwendet werden</w:t>
      </w:r>
      <w:sdt>
        <w:sdtPr>
          <w:id w:val="895703798"/>
          <w:citation/>
        </w:sdtPr>
        <w:sdtEndPr/>
        <w:sdtContent>
          <w:r w:rsidR="00B13BFE">
            <w:fldChar w:fldCharType="begin"/>
          </w:r>
          <w:r w:rsidR="00B13BFE">
            <w:instrText xml:space="preserve">CITATION AXE11 \p "S. 152" \l 1031 </w:instrText>
          </w:r>
          <w:r w:rsidR="00B13BFE">
            <w:fldChar w:fldCharType="separate"/>
          </w:r>
          <w:r w:rsidR="00B13BFE">
            <w:rPr>
              <w:noProof/>
            </w:rPr>
            <w:t xml:space="preserve"> (AXELOS 2011, S. 152)</w:t>
          </w:r>
          <w:r w:rsidR="00B13BFE">
            <w:fldChar w:fldCharType="end"/>
          </w:r>
        </w:sdtContent>
      </w:sdt>
      <w:r w:rsidR="00B13BFE">
        <w:t>. Bei einem hohen Release-Zyklus kann es demnach sein, dass die alten Testartefakte, z. B. die Testfallbeschreibungen, gar nicht mehr passen, da sich der komplette Geschäftsprozess verändert hat. Würde man hierbei versuchen die Testartefakte trotzdem wiederverwendba</w:t>
      </w:r>
      <w:r w:rsidR="00DD62CA">
        <w:t xml:space="preserve">r zu gestalten, wäre der Aufwand entweder umsonst oder die Test wären so generisch, dass sie </w:t>
      </w:r>
      <w:r w:rsidR="00DD62CA">
        <w:lastRenderedPageBreak/>
        <w:t xml:space="preserve">keine Aussagekraft besitzen. Das wäre z. B. der Fall, wenn im Test nur der Aufruf der Startseite eines Webshops erfolgen würde. Dieser ist zwar sicherlich auch für weitere Releases anwendbar, sagt aber über die Gesamtqualität wenig aus. </w:t>
      </w:r>
      <w:r w:rsidR="00F772C2">
        <w:t xml:space="preserve">Aufgrund des engen Bezugs zum Release-Zyklus erfolgt keine eigenständige Betrachtung der Wiederverwendbarkeit. </w:t>
      </w:r>
      <w:r w:rsidR="00DD62CA">
        <w:t xml:space="preserve">Die Richtlinie zur </w:t>
      </w:r>
      <w:r w:rsidR="00DD62CA" w:rsidRPr="00F772C2">
        <w:rPr>
          <w:b/>
        </w:rPr>
        <w:t>frühzeitigen</w:t>
      </w:r>
      <w:r w:rsidR="00DD62CA">
        <w:t xml:space="preserve"> </w:t>
      </w:r>
      <w:r w:rsidR="00DD62CA" w:rsidRPr="00DD62CA">
        <w:rPr>
          <w:b/>
        </w:rPr>
        <w:t>Integration der Testaktivitäten in den Entwicklungsprozess</w:t>
      </w:r>
      <w:r w:rsidR="00DD62CA">
        <w:rPr>
          <w:b/>
        </w:rPr>
        <w:t xml:space="preserve"> </w:t>
      </w:r>
      <w:r w:rsidR="00DD62CA">
        <w:t>ist besonders bei Services mit einem hohen Qualitäts- und Zeitrisiko aber auch im Hinblick auf die Kosten relevant. Durch die frühzeitige Einbindung wird vermieden dass die Testa</w:t>
      </w:r>
      <w:r w:rsidR="00F772C2">
        <w:t>ktivitäten, welche gewöhnlich</w:t>
      </w:r>
      <w:r w:rsidR="00DD62CA">
        <w:t xml:space="preserve"> bei einem wasserfallmodellbasierten Projektvorgehen am Ende stehen, aufgrund von Verzögerungen in vorherigen Phasen reduziert werden oder ganz wegfallen</w:t>
      </w:r>
      <w:sdt>
        <w:sdtPr>
          <w:id w:val="1971474556"/>
          <w:citation/>
        </w:sdtPr>
        <w:sdtEndPr/>
        <w:sdtContent>
          <w:r w:rsidR="00587256">
            <w:fldChar w:fldCharType="begin"/>
          </w:r>
          <w:r w:rsidR="00587256">
            <w:instrText xml:space="preserve">CITATION AXE11 \p "S. 174" \l 1031 </w:instrText>
          </w:r>
          <w:r w:rsidR="00587256">
            <w:fldChar w:fldCharType="separate"/>
          </w:r>
          <w:r w:rsidR="00587256">
            <w:rPr>
              <w:noProof/>
            </w:rPr>
            <w:t xml:space="preserve"> (AXELOS 2011, S. 174)</w:t>
          </w:r>
          <w:r w:rsidR="00587256">
            <w:fldChar w:fldCharType="end"/>
          </w:r>
        </w:sdtContent>
      </w:sdt>
      <w:r w:rsidR="00DD62CA">
        <w:t xml:space="preserve">. </w:t>
      </w:r>
      <w:r w:rsidR="00C77A1A">
        <w:t xml:space="preserve">Dies kann sich dramatisch auf die Qualität auswirken, da der Endnutzer zum Tester des Releases wird. </w:t>
      </w:r>
      <w:r w:rsidR="00DD62CA">
        <w:t>Zeitlich ist die frühzeitige Integration dann wichtig, falls in einer späten Phase im Projekt</w:t>
      </w:r>
      <w:r w:rsidR="00C77A1A">
        <w:t xml:space="preserve"> oder im Wirkbetrieb</w:t>
      </w:r>
      <w:r w:rsidR="00DD62CA">
        <w:t xml:space="preserve"> ein Fehler gefunden wurde, der zu Beginn des Projekts gemacht wurde und ggf. einen kompletten Neubeginn</w:t>
      </w:r>
      <w:r w:rsidR="0035383F">
        <w:t xml:space="preserve"> der Arbeiten</w:t>
      </w:r>
      <w:r w:rsidR="00DD62CA">
        <w:t xml:space="preserve"> erfordert. Solch eine Situation bedeutet dann natürlich auch erhöhte Kosten</w:t>
      </w:r>
      <w:sdt>
        <w:sdtPr>
          <w:id w:val="-396368903"/>
          <w:citation/>
        </w:sdtPr>
        <w:sdtEndPr/>
        <w:sdtContent>
          <w:r w:rsidR="0069750D">
            <w:fldChar w:fldCharType="begin"/>
          </w:r>
          <w:r w:rsidR="0069750D">
            <w:instrText xml:space="preserve">CITATION Len06 \p "S. 143 f." \l 1031 </w:instrText>
          </w:r>
          <w:r w:rsidR="0069750D">
            <w:fldChar w:fldCharType="separate"/>
          </w:r>
          <w:r w:rsidR="0069750D">
            <w:rPr>
              <w:noProof/>
            </w:rPr>
            <w:t xml:space="preserve"> (Lennertz 2006, S. 143 f.)</w:t>
          </w:r>
          <w:r w:rsidR="0069750D">
            <w:fldChar w:fldCharType="end"/>
          </w:r>
        </w:sdtContent>
      </w:sdt>
      <w:r w:rsidR="00DD62CA">
        <w:t>. Der Zusammenhang zwischen den Kosten zur Fehlerbehebung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CD6296">
        <w:t xml:space="preserve">Abbildung </w:t>
      </w:r>
      <w:r w:rsidR="00CD6296">
        <w:rPr>
          <w:noProof/>
        </w:rPr>
        <w:t>4</w:t>
      </w:r>
      <w:r w:rsidR="00CD6296">
        <w:t>.</w:t>
      </w:r>
      <w:r w:rsidR="00CD6296">
        <w:rPr>
          <w:noProof/>
        </w:rPr>
        <w:t>1</w:t>
      </w:r>
      <w:r w:rsidR="00CD6296">
        <w:fldChar w:fldCharType="end"/>
      </w:r>
      <w:r w:rsidR="00DD62CA">
        <w:t xml:space="preserve"> zur Verdeutlichung </w:t>
      </w:r>
      <w:r w:rsidR="00FA60D0">
        <w:t>dieses Sachverhalts dargestellt. In der Literatur gibt es jedoch auch kritische Stimmen, die diesen Zusammenhang aufgrund mangelhafter empirischer Nachweise</w:t>
      </w:r>
      <w:r w:rsidR="0069750D">
        <w:t xml:space="preserve"> in Frage stellen und als reine ideologische Auffassung bewerten</w:t>
      </w:r>
      <w:sdt>
        <w:sdtPr>
          <w:id w:val="-1757588865"/>
          <w:citation/>
        </w:sdtPr>
        <w:sdtEndPr/>
        <w:sdtContent>
          <w:r w:rsidR="0069750D">
            <w:fldChar w:fldCharType="begin"/>
          </w:r>
          <w:r w:rsidR="0069750D">
            <w:instrText xml:space="preserve">CITATION Bos15 \p "S. 87 ff." \l 1031 </w:instrText>
          </w:r>
          <w:r w:rsidR="0069750D">
            <w:fldChar w:fldCharType="separate"/>
          </w:r>
          <w:r w:rsidR="0069750D">
            <w:rPr>
              <w:noProof/>
            </w:rPr>
            <w:t xml:space="preserve"> (Bossavit 2015, S. 87 ff.)</w:t>
          </w:r>
          <w:r w:rsidR="0069750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welche ggf. </w:t>
      </w:r>
      <w:r w:rsidR="00312900">
        <w:t>Architektur- oder Technologie</w:t>
      </w:r>
      <w:r w:rsidR="0069750D">
        <w:t xml:space="preserve">änderungen bedingt und alle durchgeführten </w:t>
      </w:r>
      <w:r w:rsidR="004B0A4B">
        <w:t xml:space="preserve">Aktivitäten wie z. B. </w:t>
      </w:r>
      <w:r w:rsidR="0069750D">
        <w:t>Tests erneut nach sich zieht</w:t>
      </w:r>
      <w:r w:rsidR="004B0A4B">
        <w:t xml:space="preserve"> sowie möglicherweise Umsatzverlust oder Entschädigungszahlungen bedeutet</w:t>
      </w:r>
      <w:r w:rsidR="0069750D">
        <w:t>.</w:t>
      </w:r>
    </w:p>
    <w:p w14:paraId="1B1E6797" w14:textId="77777777" w:rsidR="00CD6296" w:rsidRDefault="00CD6296" w:rsidP="00CD6296">
      <w:pPr>
        <w:keepNext/>
      </w:pPr>
      <w:r>
        <w:rPr>
          <w:noProof/>
        </w:rPr>
        <w:lastRenderedPageBreak/>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0">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86" w:name="_Ref450314400"/>
      <w:bookmarkStart w:id="87" w:name="_Toc456884993"/>
      <w:r>
        <w:t xml:space="preserve">Abbildung </w:t>
      </w:r>
      <w:r w:rsidR="005F5E76">
        <w:fldChar w:fldCharType="begin"/>
      </w:r>
      <w:r w:rsidR="005F5E76">
        <w:instrText xml:space="preserve"> STYLEREF 1 \s </w:instrText>
      </w:r>
      <w:r w:rsidR="005F5E76">
        <w:fldChar w:fldCharType="separate"/>
      </w:r>
      <w:r>
        <w:rPr>
          <w:noProof/>
        </w:rPr>
        <w:t>4</w:t>
      </w:r>
      <w:r w:rsidR="005F5E76">
        <w:rPr>
          <w:noProof/>
        </w:rPr>
        <w:fldChar w:fldCharType="end"/>
      </w:r>
      <w:r>
        <w:t>.</w:t>
      </w:r>
      <w:r w:rsidR="005F5E76">
        <w:fldChar w:fldCharType="begin"/>
      </w:r>
      <w:r w:rsidR="005F5E76">
        <w:instrText xml:space="preserve"> SEQ Abbildung \* ARABIC \s 1 </w:instrText>
      </w:r>
      <w:r w:rsidR="005F5E76">
        <w:fldChar w:fldCharType="separate"/>
      </w:r>
      <w:r>
        <w:rPr>
          <w:noProof/>
        </w:rPr>
        <w:t>1</w:t>
      </w:r>
      <w:r w:rsidR="005F5E76">
        <w:rPr>
          <w:noProof/>
        </w:rPr>
        <w:fldChar w:fldCharType="end"/>
      </w:r>
      <w:bookmarkEnd w:id="86"/>
      <w:r>
        <w:t>: Fehlerbehebungskosten</w:t>
      </w:r>
      <w:bookmarkEnd w:id="87"/>
    </w:p>
    <w:p w14:paraId="13562AD8" w14:textId="44CDFC73" w:rsidR="000611AF" w:rsidRDefault="004B0A4B" w:rsidP="00CD6296">
      <w:pPr>
        <w:jc w:val="center"/>
      </w:pPr>
      <w:r>
        <w:t xml:space="preserve">Quelle: </w:t>
      </w:r>
      <w:r w:rsidR="00B46DD5">
        <w:t>in Anlehnung an</w:t>
      </w:r>
      <w:r>
        <w:t xml:space="preserve"> </w:t>
      </w:r>
      <w:sdt>
        <w:sdtPr>
          <w:id w:val="1240291551"/>
          <w:citation/>
        </w:sdtPr>
        <w:sdtEnd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5A2060C5" w14:textId="28BCF140" w:rsidR="00EA3580" w:rsidRPr="00976B83" w:rsidRDefault="00C77A1A" w:rsidP="00EA3580">
      <w:r>
        <w:t xml:space="preserve">Die </w:t>
      </w:r>
      <w:r w:rsidRPr="00C77A1A">
        <w:rPr>
          <w:b/>
        </w:rPr>
        <w:t>risikobasierte Ausrichtung der Tests</w:t>
      </w:r>
      <w:r>
        <w:t xml:space="preserve"> ist prinzipiell eine generelle Richtlinie, welche für alle Services gilt, wobei natürlich jeder Service ein</w:t>
      </w:r>
      <w:r w:rsidR="001B2E93">
        <w:t>en entsprechenden</w:t>
      </w:r>
      <w:r>
        <w:t xml:space="preserve"> Risiko</w:t>
      </w:r>
      <w:r w:rsidR="001B2E93">
        <w:t>typen</w:t>
      </w:r>
      <w:r>
        <w:t xml:space="preserve"> vorweist. Diese Richtlinie unterstreicht zugleich den Bedarf von Standardtypen, da sie zu generisch ist, aber auch den Ansatz hinsichtlich der Risiken aus den Lebenszyklusphasen</w:t>
      </w:r>
      <w:r w:rsidR="003B6916">
        <w:t xml:space="preserve"> unterstützt</w:t>
      </w:r>
      <w:r>
        <w:t>, da es risikobasiert erfolgen soll.</w:t>
      </w:r>
      <w:r w:rsidR="00A81AF6">
        <w:t xml:space="preserve"> Die </w:t>
      </w:r>
      <w:r w:rsidR="00A81AF6" w:rsidRPr="00A81AF6">
        <w:rPr>
          <w:b/>
        </w:rPr>
        <w:t>Teilnahme der Nutzer an den Tests</w:t>
      </w:r>
      <w:r w:rsidR="00A81AF6">
        <w:t xml:space="preserve"> dient der Tauglichkeitsbetrachtung des neuen Releases</w:t>
      </w:r>
      <w:r w:rsidR="000E16A4">
        <w:t xml:space="preserve"> und wird auch von der ISO/IEC 20000-2:2012 empfohlen </w:t>
      </w:r>
      <w:sdt>
        <w:sdtPr>
          <w:id w:val="-349339723"/>
          <w:citation/>
        </w:sdtPr>
        <w:sdtEndPr/>
        <w:sdtContent>
          <w:r w:rsidR="000E16A4">
            <w:fldChar w:fldCharType="begin"/>
          </w:r>
          <w:r w:rsidR="000E16A4">
            <w:instrText xml:space="preserve">CITATION ISO12 \p "S. 75" \t  \l 1031 </w:instrText>
          </w:r>
          <w:r w:rsidR="000E16A4">
            <w:fldChar w:fldCharType="separate"/>
          </w:r>
          <w:r w:rsidR="000E16A4">
            <w:rPr>
              <w:noProof/>
            </w:rPr>
            <w:t>(ISO/IEC 2012, S. 75)</w:t>
          </w:r>
          <w:r w:rsidR="000E16A4">
            <w:fldChar w:fldCharType="end"/>
          </w:r>
        </w:sdtContent>
      </w:sdt>
      <w:r w:rsidR="00A81AF6">
        <w:t xml:space="preserve">. Einerseits bedeutet die Beteiligung weiterer Personen erhöhte Kosten, aufgrund des zeitlichen Aufwands, andererseits kann es eine höhere Qualität bringen, da die Nutzer möglicherweise eine andere Perspektive als z. B. ein Entwickler oder Tester haben. Zu beachten ist auf jeden Fall die zeitliche Dimension, da die Beteiligung weiterer </w:t>
      </w:r>
      <w:r w:rsidR="007D5155">
        <w:t xml:space="preserve">Personen </w:t>
      </w:r>
      <w:r w:rsidR="008D56E1">
        <w:t xml:space="preserve">sich auf die Dauer der Tests negativ auswirken kann, wenn sie nicht parallelisiert werden können. Der </w:t>
      </w:r>
      <w:r w:rsidR="008D56E1" w:rsidRPr="008D56E1">
        <w:rPr>
          <w:b/>
        </w:rPr>
        <w:t>Einsatz von Mess- und Überwachungssystemen</w:t>
      </w:r>
      <w:r w:rsidR="008D56E1">
        <w:t xml:space="preserve"> bei den Tests ist in </w:t>
      </w:r>
      <w:r w:rsidR="007D5155">
        <w:t>Ab</w:t>
      </w:r>
      <w:r w:rsidR="00EA3580">
        <w:t>hängigkeit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 xml:space="preserve">ist die Nutzung für die Vergleichbarkeit von Testläufen </w:t>
      </w:r>
      <w:r w:rsidR="008D56E1">
        <w:t xml:space="preserve">entscheidend, </w:t>
      </w:r>
      <w:r w:rsidR="007D5155">
        <w:t>da</w:t>
      </w:r>
      <w:r w:rsidR="008D56E1">
        <w:t xml:space="preserve"> ohne Metriken, wie z. B. </w:t>
      </w:r>
      <w:r w:rsidR="00F417F5">
        <w:t>der Transaktionsdurchsatz</w:t>
      </w:r>
      <w:r w:rsidR="008D56E1">
        <w:t xml:space="preserve"> oder </w:t>
      </w:r>
      <w:r w:rsidR="00F417F5">
        <w:t>die Netzwerkauslastung</w:t>
      </w:r>
      <w:r w:rsidR="008D56E1">
        <w:t xml:space="preserve"> </w:t>
      </w:r>
      <w:r w:rsidR="007D5155">
        <w:t xml:space="preserve">die Ergebnisse nicht </w:t>
      </w:r>
      <w:r w:rsidR="008D56E1">
        <w:t>objektiv auswertbar wären</w:t>
      </w:r>
      <w:sdt>
        <w:sdtPr>
          <w:id w:val="-2099864856"/>
          <w:citation/>
        </w:sdtPr>
        <w:sdtEndPr/>
        <w:sdtContent>
          <w:r w:rsidR="00F417F5">
            <w:fldChar w:fldCharType="begin"/>
          </w:r>
          <w:r w:rsidR="00F417F5">
            <w:instrText xml:space="preserve">CITATION AXE11 \p "S. 164" \l 1031 </w:instrText>
          </w:r>
          <w:r w:rsidR="00F417F5">
            <w:fldChar w:fldCharType="separate"/>
          </w:r>
          <w:r w:rsidR="00F417F5">
            <w:rPr>
              <w:noProof/>
            </w:rPr>
            <w:t xml:space="preserve"> (AXELOS 2011, S. 164)</w:t>
          </w:r>
          <w:r w:rsidR="00F417F5">
            <w:fldChar w:fldCharType="end"/>
          </w:r>
        </w:sdtContent>
      </w:sdt>
      <w:r w:rsidR="008D56E1">
        <w:t>. Aber auch bei funktionalen Tests, welche nur die fachliche Korrektheit einer Transaktion prüfen, können Messwerte wie diese hilfreich sein, um zum Beispiel eine Fehlerbehebung mit negativen Auswirkungen auf die Antwortzeit aufzudecken.</w:t>
      </w:r>
      <w:r w:rsidR="007D5155">
        <w:t xml:space="preserve"> Die Einhaltung der Richtlinie ist demnach nur indirekt abhängig vom Service, da es direkt von </w:t>
      </w:r>
      <w:r w:rsidR="00EA3580">
        <w:t xml:space="preserve">den </w:t>
      </w:r>
      <w:r w:rsidR="007D5155">
        <w:t>durchzufüh</w:t>
      </w:r>
      <w:r w:rsidR="007D5155">
        <w:lastRenderedPageBreak/>
        <w:t>renden Tests abhängig ist, welche je nach Qualitätsverständnis</w:t>
      </w:r>
      <w:r w:rsidR="00EA3580">
        <w:t xml:space="preserve"> und Vorgaben aus dem Risiko-Management des Unternehmens abgeleitet werden</w:t>
      </w:r>
      <w:sdt>
        <w:sdtPr>
          <w:id w:val="-1455932487"/>
          <w:citation/>
        </w:sdtPr>
        <w:sdtEndPr/>
        <w:sdtContent>
          <w:r w:rsidR="00EA3580">
            <w:fldChar w:fldCharType="begin"/>
          </w:r>
          <w:r w:rsidR="00EA3580">
            <w:instrText xml:space="preserve">CITATION AXE11 \p "S. 152" \l 1031 </w:instrText>
          </w:r>
          <w:r w:rsidR="00EA3580">
            <w:fldChar w:fldCharType="separate"/>
          </w:r>
          <w:r w:rsidR="00EA3580">
            <w:rPr>
              <w:noProof/>
            </w:rPr>
            <w:t xml:space="preserve"> (AXELOS 2011, S. 152)</w:t>
          </w:r>
          <w:r w:rsidR="00EA3580">
            <w:fldChar w:fldCharType="end"/>
          </w:r>
        </w:sdtContent>
      </w:sdt>
      <w:r w:rsidR="00EA3580">
        <w:t>.</w:t>
      </w:r>
      <w:r w:rsidR="007D5155">
        <w:t xml:space="preserve"> Neben den bereits genannten Testverfahren werden in ITIL noch viele Andere genannt</w:t>
      </w:r>
      <w:sdt>
        <w:sdtPr>
          <w:id w:val="-978683289"/>
          <w:citation/>
        </w:sdtPr>
        <w:sdtEndPr/>
        <w:sdtContent>
          <w:r w:rsidR="007D5155">
            <w:fldChar w:fldCharType="begin"/>
          </w:r>
          <w:r w:rsidR="007D5155">
            <w:instrText xml:space="preserve">CITATION AXE11 \p "S. 161" \l 1031 </w:instrText>
          </w:r>
          <w:r w:rsidR="007D5155">
            <w:fldChar w:fldCharType="separate"/>
          </w:r>
          <w:r w:rsidR="007D5155">
            <w:rPr>
              <w:noProof/>
            </w:rPr>
            <w:t xml:space="preserve"> (AXELOS 2011, S. 161)</w:t>
          </w:r>
          <w:r w:rsidR="007D5155">
            <w:fldChar w:fldCharType="end"/>
          </w:r>
        </w:sdtContent>
      </w:sdt>
      <w:r w:rsidR="007D5155">
        <w:t xml:space="preserve">. Eine Vorstellung der Genannten oder der Weiteren ist an dieser Stelle nicht wertstiftend und würde den Umfang </w:t>
      </w:r>
      <w:r w:rsidR="003B6916">
        <w:t>dieser</w:t>
      </w:r>
      <w:r w:rsidR="007D5155">
        <w:t xml:space="preserve"> Ausarbeitung überschreiten, daher wird auf die Fachliteratur verwiesen. </w:t>
      </w:r>
      <w:r w:rsidR="00EA3580">
        <w:t xml:space="preserve">Die Vorgabe hinsichtlich der </w:t>
      </w:r>
      <w:r w:rsidR="00EA3580" w:rsidRPr="00EA3580">
        <w:rPr>
          <w:b/>
        </w:rPr>
        <w:t>Automation der Testaktivitäten</w:t>
      </w:r>
      <w:r w:rsidR="00EA3580">
        <w:t xml:space="preserve"> wird in ITIL selbst schon spezifisch an konkrete Risiken gebunden</w:t>
      </w:r>
      <w:sdt>
        <w:sdtPr>
          <w:id w:val="-397293503"/>
          <w:citation/>
        </w:sdtPr>
        <w:sdtEndPr/>
        <w:sdtContent>
          <w:r w:rsidR="00EA3580">
            <w:fldChar w:fldCharType="begin"/>
          </w:r>
          <w:r w:rsidR="00EA3580">
            <w:instrText xml:space="preserve">CITATION AXE11 \p "S. 151" \l 1031 </w:instrText>
          </w:r>
          <w:r w:rsidR="00EA3580">
            <w:fldChar w:fldCharType="separate"/>
          </w:r>
          <w:r w:rsidR="00EA3580">
            <w:rPr>
              <w:noProof/>
            </w:rPr>
            <w:t xml:space="preserve"> (AXELOS 2011, S. 151)</w:t>
          </w:r>
          <w:r w:rsidR="00EA3580">
            <w:fldChar w:fldCharType="end"/>
          </w:r>
        </w:sdtContent>
      </w:sdt>
      <w:r w:rsidR="00EA3580">
        <w:t xml:space="preserve">. Demnach ist vor allem bei komplexen, geschäftskritischen oder bei zeitkritischen Services die </w:t>
      </w:r>
      <w:r w:rsidR="00F417F5">
        <w:t>Testa</w:t>
      </w:r>
      <w:r w:rsidR="00EA3580">
        <w:t>utomatisierung einzusetzen</w:t>
      </w:r>
      <w:sdt>
        <w:sdtPr>
          <w:id w:val="1706370055"/>
          <w:citation/>
        </w:sdtPr>
        <w:sdtEndPr/>
        <w:sdtContent>
          <w:r w:rsidR="00EA3580">
            <w:fldChar w:fldCharType="begin"/>
          </w:r>
          <w:r w:rsidR="00EA3580">
            <w:instrText xml:space="preserve">CITATION AXE11 \p "S. 151 f." \l 1031 </w:instrText>
          </w:r>
          <w:r w:rsidR="00EA3580">
            <w:fldChar w:fldCharType="separate"/>
          </w:r>
          <w:r w:rsidR="00EA3580">
            <w:rPr>
              <w:noProof/>
            </w:rPr>
            <w:t xml:space="preserve"> (AXELOS 2011, S. 151 f.)</w:t>
          </w:r>
          <w:r w:rsidR="00EA3580">
            <w:fldChar w:fldCharType="end"/>
          </w:r>
        </w:sdtContent>
      </w:sdt>
      <w:r w:rsidR="00EA3580">
        <w:t>.</w:t>
      </w:r>
      <w:r w:rsidR="00990770">
        <w:t xml:space="preserve"> Hinsichtlich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990770">
        <w:t>4.4</w:t>
      </w:r>
      <w:r w:rsidR="00990770">
        <w:fldChar w:fldCharType="end"/>
      </w:r>
      <w:r w:rsidR="00990770">
        <w:t>).</w:t>
      </w:r>
    </w:p>
    <w:p w14:paraId="3B73BF97" w14:textId="487DB122" w:rsidR="00976B83" w:rsidRDefault="00853517" w:rsidP="00976B83">
      <w:pPr>
        <w:pStyle w:val="berschrift2"/>
      </w:pPr>
      <w:bookmarkStart w:id="88" w:name="_Toc456884978"/>
      <w:r>
        <w:t>Change Eva</w:t>
      </w:r>
      <w:r w:rsidR="00BE5B1B">
        <w:t>lu</w:t>
      </w:r>
      <w:r>
        <w:t>a</w:t>
      </w:r>
      <w:r w:rsidR="00BE5B1B">
        <w:t>tion</w:t>
      </w:r>
      <w:bookmarkEnd w:id="88"/>
    </w:p>
    <w:p w14:paraId="06D889C9" w14:textId="1E2B1B65"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EndPr/>
        <w:sdtContent>
          <w:r>
            <w:fldChar w:fldCharType="begin"/>
          </w:r>
          <w:r>
            <w:instrText xml:space="preserve">CITATION AXE11 \p "S. 175" \l 1031 </w:instrText>
          </w:r>
          <w:r>
            <w:fldChar w:fldCharType="separate"/>
          </w:r>
          <w:r>
            <w:rPr>
              <w:noProof/>
            </w:rPr>
            <w:t xml:space="preserve"> (AXELOS 2011, S. 175)</w:t>
          </w:r>
          <w:r>
            <w:fldChar w:fldCharType="end"/>
          </w:r>
        </w:sdtContent>
      </w:sdt>
      <w:r>
        <w:t>. Die Zielstellung umfasst die Bereitstellung von</w:t>
      </w:r>
      <w:r w:rsidR="00192BB8">
        <w:t xml:space="preserve"> akkuraten Informationen an das Change Management sowie an andere Stakeholder zur Entscheidungsfindung</w:t>
      </w:r>
      <w:sdt>
        <w:sdtPr>
          <w:id w:val="1459995049"/>
          <w:citation/>
        </w:sdtPr>
        <w:sdtEnd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Die Informationen entstehen durch die Evaluierung der gewünschten und ungewünschten Effekte bei de</w:t>
      </w:r>
      <w:r w:rsidR="00312900">
        <w:t>r Durchführung der geplanten Ä</w:t>
      </w:r>
      <w:r w:rsidR="00192BB8">
        <w:t>nderung</w:t>
      </w:r>
      <w:sdt>
        <w:sdtPr>
          <w:id w:val="-620914391"/>
          <w:citation/>
        </w:sdtPr>
        <w:sdtEnd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Der Mehrwert liegt in der Beschaffung einer Entscheidungsgrundlage sowie </w:t>
      </w:r>
      <w:r w:rsidR="008D456B">
        <w:t xml:space="preserve">in </w:t>
      </w:r>
      <w:r w:rsidR="00192BB8">
        <w:t>der Erarbeitung von Ansätzen zur zukünftigen Verbesserung im Rahmen des ITIL Continual Service Improvement</w:t>
      </w:r>
      <w:sdt>
        <w:sdtPr>
          <w:id w:val="870729709"/>
          <w:citation/>
        </w:sdtPr>
        <w:sdtEnd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w:t>
      </w:r>
      <w:r w:rsidR="0043065E">
        <w:t>Die Richtlinienb</w:t>
      </w:r>
      <w:r w:rsidR="00192BB8">
        <w:t>eispiele für den CHE-Prozesse innerhalb von ITIL umfassen die folgenden vier Elemente</w:t>
      </w:r>
      <w:sdt>
        <w:sdtPr>
          <w:id w:val="-555169007"/>
          <w:citation/>
        </w:sdtPr>
        <w:sdtEnd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w:t>
      </w:r>
    </w:p>
    <w:p w14:paraId="44931C32" w14:textId="3E33EEDD" w:rsidR="00192BB8" w:rsidRDefault="00312900" w:rsidP="00192BB8">
      <w:pPr>
        <w:pStyle w:val="Listenabsatz"/>
        <w:numPr>
          <w:ilvl w:val="0"/>
          <w:numId w:val="36"/>
        </w:numPr>
      </w:pPr>
      <w:r>
        <w:t>Jede Ä</w:t>
      </w:r>
      <w:r w:rsidR="00192BB8">
        <w:t>nderung muss vor der Durchführung evaluiert werden</w:t>
      </w:r>
      <w:r w:rsidR="00A93451">
        <w:t>.</w:t>
      </w:r>
    </w:p>
    <w:p w14:paraId="798A1CF4" w14:textId="0A0E35F6" w:rsidR="00192BB8" w:rsidRDefault="00312900" w:rsidP="00192BB8">
      <w:pPr>
        <w:pStyle w:val="Listenabsatz"/>
        <w:numPr>
          <w:ilvl w:val="0"/>
          <w:numId w:val="36"/>
        </w:numPr>
      </w:pPr>
      <w:r>
        <w:t>Nur kritische Ä</w:t>
      </w:r>
      <w:r w:rsidR="00192BB8">
        <w:t>nderungen müssen den formalen Prozess durchlaufen</w:t>
      </w:r>
      <w:r w:rsidR="00A93451">
        <w:t>.</w:t>
      </w:r>
    </w:p>
    <w:p w14:paraId="11850F3F" w14:textId="438F6BE2" w:rsidR="00192BB8" w:rsidRDefault="00192BB8" w:rsidP="00192BB8">
      <w:pPr>
        <w:pStyle w:val="Listenabsatz"/>
        <w:numPr>
          <w:ilvl w:val="0"/>
          <w:numId w:val="36"/>
        </w:numPr>
      </w:pPr>
      <w:r>
        <w:t>Die Evaluierung umfasst auch</w:t>
      </w:r>
      <w:r w:rsidR="00312900">
        <w:t xml:space="preserve"> andere von der Ä</w:t>
      </w:r>
      <w:r w:rsidR="00A93451">
        <w:t>nderung betroffene Services.</w:t>
      </w:r>
    </w:p>
    <w:p w14:paraId="50EC1B60" w14:textId="10B1A1F4" w:rsidR="00A93451" w:rsidRDefault="004C3F35" w:rsidP="004C3F35">
      <w:pPr>
        <w:pStyle w:val="Listenabsatz"/>
        <w:numPr>
          <w:ilvl w:val="0"/>
          <w:numId w:val="36"/>
        </w:numPr>
      </w:pPr>
      <w:r>
        <w:t>Bei Abweichungen von den Planeffekten muss der Kunde bzgl. des weiteren Vorgehens befragt werden.</w:t>
      </w:r>
    </w:p>
    <w:p w14:paraId="253EA8C3" w14:textId="4E8FBA7A" w:rsidR="00A93451" w:rsidRPr="00A93451" w:rsidRDefault="00A93451" w:rsidP="00A93451">
      <w:r>
        <w:t xml:space="preserve">Wie den bisherigen </w:t>
      </w:r>
      <w:r w:rsidR="0043065E">
        <w:t xml:space="preserve">Ausführungen </w:t>
      </w:r>
      <w:r>
        <w:t>entnommen werden kann, herrscht eine enge Verbindung zum CHM-Prozess</w:t>
      </w:r>
      <w:sdt>
        <w:sdtPr>
          <w:id w:val="-242259100"/>
          <w:citation/>
        </w:sdtPr>
        <w:sdtEndPr/>
        <w:sdtContent>
          <w:r w:rsidR="00E61ACB">
            <w:fldChar w:fldCharType="begin"/>
          </w:r>
          <w:r w:rsidR="00E61ACB">
            <w:instrText xml:space="preserve">CITATION AXE11 \p "S. 180" \l 1031 </w:instrText>
          </w:r>
          <w:r w:rsidR="00E61ACB">
            <w:fldChar w:fldCharType="separate"/>
          </w:r>
          <w:r w:rsidR="00E61ACB">
            <w:rPr>
              <w:noProof/>
            </w:rPr>
            <w:t xml:space="preserve"> (AXELOS 2011, S. 180)</w:t>
          </w:r>
          <w:r w:rsidR="00E61ACB">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benötigt</w:t>
      </w:r>
      <w:r w:rsidR="00191E64">
        <w:t xml:space="preserve"> und </w:t>
      </w:r>
      <w:r w:rsidR="00191E64">
        <w:lastRenderedPageBreak/>
        <w:t>damit ebenfalls allgemein einzuhalten ist</w:t>
      </w:r>
      <w:r>
        <w:t xml:space="preserve"> (vgl. Kapitel </w:t>
      </w:r>
      <w:r>
        <w:fldChar w:fldCharType="begin"/>
      </w:r>
      <w:r>
        <w:instrText xml:space="preserve"> REF _Ref450406361 \r \h </w:instrText>
      </w:r>
      <w:r>
        <w:fldChar w:fldCharType="separate"/>
      </w:r>
      <w:r>
        <w:t>4.2</w:t>
      </w:r>
      <w:r>
        <w:fldChar w:fldCharType="end"/>
      </w:r>
      <w:r>
        <w:t xml:space="preserve">). Die Anwendung eines </w:t>
      </w:r>
      <w:r w:rsidRPr="0043065E">
        <w:rPr>
          <w:b/>
        </w:rPr>
        <w:t>formellen Prozess</w:t>
      </w:r>
      <w:r w:rsidR="0043065E" w:rsidRPr="0043065E">
        <w:rPr>
          <w:b/>
        </w:rPr>
        <w:t>es</w:t>
      </w:r>
      <w:r w:rsidR="00312900">
        <w:rPr>
          <w:b/>
        </w:rPr>
        <w:t xml:space="preserve"> für kritische Ä</w:t>
      </w:r>
      <w:r w:rsidRPr="0043065E">
        <w:rPr>
          <w:b/>
        </w:rPr>
        <w:t>nderung</w:t>
      </w:r>
      <w:r w:rsidR="0043065E" w:rsidRPr="0043065E">
        <w:rPr>
          <w:b/>
        </w:rPr>
        <w:t>en</w:t>
      </w:r>
      <w:r>
        <w:t xml:space="preserve"> </w:t>
      </w:r>
      <w:r w:rsidR="00191E64">
        <w:t>unterstützt die unterschiedlichen Risikotypen</w:t>
      </w:r>
      <w:r>
        <w:t xml:space="preserve"> </w:t>
      </w:r>
      <w:r w:rsidR="00191E64">
        <w:t xml:space="preserve">ähnlich der unterschiedlichen </w:t>
      </w:r>
      <w:r w:rsidR="0043065E">
        <w:t>Change-Typen</w:t>
      </w:r>
      <w:r w:rsidR="00191E64">
        <w:t xml:space="preserve"> des CHM-Prozess (vgl. Kapitel </w:t>
      </w:r>
      <w:r w:rsidR="00191E64">
        <w:fldChar w:fldCharType="begin"/>
      </w:r>
      <w:r w:rsidR="00191E64">
        <w:instrText xml:space="preserve"> REF _Ref450484385 \r \h </w:instrText>
      </w:r>
      <w:r w:rsidR="00191E64">
        <w:fldChar w:fldCharType="separate"/>
      </w:r>
      <w:r w:rsidR="00191E64">
        <w:t>4.2</w:t>
      </w:r>
      <w:r w:rsidR="00191E64">
        <w:fldChar w:fldCharType="end"/>
      </w:r>
      <w:r w:rsidR="00191E64">
        <w:t>). Der formelle Prozess ist aufgru</w:t>
      </w:r>
      <w:r w:rsidR="00312900">
        <w:t>nd des Bezugs auf kritische Ä</w:t>
      </w:r>
      <w:r w:rsidR="00191E64">
        <w:t xml:space="preserve">nderungen nur bei einem Normal Change bzw. Emergency Change anzuwenden, da ein Standard Change nur ein geringes Risiko haben darf (vgl. Kapitel </w:t>
      </w:r>
      <w:r w:rsidR="00191E64">
        <w:fldChar w:fldCharType="begin"/>
      </w:r>
      <w:r w:rsidR="00191E64">
        <w:instrText xml:space="preserve"> REF _Ref450484394 \r \h </w:instrText>
      </w:r>
      <w:r w:rsidR="00191E64">
        <w:fldChar w:fldCharType="separate"/>
      </w:r>
      <w:r w:rsidR="00191E64">
        <w:t>4.2</w:t>
      </w:r>
      <w:r w:rsidR="00191E64">
        <w:fldChar w:fldCharType="end"/>
      </w:r>
      <w:r w:rsidR="00191E64">
        <w:t xml:space="preserve">). </w:t>
      </w:r>
      <w:r w:rsidR="004B6D29">
        <w:t xml:space="preserve">Die beiden genannten Punkte bieten aufgrund der engen Integration in den CHM-Prozess keinen zusätzlichen Mehrwert für die Standardtypenbetrachtung.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312900">
        <w:t>durch eine Ä</w:t>
      </w:r>
      <w:r w:rsidR="00191E64">
        <w:t xml:space="preserve">nderung sollte prinzipiell immer durchgeführt werden, da die Änderung am eigenen Service möglicherweise klein ist, aber einen kritischen Service negativ beeinflusst. Die Evaluierung kann </w:t>
      </w:r>
      <w:r w:rsidR="004C3F35">
        <w:t>entfallen, wenn</w:t>
      </w:r>
      <w:r w:rsidR="00191E64">
        <w:t xml:space="preserve"> der Service keinen Bezug zu anderen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abhängigen Services aufwendig werden kann, sollten bei zeitkritischen Services demnach solche Maßnahmen vorgenommen werden.</w:t>
      </w:r>
      <w:r w:rsidR="00F772C2">
        <w:t xml:space="preserve"> Die</w:t>
      </w:r>
      <w:r w:rsidR="000E16A4">
        <w:t>se bezieht</w:t>
      </w:r>
      <w:r w:rsidR="00F772C2">
        <w:t xml:space="preserve"> sich jedoch auf Gestaltungsfaktoren aus dem RDM-Prozess und wurden dort bereits betrachtet (vgl. Kapitel </w:t>
      </w:r>
      <w:r w:rsidR="00F772C2">
        <w:fldChar w:fldCharType="begin"/>
      </w:r>
      <w:r w:rsidR="00F772C2">
        <w:instrText xml:space="preserve"> REF _Ref449366923 \r \h </w:instrText>
      </w:r>
      <w:r w:rsidR="00F772C2">
        <w:fldChar w:fldCharType="separate"/>
      </w:r>
      <w:r w:rsidR="00F772C2">
        <w:t>4.4</w:t>
      </w:r>
      <w:r w:rsidR="00F772C2">
        <w:fldChar w:fldCharType="end"/>
      </w:r>
      <w:r w:rsidR="00F772C2">
        <w:t>).</w:t>
      </w:r>
      <w:r w:rsidR="004C3F35">
        <w:t xml:space="preserve"> Die </w:t>
      </w:r>
      <w:r w:rsidR="004C3F35" w:rsidRPr="004C3F35">
        <w:rPr>
          <w:b/>
        </w:rPr>
        <w:t>Befragung des Kunden bei Planabweichungen</w:t>
      </w:r>
      <w:r w:rsidR="004C3F35">
        <w:t xml:space="preserve"> weist keine risikobezogene Unterscheidung auf, da unabhängig von</w:t>
      </w:r>
      <w:r w:rsidR="004B6D29">
        <w:t xml:space="preserve"> Zeit, Kosten oder Qualität in einer derartigen Situation nur der Kunde das weitere Vorgehen bestimmen kann, es sei denn es wurde vorab definiert</w:t>
      </w:r>
      <w:r w:rsidR="004C3F35">
        <w:t>.</w:t>
      </w:r>
      <w:r w:rsidR="000E16A4">
        <w:t xml:space="preserve"> Innerhalb der ISO/IEC 20000-1:2011 wird zudem die Bereitstellung eines Berichts, welcher die erreichten und die erwarteten Ergebnisse vergleichend darstellt, für die Stakeholder vorgeschrieben </w:t>
      </w:r>
      <w:sdt>
        <w:sdtPr>
          <w:id w:val="479430103"/>
          <w:citation/>
        </w:sdtPr>
        <w:sdtEndPr/>
        <w:sdtContent>
          <w:r w:rsidR="000E16A4">
            <w:fldChar w:fldCharType="begin"/>
          </w:r>
          <w:r w:rsidR="000E16A4">
            <w:instrText xml:space="preserve">CITATION ISO11 \p "S. 15" \t  \l 1031 </w:instrText>
          </w:r>
          <w:r w:rsidR="000E16A4">
            <w:fldChar w:fldCharType="separate"/>
          </w:r>
          <w:r w:rsidR="000E16A4">
            <w:rPr>
              <w:noProof/>
            </w:rPr>
            <w:t>(ISO/IEC 2011, S. 15)</w:t>
          </w:r>
          <w:r w:rsidR="000E16A4">
            <w:fldChar w:fldCharType="end"/>
          </w:r>
        </w:sdtContent>
      </w:sdt>
      <w:r w:rsidR="000E16A4">
        <w:t xml:space="preserve">. Dies ist jedoch ebenfalls unabhängig vom Service oder Risikotyp zu sehen, so dass der Prozess CHE für die Standardtypbetrachtung nicht </w:t>
      </w:r>
      <w:r w:rsidR="008929A8">
        <w:t>relevant ist.</w:t>
      </w:r>
    </w:p>
    <w:p w14:paraId="452300E9" w14:textId="1F460FB4" w:rsidR="00BE5B1B" w:rsidRDefault="00BE5B1B" w:rsidP="00E67FF7">
      <w:pPr>
        <w:pStyle w:val="berschrift2"/>
      </w:pPr>
      <w:bookmarkStart w:id="89" w:name="_Ref453164897"/>
      <w:bookmarkStart w:id="90" w:name="_Toc456884979"/>
      <w:r>
        <w:t>Knowledge Management</w:t>
      </w:r>
      <w:bookmarkEnd w:id="89"/>
      <w:bookmarkEnd w:id="90"/>
    </w:p>
    <w:p w14:paraId="2281A592" w14:textId="7B565126" w:rsidR="007D5DE0" w:rsidRPr="007D5DE0" w:rsidRDefault="00DC1507" w:rsidP="007D5DE0">
      <w:r>
        <w:t>Der letzte Prozess in der ITIL Service Transition ist das Knowledge Management (KLM)</w:t>
      </w:r>
      <w:sdt>
        <w:sdtPr>
          <w:id w:val="1114637936"/>
          <w:citation/>
        </w:sdtPr>
        <w:sdtEndPr/>
        <w:sdtContent>
          <w:r>
            <w:fldChar w:fldCharType="begin"/>
          </w:r>
          <w:r>
            <w:instrText xml:space="preserve">CITATION AXE11 \p "S. 181" \l 1031 </w:instrText>
          </w:r>
          <w:r>
            <w:fldChar w:fldCharType="separate"/>
          </w:r>
          <w:r>
            <w:rPr>
              <w:noProof/>
            </w:rPr>
            <w:t xml:space="preserve"> (AXELOS 2011, S. 181)</w:t>
          </w:r>
          <w:r>
            <w:fldChar w:fldCharType="end"/>
          </w:r>
        </w:sdtContent>
      </w:sdt>
      <w:r>
        <w:t>. Es dient dem Austausch von Informationen sowie Erfahrungen und stellt sicher, dass diese mit minimalen Aufwand gefunden werden können</w:t>
      </w:r>
      <w:sdt>
        <w:sdtPr>
          <w:id w:val="1684167523"/>
          <w:citation/>
        </w:sdtPr>
        <w:sdtEndPr/>
        <w:sdtContent>
          <w:r>
            <w:fldChar w:fldCharType="begin"/>
          </w:r>
          <w:r>
            <w:instrText xml:space="preserve">CITATION AXE11 \p "S. 181 f." \l 1031 </w:instrText>
          </w:r>
          <w:r>
            <w:fldChar w:fldCharType="separate"/>
          </w:r>
          <w:r>
            <w:rPr>
              <w:noProof/>
            </w:rPr>
            <w:t xml:space="preserve"> (AXELOS 2011, S. 181 f.)</w:t>
          </w:r>
          <w:r>
            <w:fldChar w:fldCharType="end"/>
          </w:r>
        </w:sdtContent>
      </w:sdt>
      <w:r>
        <w:t>. Die Ziele sind die Bereitstellung von verlässlichen Informationen für Entscheidungen und eine qualitative Service Erbringung</w:t>
      </w:r>
      <w:sdt>
        <w:sdtPr>
          <w:id w:val="-326057936"/>
          <w:citation/>
        </w:sdtPr>
        <w:sdtEndPr/>
        <w:sdtContent>
          <w:r>
            <w:fldChar w:fldCharType="begin"/>
          </w:r>
          <w:r>
            <w:instrText xml:space="preserve">CITATION AXE11 \p "S. 182" \l 1031 </w:instrText>
          </w:r>
          <w:r>
            <w:fldChar w:fldCharType="separate"/>
          </w:r>
          <w:r>
            <w:rPr>
              <w:noProof/>
            </w:rPr>
            <w:t xml:space="preserve"> (AXELOS 2011, S. 182)</w:t>
          </w:r>
          <w:r>
            <w:fldChar w:fldCharType="end"/>
          </w:r>
        </w:sdtContent>
      </w:sdt>
      <w:r>
        <w:t xml:space="preserve">. </w:t>
      </w:r>
      <w:r w:rsidR="00660C5A">
        <w:t>Der Mehrwert liegt demnach in der</w:t>
      </w:r>
      <w:r w:rsidR="00EF1D28">
        <w:t xml:space="preserve"> Möglichkeit des einfachen Zugriffs auf die notwendigen Informationen für jeden Service für jeden Mitarbeiter zur richtigen Zeit am richtigen Ort</w:t>
      </w:r>
      <w:sdt>
        <w:sdtPr>
          <w:id w:val="585806432"/>
          <w:citation/>
        </w:sdtPr>
        <w:sdtEndPr/>
        <w:sdtContent>
          <w:r w:rsidR="00EF1D28">
            <w:fldChar w:fldCharType="begin"/>
          </w:r>
          <w:r w:rsidR="00EF1D28">
            <w:instrText xml:space="preserve">CITATION AXE11 \p "S. 181 f." \l 1031 </w:instrText>
          </w:r>
          <w:r w:rsidR="00EF1D28">
            <w:fldChar w:fldCharType="separate"/>
          </w:r>
          <w:r w:rsidR="00EF1D28">
            <w:rPr>
              <w:noProof/>
            </w:rPr>
            <w:t xml:space="preserve"> (AXELOS 2011, S. 181 f.)</w:t>
          </w:r>
          <w:r w:rsidR="00EF1D28">
            <w:fldChar w:fldCharType="end"/>
          </w:r>
        </w:sdtContent>
      </w:sdt>
      <w:r w:rsidR="00EF1D28">
        <w:t xml:space="preserve">. Die Beispielrichtlinien innerhalb von ITIL für den KLM-Prozess sind sehr generisch und erfassen nur die Anforderung der allgemeinen Bereitstellung von Informationen, der regelmäßigen Aktualisierung und der Einhaltung eines abgestimmten </w:t>
      </w:r>
      <w:r w:rsidR="00EF1D28">
        <w:lastRenderedPageBreak/>
        <w:t>Prozesses</w:t>
      </w:r>
      <w:sdt>
        <w:sdtPr>
          <w:id w:val="-904535912"/>
          <w:citation/>
        </w:sdtPr>
        <w:sdtEndPr/>
        <w:sdtContent>
          <w:r w:rsidR="00EF1D28">
            <w:fldChar w:fldCharType="begin"/>
          </w:r>
          <w:r w:rsidR="00EF1D28">
            <w:instrText xml:space="preserve">CITATION AXE11 \p "S. 183" \l 1031 </w:instrText>
          </w:r>
          <w:r w:rsidR="00EF1D28">
            <w:fldChar w:fldCharType="separate"/>
          </w:r>
          <w:r w:rsidR="00EF1D28">
            <w:rPr>
              <w:noProof/>
            </w:rPr>
            <w:t xml:space="preserve"> (AXELOS 2011, S. 183)</w:t>
          </w:r>
          <w:r w:rsidR="00EF1D28">
            <w:fldChar w:fldCharType="end"/>
          </w:r>
        </w:sdtContent>
      </w:sdt>
      <w:r w:rsidR="00EF1D28">
        <w:t>. Die Regelungen sind nicht abhängig von konkreten Services sondern eher von der Kultur im Unternehmen</w:t>
      </w:r>
      <w:sdt>
        <w:sdtPr>
          <w:id w:val="-78987228"/>
          <w:citation/>
        </w:sdtPr>
        <w:sdtEndPr/>
        <w:sdtContent>
          <w:r w:rsidR="00EF1D28">
            <w:fldChar w:fldCharType="begin"/>
          </w:r>
          <w:r w:rsidR="00EF1D28">
            <w:instrText xml:space="preserve">CITATION AXE11 \p "S. 182" \l 1031 </w:instrText>
          </w:r>
          <w:r w:rsidR="00EF1D28">
            <w:fldChar w:fldCharType="separate"/>
          </w:r>
          <w:r w:rsidR="00EF1D28">
            <w:rPr>
              <w:noProof/>
            </w:rPr>
            <w:t xml:space="preserve"> (AXELOS 2011, S. 182)</w:t>
          </w:r>
          <w:r w:rsidR="00EF1D28">
            <w:fldChar w:fldCharType="end"/>
          </w:r>
        </w:sdtContent>
      </w:sdt>
      <w:r w:rsidR="00EF1D28">
        <w:t>. Daher erfolgt für die Erarbeitung der Standardtypen keine weitere Betrachtung dieses Prozesses.</w:t>
      </w:r>
    </w:p>
    <w:p w14:paraId="4F8EA6E7" w14:textId="07367D8A" w:rsidR="00EE189C" w:rsidRDefault="00EE189C" w:rsidP="00EE189C">
      <w:pPr>
        <w:pStyle w:val="berschrift2"/>
      </w:pPr>
      <w:bookmarkStart w:id="91" w:name="_Ref455674400"/>
      <w:bookmarkStart w:id="92" w:name="_Ref455674497"/>
      <w:bookmarkStart w:id="93" w:name="_Toc456884980"/>
      <w:r>
        <w:t xml:space="preserve">Zusammenfassung der </w:t>
      </w:r>
      <w:r w:rsidR="0042751A">
        <w:t xml:space="preserve">Faktoren des </w:t>
      </w:r>
      <w:r>
        <w:t>Release-Management</w:t>
      </w:r>
      <w:r w:rsidR="0042751A">
        <w:t>s</w:t>
      </w:r>
      <w:bookmarkEnd w:id="91"/>
      <w:bookmarkEnd w:id="92"/>
      <w:bookmarkEnd w:id="93"/>
    </w:p>
    <w:p w14:paraId="1891E080" w14:textId="7BBB2795" w:rsidR="0007273A" w:rsidRPr="0007273A" w:rsidRDefault="00F55C2B" w:rsidP="0007273A">
      <w:r>
        <w:t xml:space="preserve">Die Untersuchung der einzelnen Prozesse der ITIL Service Transition zeigt eine Vielzahl von unterschiedlichen zu beachtenden Faktoren. </w:t>
      </w:r>
      <w:r w:rsidR="00C12B92">
        <w:t xml:space="preserve">Wobei die Prozesse SACM, CHE und KLM für diese Arbeit keine Relevanz haben. Als Zusammenfassung der relevanten Prozesse, deren Prozessfaktoren und deren Ausprägungsmöglichkeiten dient die </w:t>
      </w:r>
      <w:r>
        <w:fldChar w:fldCharType="begin"/>
      </w:r>
      <w:r>
        <w:instrText xml:space="preserve"> REF _Ref451345409 \h </w:instrText>
      </w:r>
      <w:r>
        <w:fldChar w:fldCharType="separate"/>
      </w:r>
      <w:r>
        <w:t xml:space="preserve">Tabelle </w:t>
      </w:r>
      <w:r>
        <w:rPr>
          <w:noProof/>
        </w:rPr>
        <w:t>4</w:t>
      </w:r>
      <w:r>
        <w:t>.</w:t>
      </w:r>
      <w:r>
        <w:rPr>
          <w:noProof/>
        </w:rPr>
        <w:t>1</w:t>
      </w:r>
      <w:r>
        <w:fldChar w:fldCharType="end"/>
      </w:r>
      <w:r w:rsidR="00C12B92">
        <w:t>:</w:t>
      </w:r>
    </w:p>
    <w:tbl>
      <w:tblPr>
        <w:tblStyle w:val="Tabellenraster"/>
        <w:tblW w:w="8384" w:type="dxa"/>
        <w:tblLook w:val="04A0" w:firstRow="1" w:lastRow="0" w:firstColumn="1" w:lastColumn="0" w:noHBand="0" w:noVBand="1"/>
      </w:tblPr>
      <w:tblGrid>
        <w:gridCol w:w="1101"/>
        <w:gridCol w:w="2976"/>
        <w:gridCol w:w="4307"/>
      </w:tblGrid>
      <w:tr w:rsidR="00845B0C" w14:paraId="16ECC23C" w14:textId="2E20B32F" w:rsidTr="00845B0C">
        <w:tc>
          <w:tcPr>
            <w:tcW w:w="1101" w:type="dxa"/>
            <w:shd w:val="clear" w:color="auto" w:fill="595959" w:themeFill="text1" w:themeFillTint="A6"/>
          </w:tcPr>
          <w:p w14:paraId="65EE5EC9" w14:textId="77777777" w:rsidR="00C12B92" w:rsidRPr="0007273A" w:rsidRDefault="00C12B92" w:rsidP="00EE189C">
            <w:pPr>
              <w:rPr>
                <w:color w:val="FFFFFF" w:themeColor="background1"/>
              </w:rPr>
            </w:pPr>
            <w:r w:rsidRPr="0007273A">
              <w:rPr>
                <w:color w:val="FFFFFF" w:themeColor="background1"/>
              </w:rPr>
              <w:t>Prozess</w:t>
            </w:r>
          </w:p>
        </w:tc>
        <w:tc>
          <w:tcPr>
            <w:tcW w:w="2976" w:type="dxa"/>
            <w:shd w:val="clear" w:color="auto" w:fill="595959" w:themeFill="text1" w:themeFillTint="A6"/>
          </w:tcPr>
          <w:p w14:paraId="16C822D3" w14:textId="306D2342" w:rsidR="00C12B92" w:rsidRPr="0007273A" w:rsidRDefault="00C12B92" w:rsidP="00EE189C">
            <w:pPr>
              <w:rPr>
                <w:color w:val="FFFFFF" w:themeColor="background1"/>
              </w:rPr>
            </w:pPr>
            <w:r w:rsidRPr="0007273A">
              <w:rPr>
                <w:color w:val="FFFFFF" w:themeColor="background1"/>
              </w:rPr>
              <w:t>Prozessfaktor</w:t>
            </w:r>
          </w:p>
        </w:tc>
        <w:tc>
          <w:tcPr>
            <w:tcW w:w="4307" w:type="dxa"/>
            <w:shd w:val="clear" w:color="auto" w:fill="595959" w:themeFill="text1" w:themeFillTint="A6"/>
          </w:tcPr>
          <w:p w14:paraId="3ABF2694" w14:textId="4CBB4033" w:rsidR="00C12B92" w:rsidRPr="0007273A" w:rsidRDefault="00C12B92" w:rsidP="000D48A8">
            <w:pPr>
              <w:jc w:val="center"/>
              <w:rPr>
                <w:color w:val="FFFFFF" w:themeColor="background1"/>
              </w:rPr>
            </w:pPr>
            <w:r>
              <w:rPr>
                <w:color w:val="FFFFFF" w:themeColor="background1"/>
              </w:rPr>
              <w:t>Ausprägungen</w:t>
            </w:r>
          </w:p>
        </w:tc>
      </w:tr>
      <w:tr w:rsidR="00C12B92" w14:paraId="60C64A7E" w14:textId="4D26AC6A" w:rsidTr="00845B0C">
        <w:trPr>
          <w:trHeight w:val="404"/>
        </w:trPr>
        <w:tc>
          <w:tcPr>
            <w:tcW w:w="1101" w:type="dxa"/>
            <w:vMerge w:val="restart"/>
            <w:shd w:val="clear" w:color="auto" w:fill="D9D9D9" w:themeFill="background1" w:themeFillShade="D9"/>
          </w:tcPr>
          <w:p w14:paraId="13E43983" w14:textId="5CFB2EFE" w:rsidR="00C12B92" w:rsidRPr="0007273A" w:rsidRDefault="00C12B92" w:rsidP="00EE189C">
            <w:r w:rsidRPr="0007273A">
              <w:t>TPS</w:t>
            </w:r>
          </w:p>
        </w:tc>
        <w:tc>
          <w:tcPr>
            <w:tcW w:w="2976" w:type="dxa"/>
          </w:tcPr>
          <w:p w14:paraId="6769CC0F" w14:textId="0CB1494E" w:rsidR="00C12B92" w:rsidRPr="0007273A" w:rsidRDefault="00C12B92" w:rsidP="00EE189C">
            <w:r>
              <w:t>Release-Zyklus</w:t>
            </w:r>
          </w:p>
        </w:tc>
        <w:tc>
          <w:tcPr>
            <w:tcW w:w="4307" w:type="dxa"/>
            <w:shd w:val="clear" w:color="auto" w:fill="FFC000"/>
          </w:tcPr>
          <w:p w14:paraId="42FF4286" w14:textId="4E537F06" w:rsidR="00C12B92" w:rsidRPr="0007273A" w:rsidRDefault="00845B0C" w:rsidP="00EE189C">
            <w:r>
              <w:t>ad-hoc bis selten</w:t>
            </w:r>
          </w:p>
        </w:tc>
      </w:tr>
      <w:tr w:rsidR="00C12B92" w14:paraId="58466547" w14:textId="77777777" w:rsidTr="00845B0C">
        <w:trPr>
          <w:trHeight w:val="403"/>
        </w:trPr>
        <w:tc>
          <w:tcPr>
            <w:tcW w:w="1101" w:type="dxa"/>
            <w:vMerge/>
            <w:shd w:val="clear" w:color="auto" w:fill="D9D9D9" w:themeFill="background1" w:themeFillShade="D9"/>
          </w:tcPr>
          <w:p w14:paraId="4F679CEB" w14:textId="77777777" w:rsidR="00C12B92" w:rsidRPr="0007273A" w:rsidRDefault="00C12B92" w:rsidP="00EE189C"/>
        </w:tc>
        <w:tc>
          <w:tcPr>
            <w:tcW w:w="2976" w:type="dxa"/>
          </w:tcPr>
          <w:p w14:paraId="54FBCB98" w14:textId="27AE21F9" w:rsidR="00C12B92" w:rsidRPr="0007273A" w:rsidRDefault="00C12B92" w:rsidP="00EE189C">
            <w:r>
              <w:t>Freigaberollen</w:t>
            </w:r>
          </w:p>
        </w:tc>
        <w:tc>
          <w:tcPr>
            <w:tcW w:w="4307" w:type="dxa"/>
            <w:shd w:val="clear" w:color="auto" w:fill="FFC000"/>
          </w:tcPr>
          <w:p w14:paraId="7FA11536" w14:textId="25BB1410" w:rsidR="00C12B92" w:rsidRDefault="00845B0C" w:rsidP="00EE189C">
            <w:r>
              <w:t>keine bis viele</w:t>
            </w:r>
          </w:p>
        </w:tc>
      </w:tr>
      <w:tr w:rsidR="00C12B92" w14:paraId="3D3B3287" w14:textId="2C3EA658" w:rsidTr="00845B0C">
        <w:trPr>
          <w:trHeight w:val="414"/>
        </w:trPr>
        <w:tc>
          <w:tcPr>
            <w:tcW w:w="1101" w:type="dxa"/>
            <w:vMerge w:val="restart"/>
            <w:shd w:val="clear" w:color="auto" w:fill="D9D9D9" w:themeFill="background1" w:themeFillShade="D9"/>
          </w:tcPr>
          <w:p w14:paraId="3AAADFDE" w14:textId="7ECAF27F" w:rsidR="00C12B92" w:rsidRPr="0007273A" w:rsidRDefault="00C12B92" w:rsidP="00EE189C">
            <w:r w:rsidRPr="0007273A">
              <w:t>CHM</w:t>
            </w:r>
          </w:p>
        </w:tc>
        <w:tc>
          <w:tcPr>
            <w:tcW w:w="2976" w:type="dxa"/>
          </w:tcPr>
          <w:p w14:paraId="68B685E3" w14:textId="3D879CD1" w:rsidR="00C12B92" w:rsidRPr="0007273A" w:rsidRDefault="00C12B92" w:rsidP="00EE189C">
            <w:r>
              <w:t>Change-Typ</w:t>
            </w:r>
          </w:p>
        </w:tc>
        <w:tc>
          <w:tcPr>
            <w:tcW w:w="4307" w:type="dxa"/>
            <w:shd w:val="clear" w:color="auto" w:fill="FFC000"/>
          </w:tcPr>
          <w:p w14:paraId="6B43DF47" w14:textId="5E285B5B" w:rsidR="00C12B92" w:rsidRPr="0007273A" w:rsidRDefault="00845B0C" w:rsidP="00EE189C">
            <w:r>
              <w:t>Standard oder Normal</w:t>
            </w:r>
          </w:p>
        </w:tc>
      </w:tr>
      <w:tr w:rsidR="00C12B92" w14:paraId="02D1DAA8" w14:textId="77777777" w:rsidTr="00845B0C">
        <w:trPr>
          <w:trHeight w:val="413"/>
        </w:trPr>
        <w:tc>
          <w:tcPr>
            <w:tcW w:w="1101" w:type="dxa"/>
            <w:vMerge/>
            <w:shd w:val="clear" w:color="auto" w:fill="D9D9D9" w:themeFill="background1" w:themeFillShade="D9"/>
          </w:tcPr>
          <w:p w14:paraId="3F0017F4" w14:textId="77777777" w:rsidR="00C12B92" w:rsidRPr="0007273A" w:rsidRDefault="00C12B92" w:rsidP="00EE189C"/>
        </w:tc>
        <w:tc>
          <w:tcPr>
            <w:tcW w:w="2976" w:type="dxa"/>
          </w:tcPr>
          <w:p w14:paraId="01A3CD9D" w14:textId="50EA60FE" w:rsidR="00C12B92" w:rsidRPr="0007273A" w:rsidRDefault="00C12B92" w:rsidP="00EE189C">
            <w:r>
              <w:t>Wartungsfenster</w:t>
            </w:r>
          </w:p>
        </w:tc>
        <w:tc>
          <w:tcPr>
            <w:tcW w:w="4307" w:type="dxa"/>
            <w:shd w:val="clear" w:color="auto" w:fill="FFC000"/>
          </w:tcPr>
          <w:p w14:paraId="5ACDCA54" w14:textId="301F6BB5" w:rsidR="00C12B92" w:rsidRDefault="00845B0C" w:rsidP="00EE189C">
            <w:r>
              <w:t>notwendig oder nicht</w:t>
            </w:r>
          </w:p>
        </w:tc>
      </w:tr>
      <w:tr w:rsidR="00C12B92" w14:paraId="615B2AA3" w14:textId="23BC8CDB" w:rsidTr="00845B0C">
        <w:trPr>
          <w:trHeight w:val="616"/>
        </w:trPr>
        <w:tc>
          <w:tcPr>
            <w:tcW w:w="1101" w:type="dxa"/>
            <w:vMerge w:val="restart"/>
            <w:shd w:val="clear" w:color="auto" w:fill="D9D9D9" w:themeFill="background1" w:themeFillShade="D9"/>
          </w:tcPr>
          <w:p w14:paraId="0F55990A" w14:textId="723F1069" w:rsidR="00C12B92" w:rsidRPr="0080207B" w:rsidRDefault="00C12B92" w:rsidP="00EE189C">
            <w:r w:rsidRPr="0080207B">
              <w:t>RDM</w:t>
            </w:r>
          </w:p>
        </w:tc>
        <w:tc>
          <w:tcPr>
            <w:tcW w:w="2976" w:type="dxa"/>
          </w:tcPr>
          <w:p w14:paraId="6DFB6B95" w14:textId="224132C1" w:rsidR="00C12B92" w:rsidRPr="00C61B91" w:rsidRDefault="00C12B92" w:rsidP="00EE189C">
            <w:pPr>
              <w:rPr>
                <w:highlight w:val="yellow"/>
              </w:rPr>
            </w:pPr>
            <w:r w:rsidRPr="00C61B91">
              <w:t>Release-Einheit</w:t>
            </w:r>
          </w:p>
        </w:tc>
        <w:tc>
          <w:tcPr>
            <w:tcW w:w="4307" w:type="dxa"/>
            <w:shd w:val="clear" w:color="auto" w:fill="FFC000"/>
          </w:tcPr>
          <w:p w14:paraId="565170E5" w14:textId="60096ED8" w:rsidR="00C12B92" w:rsidRPr="000D48A8" w:rsidRDefault="00845B0C" w:rsidP="008D1B23">
            <w:r>
              <w:t>klein bis groß (eine)</w:t>
            </w:r>
          </w:p>
        </w:tc>
      </w:tr>
      <w:tr w:rsidR="00C12B92" w14:paraId="044D2A9C" w14:textId="77777777" w:rsidTr="00845B0C">
        <w:trPr>
          <w:trHeight w:val="389"/>
        </w:trPr>
        <w:tc>
          <w:tcPr>
            <w:tcW w:w="1101" w:type="dxa"/>
            <w:vMerge/>
            <w:shd w:val="clear" w:color="auto" w:fill="D9D9D9" w:themeFill="background1" w:themeFillShade="D9"/>
          </w:tcPr>
          <w:p w14:paraId="488E77B8" w14:textId="77777777" w:rsidR="00C12B92" w:rsidRPr="0080207B" w:rsidRDefault="00C12B92" w:rsidP="00EE189C"/>
        </w:tc>
        <w:tc>
          <w:tcPr>
            <w:tcW w:w="2976" w:type="dxa"/>
          </w:tcPr>
          <w:p w14:paraId="1C93A776" w14:textId="3F74FB0F" w:rsidR="00C12B92" w:rsidRPr="00C61B91" w:rsidRDefault="00C12B92" w:rsidP="00EE189C">
            <w:pPr>
              <w:rPr>
                <w:highlight w:val="yellow"/>
              </w:rPr>
            </w:pPr>
            <w:r w:rsidRPr="00DC1C4F">
              <w:t>Release-Methode</w:t>
            </w:r>
          </w:p>
        </w:tc>
        <w:tc>
          <w:tcPr>
            <w:tcW w:w="4307" w:type="dxa"/>
            <w:shd w:val="clear" w:color="auto" w:fill="FFC000"/>
          </w:tcPr>
          <w:p w14:paraId="09C9F1A1" w14:textId="0D22F32A" w:rsidR="00C12B92" w:rsidRPr="000D48A8" w:rsidRDefault="00845B0C" w:rsidP="00EE189C">
            <w:r>
              <w:t>„big bang“ oder Phasenansatz</w:t>
            </w:r>
          </w:p>
        </w:tc>
      </w:tr>
      <w:tr w:rsidR="00C12B92" w14:paraId="0F2957F3" w14:textId="77777777" w:rsidTr="00845B0C">
        <w:trPr>
          <w:trHeight w:val="389"/>
        </w:trPr>
        <w:tc>
          <w:tcPr>
            <w:tcW w:w="1101" w:type="dxa"/>
            <w:vMerge/>
            <w:shd w:val="clear" w:color="auto" w:fill="D9D9D9" w:themeFill="background1" w:themeFillShade="D9"/>
          </w:tcPr>
          <w:p w14:paraId="1F68496A" w14:textId="77777777" w:rsidR="00C12B92" w:rsidRPr="0080207B" w:rsidRDefault="00C12B92" w:rsidP="00EE189C"/>
        </w:tc>
        <w:tc>
          <w:tcPr>
            <w:tcW w:w="2976" w:type="dxa"/>
          </w:tcPr>
          <w:p w14:paraId="7ED51775" w14:textId="399FB87A" w:rsidR="00C12B92" w:rsidRPr="0080207B" w:rsidRDefault="00C12B92" w:rsidP="00EE189C">
            <w:r>
              <w:t>Automatisierungsgrad</w:t>
            </w:r>
          </w:p>
        </w:tc>
        <w:tc>
          <w:tcPr>
            <w:tcW w:w="4307" w:type="dxa"/>
            <w:shd w:val="clear" w:color="auto" w:fill="FFC000"/>
          </w:tcPr>
          <w:p w14:paraId="55E55A39" w14:textId="6675CEE5" w:rsidR="00C12B92" w:rsidRPr="000D48A8" w:rsidRDefault="00845B0C" w:rsidP="00EE189C">
            <w:r>
              <w:t>keine bis hoch</w:t>
            </w:r>
          </w:p>
        </w:tc>
      </w:tr>
      <w:tr w:rsidR="00C12B92" w14:paraId="774CFAF6" w14:textId="77777777" w:rsidTr="00845B0C">
        <w:trPr>
          <w:trHeight w:val="389"/>
        </w:trPr>
        <w:tc>
          <w:tcPr>
            <w:tcW w:w="1101" w:type="dxa"/>
            <w:vMerge/>
            <w:shd w:val="clear" w:color="auto" w:fill="D9D9D9" w:themeFill="background1" w:themeFillShade="D9"/>
          </w:tcPr>
          <w:p w14:paraId="401FC8DD" w14:textId="77777777" w:rsidR="00C12B92" w:rsidRPr="0080207B" w:rsidRDefault="00C12B92" w:rsidP="00EE189C"/>
        </w:tc>
        <w:tc>
          <w:tcPr>
            <w:tcW w:w="2976" w:type="dxa"/>
          </w:tcPr>
          <w:p w14:paraId="1E6999FC" w14:textId="6B83C815" w:rsidR="00C12B92" w:rsidRPr="0080207B" w:rsidRDefault="00C12B92" w:rsidP="00EE189C">
            <w:r w:rsidRPr="00DC1C4F">
              <w:t>Remediation</w:t>
            </w:r>
          </w:p>
        </w:tc>
        <w:tc>
          <w:tcPr>
            <w:tcW w:w="4307" w:type="dxa"/>
            <w:shd w:val="clear" w:color="auto" w:fill="FFC000"/>
          </w:tcPr>
          <w:p w14:paraId="0DB5962E" w14:textId="43F00B1B" w:rsidR="00C12B92" w:rsidRPr="000D48A8" w:rsidRDefault="00845B0C" w:rsidP="00EE189C">
            <w:r>
              <w:t>„back out“ oder „go forward“</w:t>
            </w:r>
          </w:p>
        </w:tc>
      </w:tr>
      <w:tr w:rsidR="00C12B92" w14:paraId="16C4F27D" w14:textId="77777777" w:rsidTr="00845B0C">
        <w:trPr>
          <w:trHeight w:val="631"/>
        </w:trPr>
        <w:tc>
          <w:tcPr>
            <w:tcW w:w="1101" w:type="dxa"/>
            <w:vMerge/>
            <w:shd w:val="clear" w:color="auto" w:fill="D9D9D9" w:themeFill="background1" w:themeFillShade="D9"/>
          </w:tcPr>
          <w:p w14:paraId="5F44AB99" w14:textId="77777777" w:rsidR="00C12B92" w:rsidRPr="0080207B" w:rsidRDefault="00C12B92" w:rsidP="00EE189C"/>
        </w:tc>
        <w:tc>
          <w:tcPr>
            <w:tcW w:w="2976" w:type="dxa"/>
          </w:tcPr>
          <w:p w14:paraId="6877ECB6" w14:textId="5307C0FF" w:rsidR="00C12B92" w:rsidRPr="0080207B" w:rsidRDefault="00C12B92" w:rsidP="00EE189C">
            <w:r>
              <w:t>Early Life Support</w:t>
            </w:r>
          </w:p>
        </w:tc>
        <w:tc>
          <w:tcPr>
            <w:tcW w:w="4307" w:type="dxa"/>
            <w:shd w:val="clear" w:color="auto" w:fill="FFC000"/>
          </w:tcPr>
          <w:p w14:paraId="589F65CE" w14:textId="1D3512E5" w:rsidR="00C12B92" w:rsidRPr="000D48A8" w:rsidRDefault="00845B0C" w:rsidP="00EE189C">
            <w:r>
              <w:t>ja oder nein</w:t>
            </w:r>
          </w:p>
        </w:tc>
      </w:tr>
      <w:tr w:rsidR="00C12B92" w14:paraId="4AAAA5BF" w14:textId="76A97AAD" w:rsidTr="00845B0C">
        <w:trPr>
          <w:trHeight w:val="390"/>
        </w:trPr>
        <w:tc>
          <w:tcPr>
            <w:tcW w:w="1101" w:type="dxa"/>
            <w:vMerge w:val="restart"/>
            <w:shd w:val="clear" w:color="auto" w:fill="D9D9D9" w:themeFill="background1" w:themeFillShade="D9"/>
          </w:tcPr>
          <w:p w14:paraId="3628B8C6" w14:textId="0FA55F4A" w:rsidR="00C12B92" w:rsidRPr="000D48A8" w:rsidRDefault="00C12B92" w:rsidP="00EE189C">
            <w:r w:rsidRPr="000D48A8">
              <w:t>SVT</w:t>
            </w:r>
          </w:p>
        </w:tc>
        <w:tc>
          <w:tcPr>
            <w:tcW w:w="2976" w:type="dxa"/>
          </w:tcPr>
          <w:p w14:paraId="24E39A7E" w14:textId="046B7E28" w:rsidR="00C12B92" w:rsidRPr="000D48A8" w:rsidRDefault="00C12B92" w:rsidP="00EE189C">
            <w:r w:rsidRPr="00DC1C4F">
              <w:t>Trennung Test/Entwicklung</w:t>
            </w:r>
          </w:p>
        </w:tc>
        <w:tc>
          <w:tcPr>
            <w:tcW w:w="4307" w:type="dxa"/>
            <w:shd w:val="clear" w:color="auto" w:fill="FFC000"/>
          </w:tcPr>
          <w:p w14:paraId="0626F00A" w14:textId="01FB99F6" w:rsidR="00C12B92" w:rsidRPr="000D48A8" w:rsidRDefault="00845B0C" w:rsidP="00EE189C">
            <w:r>
              <w:t>ja oder nein</w:t>
            </w:r>
          </w:p>
        </w:tc>
      </w:tr>
      <w:tr w:rsidR="00C12B92" w14:paraId="23677D7D" w14:textId="77777777" w:rsidTr="00845B0C">
        <w:trPr>
          <w:trHeight w:val="389"/>
        </w:trPr>
        <w:tc>
          <w:tcPr>
            <w:tcW w:w="1101" w:type="dxa"/>
            <w:vMerge/>
            <w:shd w:val="clear" w:color="auto" w:fill="D9D9D9" w:themeFill="background1" w:themeFillShade="D9"/>
          </w:tcPr>
          <w:p w14:paraId="086B5563" w14:textId="77777777" w:rsidR="00C12B92" w:rsidRPr="000D48A8" w:rsidRDefault="00C12B92" w:rsidP="00EE189C"/>
        </w:tc>
        <w:tc>
          <w:tcPr>
            <w:tcW w:w="2976" w:type="dxa"/>
          </w:tcPr>
          <w:p w14:paraId="18B765B9" w14:textId="4EC14E57" w:rsidR="00C12B92" w:rsidRPr="000D48A8" w:rsidRDefault="00C12B92" w:rsidP="00EE189C">
            <w:r>
              <w:t>Frühzeitige</w:t>
            </w:r>
            <w:r w:rsidRPr="000D48A8">
              <w:t xml:space="preserve"> Test</w:t>
            </w:r>
            <w:r>
              <w:t>s</w:t>
            </w:r>
          </w:p>
        </w:tc>
        <w:tc>
          <w:tcPr>
            <w:tcW w:w="4307" w:type="dxa"/>
            <w:shd w:val="clear" w:color="auto" w:fill="FFC000"/>
          </w:tcPr>
          <w:p w14:paraId="30173170" w14:textId="4A2622A3" w:rsidR="00C12B92" w:rsidRPr="000D48A8" w:rsidRDefault="00845B0C" w:rsidP="00EE189C">
            <w:r>
              <w:t>ja oder nein</w:t>
            </w:r>
          </w:p>
        </w:tc>
      </w:tr>
      <w:tr w:rsidR="00C12B92" w14:paraId="2AD1F38D" w14:textId="77777777" w:rsidTr="00845B0C">
        <w:trPr>
          <w:trHeight w:val="389"/>
        </w:trPr>
        <w:tc>
          <w:tcPr>
            <w:tcW w:w="1101" w:type="dxa"/>
            <w:vMerge/>
            <w:shd w:val="clear" w:color="auto" w:fill="D9D9D9" w:themeFill="background1" w:themeFillShade="D9"/>
          </w:tcPr>
          <w:p w14:paraId="5445DB08" w14:textId="77777777" w:rsidR="00C12B92" w:rsidRPr="000D48A8" w:rsidRDefault="00C12B92" w:rsidP="00EE189C"/>
        </w:tc>
        <w:tc>
          <w:tcPr>
            <w:tcW w:w="2976" w:type="dxa"/>
          </w:tcPr>
          <w:p w14:paraId="16F0ABB5" w14:textId="141BC1FE" w:rsidR="00C12B92" w:rsidRPr="000D48A8" w:rsidRDefault="00C12B92" w:rsidP="00EE189C">
            <w:r w:rsidRPr="000D48A8">
              <w:t>Endnutzertest</w:t>
            </w:r>
          </w:p>
        </w:tc>
        <w:tc>
          <w:tcPr>
            <w:tcW w:w="4307" w:type="dxa"/>
            <w:shd w:val="clear" w:color="auto" w:fill="FFC000"/>
          </w:tcPr>
          <w:p w14:paraId="7ECC54A0" w14:textId="3F8A0C9A" w:rsidR="00C12B92" w:rsidRPr="000D48A8" w:rsidRDefault="00845B0C" w:rsidP="00EE189C">
            <w:r>
              <w:t>ja oder nein</w:t>
            </w:r>
          </w:p>
        </w:tc>
      </w:tr>
      <w:tr w:rsidR="00C12B92" w14:paraId="6E5C4EDF" w14:textId="77777777" w:rsidTr="00845B0C">
        <w:trPr>
          <w:trHeight w:val="617"/>
        </w:trPr>
        <w:tc>
          <w:tcPr>
            <w:tcW w:w="1101" w:type="dxa"/>
            <w:vMerge/>
            <w:shd w:val="clear" w:color="auto" w:fill="D9D9D9" w:themeFill="background1" w:themeFillShade="D9"/>
          </w:tcPr>
          <w:p w14:paraId="53793985" w14:textId="77777777" w:rsidR="00C12B92" w:rsidRPr="000D48A8" w:rsidRDefault="00C12B92" w:rsidP="00EE189C"/>
        </w:tc>
        <w:tc>
          <w:tcPr>
            <w:tcW w:w="2976" w:type="dxa"/>
          </w:tcPr>
          <w:p w14:paraId="6CA0803A" w14:textId="14E44445" w:rsidR="00C12B92" w:rsidRPr="000D48A8" w:rsidRDefault="00C12B92" w:rsidP="00EE189C">
            <w:r w:rsidRPr="000D48A8">
              <w:t>Testautomatisierung</w:t>
            </w:r>
          </w:p>
        </w:tc>
        <w:tc>
          <w:tcPr>
            <w:tcW w:w="4307" w:type="dxa"/>
            <w:shd w:val="clear" w:color="auto" w:fill="FFC000"/>
          </w:tcPr>
          <w:p w14:paraId="4DCFF019" w14:textId="314723D8" w:rsidR="00C12B92" w:rsidRPr="000D48A8" w:rsidRDefault="00845B0C" w:rsidP="00EE189C">
            <w:r>
              <w:t>keine bis hoch</w:t>
            </w:r>
          </w:p>
        </w:tc>
      </w:tr>
    </w:tbl>
    <w:p w14:paraId="51358DB3" w14:textId="01507F76" w:rsidR="00EE189C" w:rsidRDefault="00F55C2B" w:rsidP="00F55C2B">
      <w:pPr>
        <w:pStyle w:val="Beschriftung"/>
      </w:pPr>
      <w:bookmarkStart w:id="94" w:name="_Ref451345409"/>
      <w:bookmarkStart w:id="95" w:name="_Toc456884997"/>
      <w:r>
        <w:t xml:space="preserve">Tabelle </w:t>
      </w:r>
      <w:r w:rsidR="005F5E76">
        <w:fldChar w:fldCharType="begin"/>
      </w:r>
      <w:r w:rsidR="005F5E76">
        <w:instrText xml:space="preserve"> STYLEREF 1 \s </w:instrText>
      </w:r>
      <w:r w:rsidR="005F5E76">
        <w:fldChar w:fldCharType="separate"/>
      </w:r>
      <w:r w:rsidR="00EA4433">
        <w:rPr>
          <w:noProof/>
        </w:rPr>
        <w:t>4</w:t>
      </w:r>
      <w:r w:rsidR="005F5E76">
        <w:rPr>
          <w:noProof/>
        </w:rPr>
        <w:fldChar w:fldCharType="end"/>
      </w:r>
      <w:r w:rsidR="00EA4433">
        <w:t>.</w:t>
      </w:r>
      <w:r w:rsidR="005F5E76">
        <w:fldChar w:fldCharType="begin"/>
      </w:r>
      <w:r w:rsidR="005F5E76">
        <w:instrText xml:space="preserve"> SEQ Tabelle \* ARABIC \s 1 </w:instrText>
      </w:r>
      <w:r w:rsidR="005F5E76">
        <w:fldChar w:fldCharType="separate"/>
      </w:r>
      <w:r w:rsidR="00EA4433">
        <w:rPr>
          <w:noProof/>
        </w:rPr>
        <w:t>1</w:t>
      </w:r>
      <w:r w:rsidR="005F5E76">
        <w:rPr>
          <w:noProof/>
        </w:rPr>
        <w:fldChar w:fldCharType="end"/>
      </w:r>
      <w:bookmarkEnd w:id="94"/>
      <w:r>
        <w:t xml:space="preserve">: </w:t>
      </w:r>
      <w:r w:rsidR="00C12B92">
        <w:t xml:space="preserve">Übersicht </w:t>
      </w:r>
      <w:r>
        <w:t xml:space="preserve">Prozessfaktoren </w:t>
      </w:r>
      <w:r w:rsidR="00C12B92">
        <w:t>und Ausprägungen</w:t>
      </w:r>
      <w:bookmarkEnd w:id="95"/>
    </w:p>
    <w:p w14:paraId="4ECBA5F9" w14:textId="41907548" w:rsidR="00F55C2B" w:rsidRDefault="00F55C2B" w:rsidP="00F55C2B">
      <w:pPr>
        <w:jc w:val="center"/>
      </w:pPr>
      <w:r>
        <w:t>Quelle: eigene Tabelle</w:t>
      </w:r>
    </w:p>
    <w:p w14:paraId="75AB23FC" w14:textId="76AC5853" w:rsidR="00F55C2B" w:rsidRPr="00F55C2B" w:rsidRDefault="00633F9A" w:rsidP="00F55C2B">
      <w:pPr>
        <w:jc w:val="left"/>
      </w:pPr>
      <w:r>
        <w:lastRenderedPageBreak/>
        <w:t xml:space="preserve">Im nachfolgenden Hauptkapitel erfolgt nun die Zusammenstellung der Standardtypen auf Basis der Erkenntnisse zu den Prozessfaktoren und den Risikotypen (vgl. Kapitel </w:t>
      </w:r>
      <w:r>
        <w:fldChar w:fldCharType="begin"/>
      </w:r>
      <w:r>
        <w:instrText xml:space="preserve"> REF _Ref451345102 \r \h </w:instrText>
      </w:r>
      <w:r>
        <w:fldChar w:fldCharType="separate"/>
      </w:r>
      <w:r>
        <w:t>3.6</w:t>
      </w:r>
      <w:r>
        <w:fldChar w:fldCharType="end"/>
      </w:r>
      <w:r>
        <w:t>).</w:t>
      </w:r>
    </w:p>
    <w:p w14:paraId="69529776" w14:textId="10970FA1" w:rsidR="00461FAA" w:rsidRDefault="004412B1" w:rsidP="00461FAA">
      <w:pPr>
        <w:pStyle w:val="berschrift1"/>
      </w:pPr>
      <w:bookmarkStart w:id="96" w:name="_Ref442963953"/>
      <w:bookmarkStart w:id="97" w:name="_Toc456884981"/>
      <w:r>
        <w:lastRenderedPageBreak/>
        <w:t>Ableitung</w:t>
      </w:r>
      <w:r w:rsidR="00BC71A2">
        <w:t xml:space="preserve"> der Standardtypen </w:t>
      </w:r>
      <w:r w:rsidR="008A5B48">
        <w:t>aus den Faktoren</w:t>
      </w:r>
      <w:bookmarkEnd w:id="96"/>
      <w:r w:rsidR="008A5B48">
        <w:t xml:space="preserve"> und Risiken</w:t>
      </w:r>
      <w:bookmarkEnd w:id="97"/>
    </w:p>
    <w:p w14:paraId="599BCAE3" w14:textId="46C9052A" w:rsidR="00EA4433" w:rsidRPr="00386B1B" w:rsidRDefault="00F3225E" w:rsidP="006E3353">
      <w:r>
        <w:t>In Kapitel 3</w:t>
      </w:r>
      <w:r w:rsidR="00386B1B">
        <w:t xml:space="preserve"> erfolgte die Vorstellung der Risiken </w:t>
      </w:r>
      <w:r w:rsidR="008A5B48">
        <w:t>in den</w:t>
      </w:r>
      <w:r w:rsidR="00386B1B">
        <w:t xml:space="preserve"> einzelnen Produktlebenszyklusphasen und die Zusammenfassung zu </w:t>
      </w:r>
      <w:r w:rsidR="004B508B">
        <w:t xml:space="preserve">zwei </w:t>
      </w:r>
      <w:r w:rsidR="00386B1B">
        <w:t xml:space="preserve">unterschiedlichen </w:t>
      </w:r>
      <w:r w:rsidR="001B2E93">
        <w:t>Risikotypen</w:t>
      </w:r>
      <w:r w:rsidR="00386B1B">
        <w:t xml:space="preserve">. </w:t>
      </w:r>
      <w:r w:rsidR="006E3353">
        <w:t>Die relevanten Prozessfaktoren</w:t>
      </w:r>
      <w:r w:rsidR="00386B1B">
        <w:t xml:space="preserve"> des Release-M</w:t>
      </w:r>
      <w:r>
        <w:t>anagements wurden in Kapitel 4</w:t>
      </w:r>
      <w:r w:rsidR="00386B1B">
        <w:t xml:space="preserve"> vorgestellt. Dieses Kapitel beschäftigt sich mit der </w:t>
      </w:r>
      <w:r w:rsidR="006E3353">
        <w:t xml:space="preserve">Ableitung der Standardtypen. </w:t>
      </w:r>
      <w:r w:rsidR="00386B1B">
        <w:t xml:space="preserve">Dazu </w:t>
      </w:r>
      <w:r w:rsidR="006E3353">
        <w:t xml:space="preserve">wird für die beiden Risikotypen, abgeleitet aus den </w:t>
      </w:r>
      <w:r w:rsidR="00633F9A">
        <w:t>Zusammenfassungen</w:t>
      </w:r>
      <w:r w:rsidR="00723DE4">
        <w:t xml:space="preserve"> (vgl.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w:t>
      </w:r>
      <w:r w:rsidR="006E3353">
        <w:t>, jeweils in einem eigenen Kapitel die entsprechende Ausprägung der Prozessfaktoren beschrieben und abschließend eine Zusammenfassung der Standardtypen aufgestellt. Die Bezeichnung der Standardtypen leite</w:t>
      </w:r>
      <w:r w:rsidR="00633F9A">
        <w:t>t sich konsequenterweise aus denen der</w:t>
      </w:r>
      <w:r w:rsidR="006E3353">
        <w:t xml:space="preserve"> korrespondierenden Risikotypen ab.</w:t>
      </w:r>
    </w:p>
    <w:p w14:paraId="07414298" w14:textId="70566637" w:rsidR="00386B1B" w:rsidRDefault="003B6916" w:rsidP="00461FAA">
      <w:pPr>
        <w:pStyle w:val="berschrift2"/>
      </w:pPr>
      <w:bookmarkStart w:id="98" w:name="_Ref455756263"/>
      <w:bookmarkStart w:id="99" w:name="_Toc456884982"/>
      <w:r>
        <w:t>Zeit</w:t>
      </w:r>
      <w:bookmarkEnd w:id="98"/>
      <w:bookmarkEnd w:id="99"/>
    </w:p>
    <w:p w14:paraId="3573A2D9" w14:textId="4985A02F" w:rsidR="001660B4" w:rsidRPr="001660B4" w:rsidRDefault="00C84BCE" w:rsidP="001B2E93">
      <w:r>
        <w:t xml:space="preserve">Die zusammenfassende Beschreibung </w:t>
      </w:r>
      <w:r w:rsidRPr="00723DE4">
        <w:t xml:space="preserve">des Risikotyps „Zeit“ </w:t>
      </w:r>
      <w:r w:rsidR="00723DE4" w:rsidRPr="00723DE4">
        <w:t>(vgl</w:t>
      </w:r>
      <w:r w:rsidR="00723DE4">
        <w:t xml:space="preserve">.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 xml:space="preserve">) </w:t>
      </w:r>
      <w:r>
        <w:t xml:space="preserve">ist die Basis für die folgende Ableitung der nötigen Ausprägung der Prozessfaktoren (vgl. Kapitel </w:t>
      </w:r>
      <w:r>
        <w:fldChar w:fldCharType="begin"/>
      </w:r>
      <w:r>
        <w:instrText xml:space="preserve"> REF _Ref455674400 \r \h </w:instrText>
      </w:r>
      <w:r>
        <w:fldChar w:fldCharType="separate"/>
      </w:r>
      <w:r>
        <w:t>4.8</w:t>
      </w:r>
      <w:r>
        <w:fldChar w:fldCharType="end"/>
      </w:r>
      <w:r>
        <w:t>).</w:t>
      </w:r>
      <w:r w:rsidR="00096CCE">
        <w:t xml:space="preserve"> Für den Release-Management-Prozess-Standardtyp „Zeit“ ist der </w:t>
      </w:r>
      <w:r w:rsidR="00096CCE" w:rsidRPr="00096CCE">
        <w:rPr>
          <w:b/>
        </w:rPr>
        <w:t>Release-Zyklus</w:t>
      </w:r>
      <w:r w:rsidR="00096CCE">
        <w:t xml:space="preserve"> so kurz wie möglich zu halten, damit zeitnah auf Kundenfeedback eingegangen werden kann (vgl. Kapitel </w:t>
      </w:r>
      <w:r w:rsidR="00096CCE">
        <w:fldChar w:fldCharType="begin"/>
      </w:r>
      <w:r w:rsidR="00096CCE">
        <w:instrText xml:space="preserve"> REF _Ref451345102 \r \h </w:instrText>
      </w:r>
      <w:r w:rsidR="00096CCE">
        <w:fldChar w:fldCharType="separate"/>
      </w:r>
      <w:r w:rsidR="00096CCE">
        <w:t>3.6</w:t>
      </w:r>
      <w:r w:rsidR="00096CCE">
        <w:fldChar w:fldCharType="end"/>
      </w:r>
      <w:r w:rsidR="00096CCE">
        <w:t xml:space="preserve">). Typischerweise liegen die Zyklen zwischen 2 bis 4 Wochen </w:t>
      </w:r>
      <w:sdt>
        <w:sdtPr>
          <w:id w:val="1172293848"/>
          <w:citation/>
        </w:sdtPr>
        <w:sdtEndPr/>
        <w:sdtContent>
          <w:r w:rsidR="00096CCE">
            <w:fldChar w:fldCharType="begin"/>
          </w:r>
          <w:r w:rsidR="00096CCE">
            <w:instrText xml:space="preserve">CITATION Bau14 \p "S. 6" \t  \l 1031 </w:instrText>
          </w:r>
          <w:r w:rsidR="00096CCE">
            <w:fldChar w:fldCharType="separate"/>
          </w:r>
          <w:r w:rsidR="00096CCE">
            <w:rPr>
              <w:noProof/>
            </w:rPr>
            <w:t>(Baumann 2014, S. 6)</w:t>
          </w:r>
          <w:r w:rsidR="00096CCE">
            <w:fldChar w:fldCharType="end"/>
          </w:r>
        </w:sdtContent>
      </w:sdt>
      <w:r w:rsidR="00096CCE">
        <w:t>, wobei prinzipiell auch öfter bzw. ad-hoc veröffentlich werden könnte</w:t>
      </w:r>
      <w:r w:rsidR="00FB65F8">
        <w:t xml:space="preserve"> </w:t>
      </w:r>
      <w:sdt>
        <w:sdtPr>
          <w:id w:val="-1943680644"/>
          <w:citation/>
        </w:sdtPr>
        <w:sdtEndPr/>
        <w:sdtContent>
          <w:r w:rsidR="00FB65F8">
            <w:fldChar w:fldCharType="begin"/>
          </w:r>
          <w:r w:rsidR="00FB65F8">
            <w:instrText xml:space="preserve">CITATION Pup16 \p "S. 15" \l 1031 </w:instrText>
          </w:r>
          <w:r w:rsidR="00FB65F8">
            <w:fldChar w:fldCharType="separate"/>
          </w:r>
          <w:r w:rsidR="00FB65F8">
            <w:rPr>
              <w:noProof/>
            </w:rPr>
            <w:t>(Puppet 2016, S. 15)</w:t>
          </w:r>
          <w:r w:rsidR="00FB65F8">
            <w:fldChar w:fldCharType="end"/>
          </w:r>
        </w:sdtContent>
      </w:sdt>
      <w:r w:rsidR="00096CCE">
        <w:t xml:space="preserve">. Hinsichtlich der </w:t>
      </w:r>
      <w:r w:rsidR="00096CCE" w:rsidRPr="00AA668C">
        <w:rPr>
          <w:b/>
        </w:rPr>
        <w:t>Freigaberollen</w:t>
      </w:r>
      <w:r w:rsidR="00096CCE">
        <w:t xml:space="preserve"> ist insbesondere die Ausführung in Kapitel </w:t>
      </w:r>
      <w:r w:rsidR="00096CCE">
        <w:fldChar w:fldCharType="begin"/>
      </w:r>
      <w:r w:rsidR="00096CCE">
        <w:instrText xml:space="preserve"> REF _Ref446517322 \r \h </w:instrText>
      </w:r>
      <w:r w:rsidR="00096CCE">
        <w:fldChar w:fldCharType="separate"/>
      </w:r>
      <w:r w:rsidR="00096CCE">
        <w:t>4.1</w:t>
      </w:r>
      <w:r w:rsidR="00096CCE">
        <w:fldChar w:fldCharType="end"/>
      </w:r>
      <w:r w:rsidR="00096CCE">
        <w:t xml:space="preserve"> zu beachten, welche darauf hinweist, dass mit der Anzahl der Beteiligten die Durchlaufzeit steigt, so dass prinzipiell so wenig</w:t>
      </w:r>
      <w:r w:rsidR="00AA668C">
        <w:t xml:space="preserve"> wie möglich unterschiedliche Personen in die Freigabe involviert sein sollten. Theoretisch könnten über automatisierte Prüfverfahren die nötigen formalen Prüfungen und Freigaben sichergestellt werden, so dass eine Änderung keine explizite manuelle Freigabe benötigt</w:t>
      </w:r>
      <w:r w:rsidR="00590149">
        <w:t xml:space="preserve"> </w:t>
      </w:r>
      <w:sdt>
        <w:sdtPr>
          <w:id w:val="-2024551585"/>
          <w:citation/>
        </w:sdtPr>
        <w:sdtEndPr/>
        <w:sdtContent>
          <w:r w:rsidR="00590149">
            <w:fldChar w:fldCharType="begin"/>
          </w:r>
          <w:r w:rsidR="00590149">
            <w:instrText xml:space="preserve">CITATION Hum10 \p "Pos. 1100" \l 1031 </w:instrText>
          </w:r>
          <w:r w:rsidR="00590149">
            <w:fldChar w:fldCharType="separate"/>
          </w:r>
          <w:r w:rsidR="00590149">
            <w:rPr>
              <w:noProof/>
            </w:rPr>
            <w:t>(Humble und Farley 2010, Pos. 1100)</w:t>
          </w:r>
          <w:r w:rsidR="00590149">
            <w:fldChar w:fldCharType="end"/>
          </w:r>
        </w:sdtContent>
      </w:sdt>
      <w:r w:rsidR="00AA668C">
        <w:t xml:space="preserve">. Hinsichtlich des </w:t>
      </w:r>
      <w:r w:rsidR="00AA668C" w:rsidRPr="00AA668C">
        <w:rPr>
          <w:b/>
        </w:rPr>
        <w:t>Change-Typs</w:t>
      </w:r>
      <w:r w:rsidR="00AA668C">
        <w:t xml:space="preserve"> ist aufgrund der zeitlichen Risikosituation der Standard-Change zu bevorzugen, da er aufbauend auf den Erläuterungen zu den Freigaberollen, die Durchlaufzeit verkürzt (vgl. Kapitel </w:t>
      </w:r>
      <w:r w:rsidR="00AA668C">
        <w:fldChar w:fldCharType="begin"/>
      </w:r>
      <w:r w:rsidR="00AA668C">
        <w:instrText xml:space="preserve"> REF _Ref450406185 \r \h </w:instrText>
      </w:r>
      <w:r w:rsidR="00AA668C">
        <w:fldChar w:fldCharType="separate"/>
      </w:r>
      <w:r w:rsidR="00AA668C">
        <w:t>4.2</w:t>
      </w:r>
      <w:r w:rsidR="00AA668C">
        <w:fldChar w:fldCharType="end"/>
      </w:r>
      <w:r w:rsidR="00AA668C">
        <w:t xml:space="preserve">). </w:t>
      </w:r>
      <w:r w:rsidR="00AA668C" w:rsidRPr="006865FF">
        <w:rPr>
          <w:b/>
        </w:rPr>
        <w:t>Wartungsfenster</w:t>
      </w:r>
      <w:r w:rsidR="00AA668C">
        <w:t xml:space="preserve"> sind im Standardtyp „Zeit“ mittels passenden Installationsverfahren zu vermeiden, da Sie die ad-hoc Ausführung von Releases unterbinden und eine Serviceunterbrechung</w:t>
      </w:r>
      <w:r w:rsidR="006865FF">
        <w:t xml:space="preserve"> bedeuten (vgl. Kapitel </w:t>
      </w:r>
      <w:r w:rsidR="006865FF">
        <w:fldChar w:fldCharType="begin"/>
      </w:r>
      <w:r w:rsidR="006865FF">
        <w:instrText xml:space="preserve"> REF _Ref450406185 \r \h </w:instrText>
      </w:r>
      <w:r w:rsidR="006865FF">
        <w:fldChar w:fldCharType="separate"/>
      </w:r>
      <w:r w:rsidR="006865FF">
        <w:t>4.2</w:t>
      </w:r>
      <w:r w:rsidR="006865FF">
        <w:fldChar w:fldCharType="end"/>
      </w:r>
      <w:r w:rsidR="006865FF">
        <w:t>)</w:t>
      </w:r>
      <w:r w:rsidR="00AA668C">
        <w:t xml:space="preserve">. </w:t>
      </w:r>
      <w:r w:rsidR="006865FF">
        <w:t>Ist</w:t>
      </w:r>
      <w:r w:rsidR="00AA668C">
        <w:t xml:space="preserve"> dies nicht möglich sein, </w:t>
      </w:r>
      <w:r w:rsidR="006865FF">
        <w:t>sollten</w:t>
      </w:r>
      <w:r w:rsidR="00AA668C">
        <w:t xml:space="preserve"> die Wartungsfenster gemäß dem </w:t>
      </w:r>
      <w:r w:rsidR="006865FF">
        <w:t>oben genannten Release-</w:t>
      </w:r>
      <w:r w:rsidR="00AA668C">
        <w:t>Zyklus ausgelegt werden</w:t>
      </w:r>
      <w:r w:rsidR="006865FF">
        <w:t xml:space="preserve"> (vgl. Kapitel </w:t>
      </w:r>
      <w:r w:rsidR="006865FF">
        <w:fldChar w:fldCharType="begin"/>
      </w:r>
      <w:r w:rsidR="006865FF">
        <w:instrText xml:space="preserve"> REF _Ref450406185 \r \h </w:instrText>
      </w:r>
      <w:r w:rsidR="006865FF">
        <w:fldChar w:fldCharType="separate"/>
      </w:r>
      <w:r w:rsidR="006865FF">
        <w:t>4.2</w:t>
      </w:r>
      <w:r w:rsidR="006865FF">
        <w:fldChar w:fldCharType="end"/>
      </w:r>
      <w:r w:rsidR="006865FF">
        <w:t>)</w:t>
      </w:r>
      <w:r w:rsidR="00AA668C">
        <w:t>.</w:t>
      </w:r>
      <w:r w:rsidR="006865FF">
        <w:t xml:space="preserve"> Die </w:t>
      </w:r>
      <w:r w:rsidR="006865FF" w:rsidRPr="006865FF">
        <w:rPr>
          <w:b/>
        </w:rPr>
        <w:t>Release-Einheiten</w:t>
      </w:r>
      <w:r w:rsidR="006865FF">
        <w:t xml:space="preserve"> sollten so klein wie möglich gestaltet werden, damit der Änderungsumfang minimal ist und somit das Release schnell zur Verfügung gestellt werden (vgl. Kapitel </w:t>
      </w:r>
      <w:r w:rsidR="006865FF">
        <w:fldChar w:fldCharType="begin"/>
      </w:r>
      <w:r w:rsidR="006865FF">
        <w:instrText xml:space="preserve"> REF _Ref449366923 \r \h </w:instrText>
      </w:r>
      <w:r w:rsidR="006865FF">
        <w:fldChar w:fldCharType="separate"/>
      </w:r>
      <w:r w:rsidR="006865FF">
        <w:t>4.4</w:t>
      </w:r>
      <w:r w:rsidR="006865FF">
        <w:fldChar w:fldCharType="end"/>
      </w:r>
      <w:r w:rsidR="006865FF">
        <w:t xml:space="preserve">). Dafür sind entsprechende Vorkehrungen in der Architektur des Systems und Arbeitsweisen in der Software-Entwicklung von Nöten (vgl. Kapitel </w:t>
      </w:r>
      <w:r w:rsidR="006865FF">
        <w:fldChar w:fldCharType="begin"/>
      </w:r>
      <w:r w:rsidR="006865FF">
        <w:instrText xml:space="preserve"> REF _Ref449366923 \r \h </w:instrText>
      </w:r>
      <w:r w:rsidR="006865FF">
        <w:fldChar w:fldCharType="separate"/>
      </w:r>
      <w:r w:rsidR="006865FF">
        <w:t>4.4</w:t>
      </w:r>
      <w:r w:rsidR="006865FF">
        <w:fldChar w:fldCharType="end"/>
      </w:r>
      <w:r w:rsidR="006865FF">
        <w:t xml:space="preserve">). </w:t>
      </w:r>
      <w:r w:rsidR="001D4347">
        <w:t xml:space="preserve">Die </w:t>
      </w:r>
      <w:r w:rsidR="001D4347" w:rsidRPr="001D4347">
        <w:rPr>
          <w:b/>
        </w:rPr>
        <w:t>Veröffent</w:t>
      </w:r>
      <w:r w:rsidR="001D4347" w:rsidRPr="001D4347">
        <w:rPr>
          <w:b/>
        </w:rPr>
        <w:lastRenderedPageBreak/>
        <w:t>lichungsmethode der Releases</w:t>
      </w:r>
      <w:r w:rsidR="001D4347">
        <w:rPr>
          <w:b/>
        </w:rPr>
        <w:t xml:space="preserve"> </w:t>
      </w:r>
      <w:r w:rsidR="001D4347">
        <w:t xml:space="preserve">entspricht dem Phasenansatz, da hier am schnellsten und besten das Feedback der Kunden eingeholt werden kann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Verstärkt wird dieser Effekt mit dem benannten A/B-Tests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Der </w:t>
      </w:r>
      <w:r w:rsidR="001D4347" w:rsidRPr="001D4347">
        <w:rPr>
          <w:b/>
        </w:rPr>
        <w:t>Automatisierungsgrad</w:t>
      </w:r>
      <w:r w:rsidR="001D4347">
        <w:t xml:space="preserve"> ist einer der wichtigsten Prozessfaktoren für diesen Standardtypen, da hierdurch die sonst vielen notwendigen manuellen Schritte im Voraus automatisiert werden, so dass sie im Release-Fall schnell und gesichert erfolgen können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Je höher die Automation demnach ist, desto schneller kann ein Release veröffentlich werden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Im Falle eines Fehlers bei einem Release, sollten im Standardtyp „Zeit“ die „go forward“-Variante des Prozessfaktors „</w:t>
      </w:r>
      <w:r w:rsidR="001D4347" w:rsidRPr="001D4347">
        <w:rPr>
          <w:b/>
        </w:rPr>
        <w:t>Remediation</w:t>
      </w:r>
      <w:r w:rsidR="001D4347">
        <w:t xml:space="preserve">“ gewählt werden, damit die neuen Änderungen trotz des Fehlers eher beim Kunden sind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Der </w:t>
      </w:r>
      <w:r w:rsidR="001D4347" w:rsidRPr="0019605F">
        <w:rPr>
          <w:b/>
        </w:rPr>
        <w:t>Early Life Support</w:t>
      </w:r>
      <w:r w:rsidR="001D4347">
        <w:t xml:space="preserve"> sollte nur in</w:t>
      </w:r>
      <w:r w:rsidR="0019605F">
        <w:t xml:space="preserve"> begründeten Fällen genutzt werden, da sonst die Ressourcen für die Weiterentwicklung fehlen (vgl. Kapitel </w:t>
      </w:r>
      <w:r w:rsidR="0019605F">
        <w:fldChar w:fldCharType="begin"/>
      </w:r>
      <w:r w:rsidR="0019605F">
        <w:instrText xml:space="preserve"> REF _Ref449366923 \r \h </w:instrText>
      </w:r>
      <w:r w:rsidR="0019605F">
        <w:fldChar w:fldCharType="separate"/>
      </w:r>
      <w:r w:rsidR="0019605F">
        <w:t>4.4</w:t>
      </w:r>
      <w:r w:rsidR="0019605F">
        <w:fldChar w:fldCharType="end"/>
      </w:r>
      <w:r w:rsidR="0019605F">
        <w:t>). Anders ist dies im sogenannten DevOps-Ansatz, wo ein Team für das Gesamtprodukt und damit alle Tätigkeiten gemeinsam verantwortlich ist, d. h. auch der Support und die Wartung durch die Entwicklung erfolgen</w:t>
      </w:r>
      <w:r w:rsidR="00B4347A">
        <w:t xml:space="preserve"> (vgl. Kapitel </w:t>
      </w:r>
      <w:r w:rsidR="00B4347A">
        <w:fldChar w:fldCharType="begin"/>
      </w:r>
      <w:r w:rsidR="00B4347A">
        <w:instrText xml:space="preserve"> REF _Ref446517190 \r \h </w:instrText>
      </w:r>
      <w:r w:rsidR="00B4347A">
        <w:fldChar w:fldCharType="separate"/>
      </w:r>
      <w:r w:rsidR="00B4347A">
        <w:t>2.4</w:t>
      </w:r>
      <w:r w:rsidR="00B4347A">
        <w:fldChar w:fldCharType="end"/>
      </w:r>
      <w:r w:rsidR="00B4347A">
        <w:t>)</w:t>
      </w:r>
      <w:r w:rsidR="0019605F">
        <w:t xml:space="preserve">. Die vorgeschlagene </w:t>
      </w:r>
      <w:r w:rsidR="0019605F" w:rsidRPr="0019605F">
        <w:rPr>
          <w:b/>
        </w:rPr>
        <w:t>Trennung von Test und Entwicklung</w:t>
      </w:r>
      <w:r w:rsidR="0019605F">
        <w:t xml:space="preserve"> ist bei diesem Standardtyp aufgrund des damit einhergehenden Zeitverzugs nicht zu empfehlen (vgl. Kapitel </w:t>
      </w:r>
      <w:r w:rsidR="0019605F">
        <w:fldChar w:fldCharType="begin"/>
      </w:r>
      <w:r w:rsidR="0019605F">
        <w:instrText xml:space="preserve"> REF _Ref455746723 \r \h </w:instrText>
      </w:r>
      <w:r w:rsidR="0019605F">
        <w:fldChar w:fldCharType="separate"/>
      </w:r>
      <w:r w:rsidR="0019605F">
        <w:t>4.5</w:t>
      </w:r>
      <w:r w:rsidR="0019605F">
        <w:fldChar w:fldCharType="end"/>
      </w:r>
      <w:r w:rsidR="0019605F">
        <w:t xml:space="preserve">). Die Integration von </w:t>
      </w:r>
      <w:r w:rsidR="0019605F" w:rsidRPr="0019605F">
        <w:rPr>
          <w:b/>
        </w:rPr>
        <w:t>frühzeitigen Tests</w:t>
      </w:r>
      <w:r w:rsidR="0019605F">
        <w:t xml:space="preserve"> ist aufgrund der zeitlichen Kritikalität unverzichtbar (vg</w:t>
      </w:r>
      <w:r w:rsidR="003C5A3F">
        <w:t>l</w:t>
      </w:r>
      <w:r w:rsidR="0019605F">
        <w:t xml:space="preserve">. Kapitel </w:t>
      </w:r>
      <w:r w:rsidR="0019605F">
        <w:fldChar w:fldCharType="begin"/>
      </w:r>
      <w:r w:rsidR="0019605F">
        <w:instrText xml:space="preserve"> REF _Ref455746986 \r \h </w:instrText>
      </w:r>
      <w:r w:rsidR="0019605F">
        <w:fldChar w:fldCharType="separate"/>
      </w:r>
      <w:r w:rsidR="0019605F">
        <w:t>4.5</w:t>
      </w:r>
      <w:r w:rsidR="0019605F">
        <w:fldChar w:fldCharType="end"/>
      </w:r>
      <w:r w:rsidR="0019605F">
        <w:t xml:space="preserve">). Im DevOps-Ansatz </w:t>
      </w:r>
      <w:r w:rsidR="00B4347A">
        <w:t>sollten</w:t>
      </w:r>
      <w:r w:rsidR="0019605F">
        <w:t xml:space="preserve"> ohnehin bei jedem Release die gleichen Tests durchgeführt, damit trotz der Geschwindigkeit die Qualität sichergestellt ist</w:t>
      </w:r>
      <w:r w:rsidR="00B4347A">
        <w:t xml:space="preserve"> </w:t>
      </w:r>
      <w:sdt>
        <w:sdtPr>
          <w:id w:val="2072691185"/>
          <w:citation/>
        </w:sdtPr>
        <w:sdtEndPr/>
        <w:sdtContent>
          <w:r w:rsidR="00B4347A">
            <w:fldChar w:fldCharType="begin"/>
          </w:r>
          <w:r w:rsidR="00B4347A">
            <w:instrText xml:space="preserve">CITATION Bau14 \p "S. 50" \t  \l 1031 </w:instrText>
          </w:r>
          <w:r w:rsidR="00B4347A">
            <w:fldChar w:fldCharType="separate"/>
          </w:r>
          <w:r w:rsidR="00B4347A">
            <w:rPr>
              <w:noProof/>
            </w:rPr>
            <w:t>(Baumann 2014, S. 50)</w:t>
          </w:r>
          <w:r w:rsidR="00B4347A">
            <w:fldChar w:fldCharType="end"/>
          </w:r>
        </w:sdtContent>
      </w:sdt>
      <w:r w:rsidR="0019605F">
        <w:t>.</w:t>
      </w:r>
      <w:r w:rsidR="00AF4AEE">
        <w:t xml:space="preserve"> </w:t>
      </w:r>
      <w:r w:rsidR="00AF4AEE" w:rsidRPr="00AF4AEE">
        <w:rPr>
          <w:b/>
        </w:rPr>
        <w:t>Endnutzertests</w:t>
      </w:r>
      <w:r w:rsidR="00AF4AEE">
        <w:t xml:space="preserve"> sind auch im zeitkritischen Standardtyp sinnvoll, jedoch nur zu empfehlen, wenn diese parallel bzw. integriert erfolgen und keine zusätzliche Verzögerung bedingen (vgl. Kapitel </w:t>
      </w:r>
      <w:r w:rsidR="00AF4AEE">
        <w:fldChar w:fldCharType="begin"/>
      </w:r>
      <w:r w:rsidR="00AF4AEE">
        <w:instrText xml:space="preserve"> REF _Ref455747201 \r \h </w:instrText>
      </w:r>
      <w:r w:rsidR="00AF4AEE">
        <w:fldChar w:fldCharType="separate"/>
      </w:r>
      <w:r w:rsidR="00AF4AEE">
        <w:t>4.5</w:t>
      </w:r>
      <w:r w:rsidR="00AF4AEE">
        <w:fldChar w:fldCharType="end"/>
      </w:r>
      <w:r w:rsidR="00AF4AEE">
        <w:t xml:space="preserve">). Analog der Ausführungen zum Automationsgrad ist eine hoher Grad an </w:t>
      </w:r>
      <w:r w:rsidR="00AF4AEE" w:rsidRPr="00AF4AEE">
        <w:rPr>
          <w:b/>
        </w:rPr>
        <w:t>Testautomatisierung</w:t>
      </w:r>
      <w:r w:rsidR="00AF4AEE">
        <w:t xml:space="preserve"> ein wichtiger Prozessfaktor für diesen Standardtypen, um trotz der Schnelligkeit die Qualität nicht zu vernachlässigen (vgl. Kapitel </w:t>
      </w:r>
      <w:r w:rsidR="00AF4AEE">
        <w:fldChar w:fldCharType="begin"/>
      </w:r>
      <w:r w:rsidR="00AF4AEE">
        <w:instrText xml:space="preserve"> REF _Ref455747312 \r \h </w:instrText>
      </w:r>
      <w:r w:rsidR="00AF4AEE">
        <w:fldChar w:fldCharType="separate"/>
      </w:r>
      <w:r w:rsidR="00AF4AEE">
        <w:t>4.5</w:t>
      </w:r>
      <w:r w:rsidR="00AF4AEE">
        <w:fldChar w:fldCharType="end"/>
      </w:r>
      <w:r w:rsidR="00AF4AEE">
        <w:t>).</w:t>
      </w:r>
    </w:p>
    <w:p w14:paraId="52848B21" w14:textId="70E2FEED" w:rsidR="00C67860" w:rsidRDefault="003B6916" w:rsidP="00C67860">
      <w:pPr>
        <w:pStyle w:val="berschrift2"/>
      </w:pPr>
      <w:bookmarkStart w:id="100" w:name="_Toc456884983"/>
      <w:r>
        <w:t>Kosten</w:t>
      </w:r>
      <w:bookmarkEnd w:id="100"/>
    </w:p>
    <w:p w14:paraId="094E0103" w14:textId="1192C134" w:rsidR="001660B4" w:rsidRPr="001660B4" w:rsidRDefault="00C84BCE" w:rsidP="00612429">
      <w:r>
        <w:t xml:space="preserve">Basierend auf der Beschreibung des Risikotyps „Kosten“ </w:t>
      </w:r>
      <w:r w:rsidR="00723DE4">
        <w:t xml:space="preserve">(vgl.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 xml:space="preserve">) </w:t>
      </w:r>
      <w:r>
        <w:t xml:space="preserve">erfolgt analog zum Standardtyp „Zeit“ die Ableitung der passenden Ausprägungen der Prozessfaktoren (vgl. Kapitel </w:t>
      </w:r>
      <w:r>
        <w:fldChar w:fldCharType="begin"/>
      </w:r>
      <w:r>
        <w:instrText xml:space="preserve"> REF _Ref455674497 \r \h </w:instrText>
      </w:r>
      <w:r>
        <w:fldChar w:fldCharType="separate"/>
      </w:r>
      <w:r>
        <w:t>4.8</w:t>
      </w:r>
      <w:r>
        <w:fldChar w:fldCharType="end"/>
      </w:r>
      <w:r>
        <w:t>) für das Release-Management.</w:t>
      </w:r>
      <w:r w:rsidR="000C13CD">
        <w:t xml:space="preserve"> Der </w:t>
      </w:r>
      <w:r w:rsidR="000C13CD">
        <w:rPr>
          <w:b/>
        </w:rPr>
        <w:t>Release-Zyklus</w:t>
      </w:r>
      <w:r w:rsidR="000C13CD">
        <w:t xml:space="preserve"> ist bei diesem Standardtyp nicht durch die Anforderung an Schnelligkeit und Flexibilität geprägt, sondern durch das Kostenoptimierungsziel (vgl. Kapitel </w:t>
      </w:r>
      <w:r w:rsidR="000C13CD">
        <w:fldChar w:fldCharType="begin"/>
      </w:r>
      <w:r w:rsidR="000C13CD">
        <w:instrText xml:space="preserve"> REF _Ref451345102 \r \h </w:instrText>
      </w:r>
      <w:r w:rsidR="000C13CD">
        <w:fldChar w:fldCharType="separate"/>
      </w:r>
      <w:r w:rsidR="000C13CD">
        <w:t>3.6</w:t>
      </w:r>
      <w:r w:rsidR="000C13CD">
        <w:fldChar w:fldCharType="end"/>
      </w:r>
      <w:r w:rsidR="000C13CD">
        <w:t xml:space="preserve">). </w:t>
      </w:r>
      <w:r w:rsidR="00FB65F8">
        <w:t>Daraus lässt sich aber nicht ableiten, dass der Release-Zyklus lang sein muss, um kostengünstig zu sein</w:t>
      </w:r>
      <w:r w:rsidR="003718E2">
        <w:t xml:space="preserve">, da dann der Aufwand pro Release steigt (vgl. Kapitel </w:t>
      </w:r>
      <w:r w:rsidR="003718E2">
        <w:fldChar w:fldCharType="begin"/>
      </w:r>
      <w:r w:rsidR="003718E2">
        <w:instrText xml:space="preserve"> REF _Ref446517322 \r \h </w:instrText>
      </w:r>
      <w:r w:rsidR="003718E2">
        <w:fldChar w:fldCharType="separate"/>
      </w:r>
      <w:r w:rsidR="003718E2">
        <w:t>4.1</w:t>
      </w:r>
      <w:r w:rsidR="003718E2">
        <w:fldChar w:fldCharType="end"/>
      </w:r>
      <w:r w:rsidR="003718E2">
        <w:t>). Typischerweise ergeben sich in solchen Fällen jedoch Release-Zyklen von durchschnittlich 12 bis 2 Releases pro Jahr</w:t>
      </w:r>
      <w:sdt>
        <w:sdtPr>
          <w:id w:val="-1145897705"/>
          <w:citation/>
        </w:sdtPr>
        <w:sdtEndPr/>
        <w:sdtContent>
          <w:r w:rsidR="003718E2">
            <w:fldChar w:fldCharType="begin"/>
          </w:r>
          <w:r w:rsidR="003718E2">
            <w:instrText xml:space="preserve">CITATION Pup16 \p "S. 15" \l 1031 </w:instrText>
          </w:r>
          <w:r w:rsidR="003718E2">
            <w:fldChar w:fldCharType="separate"/>
          </w:r>
          <w:r w:rsidR="003718E2">
            <w:rPr>
              <w:noProof/>
            </w:rPr>
            <w:t xml:space="preserve"> (Puppet 2016, S. 15)</w:t>
          </w:r>
          <w:r w:rsidR="003718E2">
            <w:fldChar w:fldCharType="end"/>
          </w:r>
        </w:sdtContent>
      </w:sdt>
      <w:r w:rsidR="003718E2">
        <w:t xml:space="preserve">, </w:t>
      </w:r>
      <w:r w:rsidR="003718E2">
        <w:lastRenderedPageBreak/>
        <w:t xml:space="preserve">wobei es auch nur bei Bedarf Releases geben kann, falls selten am System etwas verändert wird. Die </w:t>
      </w:r>
      <w:r w:rsidR="003718E2" w:rsidRPr="003718E2">
        <w:rPr>
          <w:b/>
        </w:rPr>
        <w:t>Freigaberollen</w:t>
      </w:r>
      <w:r w:rsidR="003718E2">
        <w:t xml:space="preserve"> sollten aufgrund der negativen Effekte auf die Organisation</w:t>
      </w:r>
      <w:r w:rsidR="00D03F44">
        <w:t xml:space="preserve"> (vgl. Kapitel </w:t>
      </w:r>
      <w:r w:rsidR="00D03F44">
        <w:fldChar w:fldCharType="begin"/>
      </w:r>
      <w:r w:rsidR="00D03F44">
        <w:instrText xml:space="preserve"> REF _Ref446517322 \r \h </w:instrText>
      </w:r>
      <w:r w:rsidR="00D03F44">
        <w:fldChar w:fldCharType="separate"/>
      </w:r>
      <w:r w:rsidR="00D03F44">
        <w:t>4.1</w:t>
      </w:r>
      <w:r w:rsidR="00D03F44">
        <w:fldChar w:fldCharType="end"/>
      </w:r>
      <w:r w:rsidR="00D03F44">
        <w:t>)</w:t>
      </w:r>
      <w:r w:rsidR="003718E2">
        <w:t xml:space="preserve"> ebenf</w:t>
      </w:r>
      <w:r w:rsidR="00D03F44">
        <w:t xml:space="preserve">alls nicht zu sehr verteilt sein, wobei der Aufwand für eine automatische Prüfung jedoch entfallen kann. Aufgrund des langsameren Release-Zyklus steigt die Wahrscheinlichkeit, dass für die Veröffentlichungen unterschiedlichen Verfahren und Abläufe angewendet werden müssen, wodurch ein Standard-Change als </w:t>
      </w:r>
      <w:r w:rsidR="00D03F44" w:rsidRPr="00D03F44">
        <w:rPr>
          <w:b/>
        </w:rPr>
        <w:t>Change-Typ</w:t>
      </w:r>
      <w:r w:rsidR="00D03F44">
        <w:t xml:space="preserve"> nicht genutzt werden kann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 xml:space="preserve">). Aufgrund der fehlenden zeitlichen Risikos sind die Durchlaufzeiten eines Normal-Changes jedoch akzeptabel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 xml:space="preserve">). Sollte einer Unterbrechung der Serviceverfügbarkeit aufgrund von anderen Faktoren, wie z. B. vertraglich zugesicherte Verfügbarkeiten, nichts entgegensprechen, können aufgrund der Kosten für die Einrichtung und Pflege eines Verfahrens zur Vermeidung von Ausfallzeiten, </w:t>
      </w:r>
      <w:r w:rsidR="00D03F44" w:rsidRPr="00D03F44">
        <w:rPr>
          <w:b/>
        </w:rPr>
        <w:t>Wartungsfenster</w:t>
      </w:r>
      <w:r w:rsidR="00D03F44">
        <w:t xml:space="preserve"> genutzt werden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w:t>
      </w:r>
      <w:r w:rsidR="00877DAC">
        <w:t xml:space="preserve"> Hinsichtlich der </w:t>
      </w:r>
      <w:r w:rsidR="00877DAC" w:rsidRPr="00877DAC">
        <w:rPr>
          <w:b/>
        </w:rPr>
        <w:t>Release-Einheiten</w:t>
      </w:r>
      <w:r w:rsidR="00877DAC">
        <w:t xml:space="preserve"> verhält es sich ähnlich zum Release-Zyklus. Aus der Kostenperspektive lässt sich nicht allgemein ableiten, wie viele Einheiten optimal sind. Viele kleine Einheiten sind wahrscheinlich aufgrund der Komplexität durch externe Abhängigkeiten so teuer wie eine große Einheit aufgrund der inneren Komplexität und demnach liegt die Wahrheit dazwischen. Aus Sicht der Aufwände für die parallele Betreuung unterschiedlicher Versionen empfiehlt sich die Verwendung der „big bang“ – </w:t>
      </w:r>
      <w:r w:rsidR="00877DAC" w:rsidRPr="00877DAC">
        <w:rPr>
          <w:b/>
        </w:rPr>
        <w:t>Release-Methode</w:t>
      </w:r>
      <w:r w:rsidR="00877DAC">
        <w:t xml:space="preserve">, wobei auch hier bei bestimmten kritischen Änderungen eine Pilotphase im Sinne der Fehlerkostenvermeidung sinnvoll ist (vgl. Kapitel </w:t>
      </w:r>
      <w:r w:rsidR="00877DAC">
        <w:fldChar w:fldCharType="begin"/>
      </w:r>
      <w:r w:rsidR="00877DAC">
        <w:instrText xml:space="preserve"> REF _Ref449366923 \r \h </w:instrText>
      </w:r>
      <w:r w:rsidR="00877DAC">
        <w:fldChar w:fldCharType="separate"/>
      </w:r>
      <w:r w:rsidR="00877DAC">
        <w:t>4.4</w:t>
      </w:r>
      <w:r w:rsidR="00877DAC">
        <w:fldChar w:fldCharType="end"/>
      </w:r>
      <w:r w:rsidR="00877DAC">
        <w:t xml:space="preserve">). Der </w:t>
      </w:r>
      <w:r w:rsidR="00877DAC" w:rsidRPr="00877DAC">
        <w:rPr>
          <w:b/>
        </w:rPr>
        <w:t>Automatisierungsgrad</w:t>
      </w:r>
      <w:r w:rsidR="00877DAC">
        <w:t xml:space="preserve"> lässt sich ebenfalls nicht pauschal bestimmen, da dies abhängig vom Erstellungsaufwand und der tatsächlichen Wiederverwendung ist. Sollte aufgrund der langen Release-Zyklen der Wiederverwendungsgrad niedrig sein, lohnt es sich nur bei wenigen Aktivitäten aufgrund eines geringen Umsetzungsaufwands, diese zu automatisieren.</w:t>
      </w:r>
      <w:r w:rsidR="005A29E2">
        <w:t xml:space="preserve"> Im Fehlerfall ist bei einem Release die „back out“ – </w:t>
      </w:r>
      <w:r w:rsidR="005A29E2" w:rsidRPr="005A29E2">
        <w:rPr>
          <w:b/>
        </w:rPr>
        <w:t>Remediation</w:t>
      </w:r>
      <w:r w:rsidR="005A29E2">
        <w:t xml:space="preserve"> zu wählen, da es kein Zeitrisiko gibt, welches potentielle Mehrkosten durch den Betrieb im Fehlerzustand rechtfertigt (vgl. Kapitel </w:t>
      </w:r>
      <w:r w:rsidR="005A29E2">
        <w:fldChar w:fldCharType="begin"/>
      </w:r>
      <w:r w:rsidR="005A29E2">
        <w:instrText xml:space="preserve"> REF _Ref449366923 \r \h </w:instrText>
      </w:r>
      <w:r w:rsidR="005A29E2">
        <w:fldChar w:fldCharType="separate"/>
      </w:r>
      <w:r w:rsidR="005A29E2">
        <w:t>4.4</w:t>
      </w:r>
      <w:r w:rsidR="005A29E2">
        <w:fldChar w:fldCharType="end"/>
      </w:r>
      <w:r w:rsidR="005A29E2">
        <w:t xml:space="preserve">). Auf einen </w:t>
      </w:r>
      <w:r w:rsidR="005A29E2" w:rsidRPr="005A29E2">
        <w:rPr>
          <w:b/>
        </w:rPr>
        <w:t>Early Life Support</w:t>
      </w:r>
      <w:r w:rsidR="005A29E2">
        <w:t xml:space="preserve"> ist aufgrund der erhöhten Kosten prinzipiell auch zu verzichten, wobei es auch Fälle geben kann, bei denen durch die schnellere Fehlerlösung mehr Kosten vermieden werden, als dafür angefallen sind (vgl. Kapitel </w:t>
      </w:r>
      <w:r w:rsidR="005A29E2">
        <w:fldChar w:fldCharType="begin"/>
      </w:r>
      <w:r w:rsidR="005A29E2">
        <w:instrText xml:space="preserve"> REF _Ref449366923 \r \h </w:instrText>
      </w:r>
      <w:r w:rsidR="005A29E2">
        <w:fldChar w:fldCharType="separate"/>
      </w:r>
      <w:r w:rsidR="005A29E2">
        <w:t>4.4</w:t>
      </w:r>
      <w:r w:rsidR="005A29E2">
        <w:fldChar w:fldCharType="end"/>
      </w:r>
      <w:r w:rsidR="005A29E2">
        <w:t xml:space="preserve">). Eine </w:t>
      </w:r>
      <w:r w:rsidR="005A29E2" w:rsidRPr="005A29E2">
        <w:rPr>
          <w:b/>
        </w:rPr>
        <w:t>Trennung von Test und Entwicklung</w:t>
      </w:r>
      <w:r w:rsidR="005A29E2">
        <w:t xml:space="preserve"> führt gemäß der Ausführungen in Kapitel </w:t>
      </w:r>
      <w:r w:rsidR="005A29E2">
        <w:fldChar w:fldCharType="begin"/>
      </w:r>
      <w:r w:rsidR="005A29E2">
        <w:instrText xml:space="preserve"> REF _Ref455759447 \r \h </w:instrText>
      </w:r>
      <w:r w:rsidR="005A29E2">
        <w:fldChar w:fldCharType="separate"/>
      </w:r>
      <w:r w:rsidR="005A29E2">
        <w:t>4.5</w:t>
      </w:r>
      <w:r w:rsidR="005A29E2">
        <w:fldChar w:fldCharType="end"/>
      </w:r>
      <w:r w:rsidR="005A29E2">
        <w:t xml:space="preserve"> zu erhöhten Kosten und ist demnach zu vermeiden. Im Sinne der Vermeidung von späten Folgekosten sind bei diesem Standardtyp ebenfalls die </w:t>
      </w:r>
      <w:r w:rsidR="005A29E2" w:rsidRPr="005A29E2">
        <w:rPr>
          <w:b/>
        </w:rPr>
        <w:t>Test frühzeitig</w:t>
      </w:r>
      <w:r w:rsidR="005A29E2">
        <w:t xml:space="preserve"> zu integrieren. Die Involvierung von Endnutzer bei diesen Tätigkeiten ist nur bedingt zu empfehlen und dann sinnvoll, wenn dadurch späte Folgekosten vermieden werden können (vgl. Kapitel </w:t>
      </w:r>
      <w:r w:rsidR="005A29E2">
        <w:fldChar w:fldCharType="begin"/>
      </w:r>
      <w:r w:rsidR="005A29E2">
        <w:instrText xml:space="preserve"> REF _Ref455759699 \r \h </w:instrText>
      </w:r>
      <w:r w:rsidR="005A29E2">
        <w:fldChar w:fldCharType="separate"/>
      </w:r>
      <w:r w:rsidR="005A29E2">
        <w:t>4.5</w:t>
      </w:r>
      <w:r w:rsidR="005A29E2">
        <w:fldChar w:fldCharType="end"/>
      </w:r>
      <w:r w:rsidR="005A29E2">
        <w:t xml:space="preserve">). Die </w:t>
      </w:r>
      <w:r w:rsidR="005A29E2" w:rsidRPr="003D44A4">
        <w:rPr>
          <w:b/>
        </w:rPr>
        <w:t>Testautomatisierung</w:t>
      </w:r>
      <w:r w:rsidR="005A29E2">
        <w:t xml:space="preserve"> im Release-Management ist analog des allgemeinen Automatisierungsgrad zu betrachten</w:t>
      </w:r>
      <w:r w:rsidR="003D44A4">
        <w:t>.</w:t>
      </w:r>
    </w:p>
    <w:p w14:paraId="0F308B21" w14:textId="6E978AA3" w:rsidR="00386B1B" w:rsidRDefault="00386B1B" w:rsidP="00386B1B">
      <w:pPr>
        <w:pStyle w:val="berschrift2"/>
      </w:pPr>
      <w:bookmarkStart w:id="101" w:name="_Toc456884984"/>
      <w:r>
        <w:lastRenderedPageBreak/>
        <w:t>Zusammenfassung der Standardtypen</w:t>
      </w:r>
      <w:bookmarkEnd w:id="101"/>
    </w:p>
    <w:p w14:paraId="21EA910E" w14:textId="0E832190" w:rsidR="001660B4" w:rsidRPr="001660B4" w:rsidRDefault="006E3353" w:rsidP="001660B4">
      <w:r>
        <w:t xml:space="preserve">In den vorhergehenden Kapiteln wurden die beiden Standardtypen „Zeit“ und „Kosten“ vorgestellt, welche die Adaption und Definition von Release-Management-Prozessen aufgrund der hier geleisteten Vorüberlegungen vereinfachen. Für ein Produkt </w:t>
      </w:r>
      <w:r w:rsidRPr="00723DE4">
        <w:t>des Risikotyps „Zeit“</w:t>
      </w:r>
      <w:r w:rsidR="00723DE4" w:rsidRPr="00723DE4">
        <w:t xml:space="preserve"> (vgl.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w:t>
      </w:r>
      <w:r w:rsidRPr="00723DE4">
        <w:t xml:space="preserve"> kann demnach</w:t>
      </w:r>
      <w:r w:rsidR="00C84BCE" w:rsidRPr="00723DE4">
        <w:t xml:space="preserve"> der Release-Management-Prozess-Standardtyp „Zeit“ als Vorlage herangezogen und je nach Bedarf modifiziert werden. Selbiges gilt für Produkte des Risikotyps „Kosten“ </w:t>
      </w:r>
      <w:r w:rsidR="00723DE4" w:rsidRPr="00723DE4">
        <w:t xml:space="preserve">(vgl.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 xml:space="preserve">) </w:t>
      </w:r>
      <w:r w:rsidR="00C84BCE" w:rsidRPr="00723DE4">
        <w:t>und dessen korrespondierenden Standardtyp</w:t>
      </w:r>
      <w:r w:rsidR="00C84BCE">
        <w:t>. Eine Übersicht zu den beiden Standardtypen und deren</w:t>
      </w:r>
      <w:r w:rsidR="001660B4">
        <w:t xml:space="preserve"> Ausprägungen der Prozessfaktoren </w:t>
      </w:r>
      <w:r w:rsidR="00C84BCE">
        <w:t>ist</w:t>
      </w:r>
      <w:r w:rsidR="001660B4">
        <w:t xml:space="preserve"> abschließend als Zusammenfassung in </w:t>
      </w:r>
      <w:r w:rsidR="001660B4">
        <w:fldChar w:fldCharType="begin"/>
      </w:r>
      <w:r w:rsidR="001660B4">
        <w:instrText xml:space="preserve"> REF _Ref455666335 \h </w:instrText>
      </w:r>
      <w:r w:rsidR="001660B4">
        <w:fldChar w:fldCharType="separate"/>
      </w:r>
      <w:r w:rsidR="001660B4">
        <w:t xml:space="preserve">Tabelle </w:t>
      </w:r>
      <w:r w:rsidR="001660B4">
        <w:rPr>
          <w:noProof/>
        </w:rPr>
        <w:t>5</w:t>
      </w:r>
      <w:r w:rsidR="001660B4">
        <w:t>.</w:t>
      </w:r>
      <w:r w:rsidR="001660B4">
        <w:rPr>
          <w:noProof/>
        </w:rPr>
        <w:t>1</w:t>
      </w:r>
      <w:r w:rsidR="001660B4">
        <w:fldChar w:fldCharType="end"/>
      </w:r>
      <w:r w:rsidR="001660B4">
        <w:t xml:space="preserve"> dargestellt.</w:t>
      </w:r>
    </w:p>
    <w:tbl>
      <w:tblPr>
        <w:tblStyle w:val="Tabellenraster"/>
        <w:tblW w:w="0" w:type="auto"/>
        <w:tblLook w:val="04A0" w:firstRow="1" w:lastRow="0" w:firstColumn="1" w:lastColumn="0" w:noHBand="0" w:noVBand="1"/>
      </w:tblPr>
      <w:tblGrid>
        <w:gridCol w:w="996"/>
        <w:gridCol w:w="2433"/>
        <w:gridCol w:w="2588"/>
        <w:gridCol w:w="2313"/>
      </w:tblGrid>
      <w:tr w:rsidR="001B2E93" w14:paraId="742B9207" w14:textId="77777777" w:rsidTr="00E00E74">
        <w:tc>
          <w:tcPr>
            <w:tcW w:w="996" w:type="dxa"/>
            <w:vMerge w:val="restart"/>
            <w:shd w:val="clear" w:color="auto" w:fill="595959" w:themeFill="text1" w:themeFillTint="A6"/>
          </w:tcPr>
          <w:p w14:paraId="1ACF1EF7" w14:textId="77777777" w:rsidR="001B2E93" w:rsidRPr="0007273A" w:rsidRDefault="001B2E93" w:rsidP="00EA4433">
            <w:pPr>
              <w:rPr>
                <w:color w:val="FFFFFF" w:themeColor="background1"/>
              </w:rPr>
            </w:pPr>
            <w:r w:rsidRPr="0007273A">
              <w:rPr>
                <w:color w:val="FFFFFF" w:themeColor="background1"/>
              </w:rPr>
              <w:t>Prozess</w:t>
            </w:r>
          </w:p>
        </w:tc>
        <w:tc>
          <w:tcPr>
            <w:tcW w:w="2433" w:type="dxa"/>
            <w:vMerge w:val="restart"/>
            <w:shd w:val="clear" w:color="auto" w:fill="595959" w:themeFill="text1" w:themeFillTint="A6"/>
          </w:tcPr>
          <w:p w14:paraId="16E3980A" w14:textId="77777777" w:rsidR="001B2E93" w:rsidRPr="0007273A" w:rsidRDefault="001B2E93" w:rsidP="00EA4433">
            <w:pPr>
              <w:rPr>
                <w:color w:val="FFFFFF" w:themeColor="background1"/>
              </w:rPr>
            </w:pPr>
            <w:r w:rsidRPr="0007273A">
              <w:rPr>
                <w:color w:val="FFFFFF" w:themeColor="background1"/>
              </w:rPr>
              <w:t>Prozessfaktor</w:t>
            </w:r>
          </w:p>
        </w:tc>
        <w:tc>
          <w:tcPr>
            <w:tcW w:w="4901" w:type="dxa"/>
            <w:gridSpan w:val="2"/>
            <w:shd w:val="clear" w:color="auto" w:fill="595959" w:themeFill="text1" w:themeFillTint="A6"/>
          </w:tcPr>
          <w:p w14:paraId="344C74DA" w14:textId="3D054E05" w:rsidR="001B2E93" w:rsidRPr="0007273A" w:rsidRDefault="001B2E93" w:rsidP="00EA4433">
            <w:pPr>
              <w:jc w:val="center"/>
              <w:rPr>
                <w:color w:val="FFFFFF" w:themeColor="background1"/>
              </w:rPr>
            </w:pPr>
            <w:r>
              <w:rPr>
                <w:color w:val="FFFFFF" w:themeColor="background1"/>
              </w:rPr>
              <w:t>Standardtypen</w:t>
            </w:r>
          </w:p>
        </w:tc>
      </w:tr>
      <w:tr w:rsidR="001B2E93" w14:paraId="67D94D92" w14:textId="77777777" w:rsidTr="001B2E93">
        <w:tc>
          <w:tcPr>
            <w:tcW w:w="996" w:type="dxa"/>
            <w:vMerge/>
            <w:shd w:val="clear" w:color="auto" w:fill="595959" w:themeFill="text1" w:themeFillTint="A6"/>
          </w:tcPr>
          <w:p w14:paraId="468E17A5" w14:textId="77777777" w:rsidR="001B2E93" w:rsidRPr="0007273A" w:rsidRDefault="001B2E93" w:rsidP="00EA4433">
            <w:pPr>
              <w:rPr>
                <w:color w:val="FFFFFF" w:themeColor="background1"/>
              </w:rPr>
            </w:pPr>
          </w:p>
        </w:tc>
        <w:tc>
          <w:tcPr>
            <w:tcW w:w="2433" w:type="dxa"/>
            <w:vMerge/>
            <w:shd w:val="clear" w:color="auto" w:fill="595959" w:themeFill="text1" w:themeFillTint="A6"/>
          </w:tcPr>
          <w:p w14:paraId="542DED95" w14:textId="77777777" w:rsidR="001B2E93" w:rsidRPr="0007273A" w:rsidRDefault="001B2E93" w:rsidP="00EA4433">
            <w:pPr>
              <w:rPr>
                <w:color w:val="FFFFFF" w:themeColor="background1"/>
              </w:rPr>
            </w:pPr>
          </w:p>
        </w:tc>
        <w:tc>
          <w:tcPr>
            <w:tcW w:w="2588" w:type="dxa"/>
            <w:shd w:val="clear" w:color="auto" w:fill="FFC000"/>
          </w:tcPr>
          <w:p w14:paraId="01004267" w14:textId="44B29B9E" w:rsidR="001B2E93" w:rsidRPr="001B2E93" w:rsidRDefault="001B2E93" w:rsidP="00EA4433">
            <w:r w:rsidRPr="001B2E93">
              <w:t>Zeit</w:t>
            </w:r>
          </w:p>
        </w:tc>
        <w:tc>
          <w:tcPr>
            <w:tcW w:w="2313" w:type="dxa"/>
            <w:shd w:val="clear" w:color="auto" w:fill="FFC000"/>
          </w:tcPr>
          <w:p w14:paraId="57B22243" w14:textId="3A091E25" w:rsidR="001B2E93" w:rsidRPr="001B2E93" w:rsidRDefault="001B2E93" w:rsidP="00EA4433">
            <w:r w:rsidRPr="001B2E93">
              <w:t>Kosten</w:t>
            </w:r>
          </w:p>
        </w:tc>
      </w:tr>
      <w:tr w:rsidR="001B2E93" w14:paraId="672E9FA7" w14:textId="77777777" w:rsidTr="001B2E93">
        <w:trPr>
          <w:trHeight w:val="404"/>
        </w:trPr>
        <w:tc>
          <w:tcPr>
            <w:tcW w:w="996" w:type="dxa"/>
            <w:vMerge w:val="restart"/>
            <w:shd w:val="clear" w:color="auto" w:fill="D9D9D9" w:themeFill="background1" w:themeFillShade="D9"/>
          </w:tcPr>
          <w:p w14:paraId="1681DAD8" w14:textId="77777777" w:rsidR="001B2E93" w:rsidRPr="0007273A" w:rsidRDefault="001B2E93" w:rsidP="00EA4433">
            <w:r w:rsidRPr="0007273A">
              <w:t>TPS</w:t>
            </w:r>
          </w:p>
        </w:tc>
        <w:tc>
          <w:tcPr>
            <w:tcW w:w="2433" w:type="dxa"/>
            <w:shd w:val="clear" w:color="auto" w:fill="auto"/>
          </w:tcPr>
          <w:p w14:paraId="0EB54D2A" w14:textId="77777777" w:rsidR="001B2E93" w:rsidRPr="0007273A" w:rsidRDefault="001B2E93" w:rsidP="00EA4433">
            <w:r>
              <w:t>Release-Zyklus</w:t>
            </w:r>
          </w:p>
        </w:tc>
        <w:tc>
          <w:tcPr>
            <w:tcW w:w="2588" w:type="dxa"/>
            <w:shd w:val="clear" w:color="auto" w:fill="FFFFFF" w:themeFill="background1"/>
          </w:tcPr>
          <w:p w14:paraId="5C5DFCAD" w14:textId="04588777" w:rsidR="001B2E93" w:rsidRPr="0007273A" w:rsidRDefault="003718E2" w:rsidP="00EA4433">
            <w:r>
              <w:t xml:space="preserve">aller 2 bis </w:t>
            </w:r>
            <w:r w:rsidR="00AA668C">
              <w:t>4 Wochen bzw. ad-hoc</w:t>
            </w:r>
          </w:p>
        </w:tc>
        <w:tc>
          <w:tcPr>
            <w:tcW w:w="2313" w:type="dxa"/>
            <w:shd w:val="clear" w:color="auto" w:fill="auto"/>
          </w:tcPr>
          <w:p w14:paraId="2AED2845" w14:textId="65284FCD" w:rsidR="001B2E93" w:rsidRPr="00AA668C" w:rsidRDefault="003718E2" w:rsidP="00EA4433">
            <w:pPr>
              <w:rPr>
                <w:highlight w:val="yellow"/>
              </w:rPr>
            </w:pPr>
            <w:r w:rsidRPr="003718E2">
              <w:t>12 bis 2 pro Jahr oder bei Bedarf</w:t>
            </w:r>
          </w:p>
        </w:tc>
      </w:tr>
      <w:tr w:rsidR="001B2E93" w14:paraId="5E479F48" w14:textId="77777777" w:rsidTr="001B2E93">
        <w:trPr>
          <w:trHeight w:val="403"/>
        </w:trPr>
        <w:tc>
          <w:tcPr>
            <w:tcW w:w="996" w:type="dxa"/>
            <w:vMerge/>
            <w:shd w:val="clear" w:color="auto" w:fill="D9D9D9" w:themeFill="background1" w:themeFillShade="D9"/>
          </w:tcPr>
          <w:p w14:paraId="02AFB98A" w14:textId="77777777" w:rsidR="001B2E93" w:rsidRPr="0007273A" w:rsidRDefault="001B2E93" w:rsidP="00EA4433"/>
        </w:tc>
        <w:tc>
          <w:tcPr>
            <w:tcW w:w="2433" w:type="dxa"/>
            <w:shd w:val="clear" w:color="auto" w:fill="auto"/>
          </w:tcPr>
          <w:p w14:paraId="2A6D9DE1" w14:textId="77777777" w:rsidR="001B2E93" w:rsidRPr="0007273A" w:rsidRDefault="001B2E93" w:rsidP="00EA4433">
            <w:r>
              <w:t>Freigaberollen</w:t>
            </w:r>
          </w:p>
        </w:tc>
        <w:tc>
          <w:tcPr>
            <w:tcW w:w="2588" w:type="dxa"/>
            <w:shd w:val="clear" w:color="auto" w:fill="FFFFFF" w:themeFill="background1"/>
          </w:tcPr>
          <w:p w14:paraId="4A4E83CD" w14:textId="6F2EA54C" w:rsidR="001B2E93" w:rsidRDefault="00AA668C" w:rsidP="00EA4433">
            <w:r>
              <w:t>keine bzw. wenige</w:t>
            </w:r>
          </w:p>
        </w:tc>
        <w:tc>
          <w:tcPr>
            <w:tcW w:w="2313" w:type="dxa"/>
            <w:shd w:val="clear" w:color="auto" w:fill="auto"/>
          </w:tcPr>
          <w:p w14:paraId="7DEBE89C" w14:textId="70687489" w:rsidR="001B2E93" w:rsidRPr="00AA668C" w:rsidRDefault="00FB65F8" w:rsidP="00EA4433">
            <w:pPr>
              <w:rPr>
                <w:highlight w:val="yellow"/>
              </w:rPr>
            </w:pPr>
            <w:r w:rsidRPr="00D03F44">
              <w:t>wenige</w:t>
            </w:r>
          </w:p>
        </w:tc>
      </w:tr>
      <w:tr w:rsidR="001B2E93" w14:paraId="5F52BD64" w14:textId="77777777" w:rsidTr="001B2E93">
        <w:trPr>
          <w:trHeight w:val="414"/>
        </w:trPr>
        <w:tc>
          <w:tcPr>
            <w:tcW w:w="996" w:type="dxa"/>
            <w:vMerge w:val="restart"/>
            <w:shd w:val="clear" w:color="auto" w:fill="D9D9D9" w:themeFill="background1" w:themeFillShade="D9"/>
          </w:tcPr>
          <w:p w14:paraId="06BA70B9" w14:textId="77777777" w:rsidR="001B2E93" w:rsidRPr="0007273A" w:rsidRDefault="001B2E93" w:rsidP="00EA4433">
            <w:r w:rsidRPr="0007273A">
              <w:t>CHM</w:t>
            </w:r>
          </w:p>
        </w:tc>
        <w:tc>
          <w:tcPr>
            <w:tcW w:w="2433" w:type="dxa"/>
            <w:shd w:val="clear" w:color="auto" w:fill="auto"/>
          </w:tcPr>
          <w:p w14:paraId="39831D48" w14:textId="77777777" w:rsidR="001B2E93" w:rsidRPr="0007273A" w:rsidRDefault="001B2E93" w:rsidP="00EA4433">
            <w:r>
              <w:t>Change-Typ</w:t>
            </w:r>
          </w:p>
        </w:tc>
        <w:tc>
          <w:tcPr>
            <w:tcW w:w="2588" w:type="dxa"/>
            <w:shd w:val="clear" w:color="auto" w:fill="FFFFFF" w:themeFill="background1"/>
          </w:tcPr>
          <w:p w14:paraId="76073635" w14:textId="2B9E65C1" w:rsidR="001B2E93" w:rsidRPr="00AA668C" w:rsidRDefault="001B2E93" w:rsidP="00EA4433">
            <w:r w:rsidRPr="00AA668C">
              <w:t>Standard</w:t>
            </w:r>
          </w:p>
        </w:tc>
        <w:tc>
          <w:tcPr>
            <w:tcW w:w="2313" w:type="dxa"/>
            <w:shd w:val="clear" w:color="auto" w:fill="auto"/>
          </w:tcPr>
          <w:p w14:paraId="56C504B7" w14:textId="131B353F" w:rsidR="001B2E93" w:rsidRPr="00D03F44" w:rsidRDefault="001B2E93" w:rsidP="00EA4433">
            <w:r w:rsidRPr="00D03F44">
              <w:t>Normal</w:t>
            </w:r>
          </w:p>
        </w:tc>
      </w:tr>
      <w:tr w:rsidR="001B2E93" w14:paraId="0D36A0AA" w14:textId="77777777" w:rsidTr="001B2E93">
        <w:trPr>
          <w:trHeight w:val="413"/>
        </w:trPr>
        <w:tc>
          <w:tcPr>
            <w:tcW w:w="996" w:type="dxa"/>
            <w:vMerge/>
            <w:shd w:val="clear" w:color="auto" w:fill="D9D9D9" w:themeFill="background1" w:themeFillShade="D9"/>
          </w:tcPr>
          <w:p w14:paraId="0438882A" w14:textId="77777777" w:rsidR="001B2E93" w:rsidRPr="0007273A" w:rsidRDefault="001B2E93" w:rsidP="00EA4433"/>
        </w:tc>
        <w:tc>
          <w:tcPr>
            <w:tcW w:w="2433" w:type="dxa"/>
            <w:shd w:val="clear" w:color="auto" w:fill="auto"/>
          </w:tcPr>
          <w:p w14:paraId="07CC56C7" w14:textId="77777777" w:rsidR="001B2E93" w:rsidRPr="0007273A" w:rsidRDefault="001B2E93" w:rsidP="00EA4433">
            <w:r>
              <w:t>Wartungsfenster</w:t>
            </w:r>
          </w:p>
        </w:tc>
        <w:tc>
          <w:tcPr>
            <w:tcW w:w="2588" w:type="dxa"/>
            <w:shd w:val="clear" w:color="auto" w:fill="FFFFFF" w:themeFill="background1"/>
          </w:tcPr>
          <w:p w14:paraId="4529C784" w14:textId="15F005C8" w:rsidR="001B2E93" w:rsidRPr="00AA668C" w:rsidRDefault="006865FF" w:rsidP="00EA4433">
            <w:pPr>
              <w:rPr>
                <w:highlight w:val="yellow"/>
              </w:rPr>
            </w:pPr>
            <w:r w:rsidRPr="006865FF">
              <w:t>keine bzw. passend zu Release-Zyklus</w:t>
            </w:r>
          </w:p>
        </w:tc>
        <w:tc>
          <w:tcPr>
            <w:tcW w:w="2313" w:type="dxa"/>
            <w:shd w:val="clear" w:color="auto" w:fill="auto"/>
          </w:tcPr>
          <w:p w14:paraId="6BE36215" w14:textId="77777777" w:rsidR="001B2E93" w:rsidRPr="00D03F44" w:rsidRDefault="001B2E93" w:rsidP="00EA4433">
            <w:r w:rsidRPr="00D03F44">
              <w:t>ja</w:t>
            </w:r>
          </w:p>
        </w:tc>
      </w:tr>
      <w:tr w:rsidR="001B2E93" w14:paraId="5A12521E" w14:textId="77777777" w:rsidTr="001B2E93">
        <w:trPr>
          <w:trHeight w:val="616"/>
        </w:trPr>
        <w:tc>
          <w:tcPr>
            <w:tcW w:w="996" w:type="dxa"/>
            <w:vMerge w:val="restart"/>
            <w:shd w:val="clear" w:color="auto" w:fill="D9D9D9" w:themeFill="background1" w:themeFillShade="D9"/>
          </w:tcPr>
          <w:p w14:paraId="2626177D" w14:textId="77777777" w:rsidR="001B2E93" w:rsidRPr="0080207B" w:rsidRDefault="001B2E93" w:rsidP="00EA4433">
            <w:r w:rsidRPr="0080207B">
              <w:t>RDM</w:t>
            </w:r>
          </w:p>
        </w:tc>
        <w:tc>
          <w:tcPr>
            <w:tcW w:w="2433" w:type="dxa"/>
            <w:shd w:val="clear" w:color="auto" w:fill="auto"/>
          </w:tcPr>
          <w:p w14:paraId="1E5FD6B3" w14:textId="77777777" w:rsidR="001B2E93" w:rsidRPr="00C61B91" w:rsidRDefault="001B2E93" w:rsidP="00EA4433">
            <w:pPr>
              <w:rPr>
                <w:highlight w:val="yellow"/>
              </w:rPr>
            </w:pPr>
            <w:r w:rsidRPr="00C61B91">
              <w:t>Release-Einheit</w:t>
            </w:r>
          </w:p>
        </w:tc>
        <w:tc>
          <w:tcPr>
            <w:tcW w:w="2588" w:type="dxa"/>
            <w:shd w:val="clear" w:color="auto" w:fill="FFFFFF" w:themeFill="background1"/>
          </w:tcPr>
          <w:p w14:paraId="5DBC6505" w14:textId="5E0AB10A" w:rsidR="001B2E93" w:rsidRPr="00AA668C" w:rsidRDefault="001B2E93" w:rsidP="00EA4433">
            <w:pPr>
              <w:rPr>
                <w:highlight w:val="yellow"/>
              </w:rPr>
            </w:pPr>
            <w:r w:rsidRPr="006865FF">
              <w:t>klein</w:t>
            </w:r>
          </w:p>
        </w:tc>
        <w:tc>
          <w:tcPr>
            <w:tcW w:w="2313" w:type="dxa"/>
            <w:shd w:val="clear" w:color="auto" w:fill="auto"/>
          </w:tcPr>
          <w:p w14:paraId="01D817B6" w14:textId="20DA328F" w:rsidR="001B2E93" w:rsidRPr="00AA668C" w:rsidRDefault="00877DAC" w:rsidP="00EA4433">
            <w:pPr>
              <w:rPr>
                <w:highlight w:val="yellow"/>
              </w:rPr>
            </w:pPr>
            <w:r w:rsidRPr="00877DAC">
              <w:t>mittel</w:t>
            </w:r>
          </w:p>
        </w:tc>
      </w:tr>
      <w:tr w:rsidR="001B2E93" w14:paraId="6113200E" w14:textId="77777777" w:rsidTr="001B2E93">
        <w:trPr>
          <w:trHeight w:val="389"/>
        </w:trPr>
        <w:tc>
          <w:tcPr>
            <w:tcW w:w="996" w:type="dxa"/>
            <w:vMerge/>
            <w:shd w:val="clear" w:color="auto" w:fill="D9D9D9" w:themeFill="background1" w:themeFillShade="D9"/>
          </w:tcPr>
          <w:p w14:paraId="0BE5412A" w14:textId="77777777" w:rsidR="001B2E93" w:rsidRPr="0080207B" w:rsidRDefault="001B2E93" w:rsidP="00EA4433"/>
        </w:tc>
        <w:tc>
          <w:tcPr>
            <w:tcW w:w="2433" w:type="dxa"/>
            <w:shd w:val="clear" w:color="auto" w:fill="auto"/>
          </w:tcPr>
          <w:p w14:paraId="7501A0D3" w14:textId="77777777" w:rsidR="001B2E93" w:rsidRPr="00C61B91" w:rsidRDefault="001B2E93" w:rsidP="00EA4433">
            <w:pPr>
              <w:rPr>
                <w:highlight w:val="yellow"/>
              </w:rPr>
            </w:pPr>
            <w:r w:rsidRPr="00DC1C4F">
              <w:t>Release-Methode</w:t>
            </w:r>
          </w:p>
        </w:tc>
        <w:tc>
          <w:tcPr>
            <w:tcW w:w="2588" w:type="dxa"/>
            <w:shd w:val="clear" w:color="auto" w:fill="FFFFFF" w:themeFill="background1"/>
          </w:tcPr>
          <w:p w14:paraId="5A83C42C" w14:textId="17A5BFC3" w:rsidR="001B2E93" w:rsidRPr="00AA668C" w:rsidRDefault="001D4347" w:rsidP="001D4347">
            <w:pPr>
              <w:rPr>
                <w:highlight w:val="yellow"/>
              </w:rPr>
            </w:pPr>
            <w:r w:rsidRPr="001D4347">
              <w:t>P</w:t>
            </w:r>
            <w:r w:rsidR="001660B4" w:rsidRPr="001D4347">
              <w:t>hasen</w:t>
            </w:r>
            <w:r w:rsidRPr="001D4347">
              <w:t>ansatz mit</w:t>
            </w:r>
            <w:r w:rsidR="001B2E93" w:rsidRPr="001D4347">
              <w:t xml:space="preserve"> A/B</w:t>
            </w:r>
            <w:r w:rsidRPr="001D4347">
              <w:t>-Test</w:t>
            </w:r>
          </w:p>
        </w:tc>
        <w:tc>
          <w:tcPr>
            <w:tcW w:w="2313" w:type="dxa"/>
            <w:shd w:val="clear" w:color="auto" w:fill="auto"/>
          </w:tcPr>
          <w:p w14:paraId="6D1F33CD" w14:textId="4D5488E8" w:rsidR="001B2E93" w:rsidRPr="00877DAC" w:rsidRDefault="00877DAC" w:rsidP="00EA4433">
            <w:r>
              <w:t>b</w:t>
            </w:r>
            <w:r w:rsidR="001B2E93" w:rsidRPr="00877DAC">
              <w:t>ig bang</w:t>
            </w:r>
          </w:p>
        </w:tc>
      </w:tr>
      <w:tr w:rsidR="001B2E93" w14:paraId="1F8351DE" w14:textId="77777777" w:rsidTr="001B2E93">
        <w:trPr>
          <w:trHeight w:val="389"/>
        </w:trPr>
        <w:tc>
          <w:tcPr>
            <w:tcW w:w="996" w:type="dxa"/>
            <w:vMerge/>
            <w:shd w:val="clear" w:color="auto" w:fill="D9D9D9" w:themeFill="background1" w:themeFillShade="D9"/>
          </w:tcPr>
          <w:p w14:paraId="35C1982C" w14:textId="77777777" w:rsidR="001B2E93" w:rsidRPr="0080207B" w:rsidRDefault="001B2E93" w:rsidP="00EA4433"/>
        </w:tc>
        <w:tc>
          <w:tcPr>
            <w:tcW w:w="2433" w:type="dxa"/>
            <w:shd w:val="clear" w:color="auto" w:fill="auto"/>
          </w:tcPr>
          <w:p w14:paraId="5EF796B7" w14:textId="77777777" w:rsidR="001B2E93" w:rsidRPr="0080207B" w:rsidRDefault="001B2E93" w:rsidP="00EA4433">
            <w:r>
              <w:t>Automatisierungsgrad</w:t>
            </w:r>
          </w:p>
        </w:tc>
        <w:tc>
          <w:tcPr>
            <w:tcW w:w="2588" w:type="dxa"/>
            <w:shd w:val="clear" w:color="auto" w:fill="FFFFFF" w:themeFill="background1"/>
          </w:tcPr>
          <w:p w14:paraId="5B5DD64D" w14:textId="73F934DF" w:rsidR="001B2E93" w:rsidRPr="0019605F" w:rsidRDefault="001B2E93" w:rsidP="00EA4433">
            <w:r w:rsidRPr="0019605F">
              <w:t>hoch</w:t>
            </w:r>
          </w:p>
        </w:tc>
        <w:tc>
          <w:tcPr>
            <w:tcW w:w="2313" w:type="dxa"/>
            <w:shd w:val="clear" w:color="auto" w:fill="auto"/>
          </w:tcPr>
          <w:p w14:paraId="41958104" w14:textId="264655D1" w:rsidR="001B2E93" w:rsidRPr="00877DAC" w:rsidRDefault="001B2E93" w:rsidP="00EA4433">
            <w:r w:rsidRPr="00877DAC">
              <w:t>niedrig</w:t>
            </w:r>
          </w:p>
        </w:tc>
      </w:tr>
      <w:tr w:rsidR="001B2E93" w14:paraId="72D4083D" w14:textId="77777777" w:rsidTr="001B2E93">
        <w:trPr>
          <w:trHeight w:val="389"/>
        </w:trPr>
        <w:tc>
          <w:tcPr>
            <w:tcW w:w="996" w:type="dxa"/>
            <w:vMerge/>
            <w:shd w:val="clear" w:color="auto" w:fill="D9D9D9" w:themeFill="background1" w:themeFillShade="D9"/>
          </w:tcPr>
          <w:p w14:paraId="0BE87C35" w14:textId="77777777" w:rsidR="001B2E93" w:rsidRPr="0080207B" w:rsidRDefault="001B2E93" w:rsidP="00EA4433"/>
        </w:tc>
        <w:tc>
          <w:tcPr>
            <w:tcW w:w="2433" w:type="dxa"/>
            <w:shd w:val="clear" w:color="auto" w:fill="auto"/>
          </w:tcPr>
          <w:p w14:paraId="70F1A676" w14:textId="77777777" w:rsidR="001B2E93" w:rsidRPr="0080207B" w:rsidRDefault="001B2E93" w:rsidP="00EA4433">
            <w:r w:rsidRPr="00DC1C4F">
              <w:t>Remediation</w:t>
            </w:r>
          </w:p>
        </w:tc>
        <w:tc>
          <w:tcPr>
            <w:tcW w:w="2588" w:type="dxa"/>
            <w:shd w:val="clear" w:color="auto" w:fill="FFFFFF" w:themeFill="background1"/>
          </w:tcPr>
          <w:p w14:paraId="018BF954" w14:textId="64F8108A" w:rsidR="001B2E93" w:rsidRPr="0019605F" w:rsidRDefault="0019605F" w:rsidP="00EA4433">
            <w:r w:rsidRPr="0019605F">
              <w:t>g</w:t>
            </w:r>
            <w:r w:rsidR="001B2E93" w:rsidRPr="0019605F">
              <w:t>o forward</w:t>
            </w:r>
          </w:p>
        </w:tc>
        <w:tc>
          <w:tcPr>
            <w:tcW w:w="2313" w:type="dxa"/>
            <w:shd w:val="clear" w:color="auto" w:fill="auto"/>
          </w:tcPr>
          <w:p w14:paraId="0744BB59" w14:textId="14C1CFF5" w:rsidR="001B2E93" w:rsidRPr="005A29E2" w:rsidRDefault="005A29E2" w:rsidP="00EA4433">
            <w:r>
              <w:t>b</w:t>
            </w:r>
            <w:r w:rsidR="001B2E93" w:rsidRPr="005A29E2">
              <w:t>ack out</w:t>
            </w:r>
          </w:p>
        </w:tc>
      </w:tr>
      <w:tr w:rsidR="001B2E93" w14:paraId="5EEC2447" w14:textId="77777777" w:rsidTr="001B2E93">
        <w:trPr>
          <w:trHeight w:val="631"/>
        </w:trPr>
        <w:tc>
          <w:tcPr>
            <w:tcW w:w="996" w:type="dxa"/>
            <w:vMerge/>
            <w:shd w:val="clear" w:color="auto" w:fill="D9D9D9" w:themeFill="background1" w:themeFillShade="D9"/>
          </w:tcPr>
          <w:p w14:paraId="4B4D143B" w14:textId="77777777" w:rsidR="001B2E93" w:rsidRPr="0080207B" w:rsidRDefault="001B2E93" w:rsidP="00EA4433"/>
        </w:tc>
        <w:tc>
          <w:tcPr>
            <w:tcW w:w="2433" w:type="dxa"/>
            <w:shd w:val="clear" w:color="auto" w:fill="auto"/>
          </w:tcPr>
          <w:p w14:paraId="670DEFE0" w14:textId="77777777" w:rsidR="001B2E93" w:rsidRPr="0080207B" w:rsidRDefault="001B2E93" w:rsidP="00EA4433">
            <w:r>
              <w:t>Early Life Support</w:t>
            </w:r>
          </w:p>
        </w:tc>
        <w:tc>
          <w:tcPr>
            <w:tcW w:w="2588" w:type="dxa"/>
            <w:shd w:val="clear" w:color="auto" w:fill="FFFFFF" w:themeFill="background1"/>
          </w:tcPr>
          <w:p w14:paraId="1CB8596A" w14:textId="4CC27DAE" w:rsidR="001B2E93" w:rsidRPr="0019605F" w:rsidRDefault="0019605F" w:rsidP="00EA4433">
            <w:r w:rsidRPr="0019605F">
              <w:t>nein bzw. DevOps</w:t>
            </w:r>
          </w:p>
        </w:tc>
        <w:tc>
          <w:tcPr>
            <w:tcW w:w="2313" w:type="dxa"/>
            <w:shd w:val="clear" w:color="auto" w:fill="auto"/>
          </w:tcPr>
          <w:p w14:paraId="444D275E" w14:textId="77777777" w:rsidR="001B2E93" w:rsidRPr="005A29E2" w:rsidRDefault="001B2E93" w:rsidP="00EA4433">
            <w:r w:rsidRPr="005A29E2">
              <w:t>nein</w:t>
            </w:r>
          </w:p>
        </w:tc>
      </w:tr>
      <w:tr w:rsidR="001B2E93" w14:paraId="064D4E1C" w14:textId="77777777" w:rsidTr="001B2E93">
        <w:trPr>
          <w:trHeight w:val="390"/>
        </w:trPr>
        <w:tc>
          <w:tcPr>
            <w:tcW w:w="996" w:type="dxa"/>
            <w:vMerge w:val="restart"/>
            <w:shd w:val="clear" w:color="auto" w:fill="D9D9D9" w:themeFill="background1" w:themeFillShade="D9"/>
          </w:tcPr>
          <w:p w14:paraId="24389D8C" w14:textId="77777777" w:rsidR="001B2E93" w:rsidRPr="000D48A8" w:rsidRDefault="001B2E93" w:rsidP="00EA4433">
            <w:r w:rsidRPr="000D48A8">
              <w:t>SVT</w:t>
            </w:r>
          </w:p>
        </w:tc>
        <w:tc>
          <w:tcPr>
            <w:tcW w:w="2433" w:type="dxa"/>
            <w:shd w:val="clear" w:color="auto" w:fill="auto"/>
          </w:tcPr>
          <w:p w14:paraId="2B00D0F6" w14:textId="77777777" w:rsidR="001B2E93" w:rsidRPr="000D48A8" w:rsidRDefault="001B2E93" w:rsidP="00EA4433">
            <w:r w:rsidRPr="00DC1C4F">
              <w:t>Trennung Test/Entwicklung</w:t>
            </w:r>
          </w:p>
        </w:tc>
        <w:tc>
          <w:tcPr>
            <w:tcW w:w="2588" w:type="dxa"/>
            <w:shd w:val="clear" w:color="auto" w:fill="FFFFFF" w:themeFill="background1"/>
          </w:tcPr>
          <w:p w14:paraId="595D43AF" w14:textId="5088472A" w:rsidR="001B2E93" w:rsidRPr="0019605F" w:rsidRDefault="001B2E93" w:rsidP="00EA4433">
            <w:r w:rsidRPr="0019605F">
              <w:t>nein</w:t>
            </w:r>
          </w:p>
        </w:tc>
        <w:tc>
          <w:tcPr>
            <w:tcW w:w="2313" w:type="dxa"/>
            <w:shd w:val="clear" w:color="auto" w:fill="auto"/>
          </w:tcPr>
          <w:p w14:paraId="484125A0" w14:textId="3690FA7F" w:rsidR="001B2E93" w:rsidRPr="005A29E2" w:rsidRDefault="005A29E2" w:rsidP="00EA4433">
            <w:r w:rsidRPr="005A29E2">
              <w:t>nein</w:t>
            </w:r>
          </w:p>
        </w:tc>
      </w:tr>
      <w:tr w:rsidR="001B2E93" w14:paraId="619E0735" w14:textId="77777777" w:rsidTr="001B2E93">
        <w:trPr>
          <w:trHeight w:val="389"/>
        </w:trPr>
        <w:tc>
          <w:tcPr>
            <w:tcW w:w="996" w:type="dxa"/>
            <w:vMerge/>
            <w:shd w:val="clear" w:color="auto" w:fill="D9D9D9" w:themeFill="background1" w:themeFillShade="D9"/>
          </w:tcPr>
          <w:p w14:paraId="5EBA399F" w14:textId="77777777" w:rsidR="001B2E93" w:rsidRPr="000D48A8" w:rsidRDefault="001B2E93" w:rsidP="00EA4433"/>
        </w:tc>
        <w:tc>
          <w:tcPr>
            <w:tcW w:w="2433" w:type="dxa"/>
            <w:shd w:val="clear" w:color="auto" w:fill="auto"/>
          </w:tcPr>
          <w:p w14:paraId="29418478" w14:textId="77777777" w:rsidR="001B2E93" w:rsidRPr="000D48A8" w:rsidRDefault="001B2E93" w:rsidP="00EA4433">
            <w:r>
              <w:t>Frühzeitige</w:t>
            </w:r>
            <w:r w:rsidRPr="000D48A8">
              <w:t xml:space="preserve"> Test</w:t>
            </w:r>
            <w:r>
              <w:t>s</w:t>
            </w:r>
          </w:p>
        </w:tc>
        <w:tc>
          <w:tcPr>
            <w:tcW w:w="2588" w:type="dxa"/>
            <w:shd w:val="clear" w:color="auto" w:fill="FFFFFF" w:themeFill="background1"/>
          </w:tcPr>
          <w:p w14:paraId="5183C529" w14:textId="77777777" w:rsidR="001B2E93" w:rsidRPr="0019605F" w:rsidRDefault="001B2E93" w:rsidP="00EA4433">
            <w:r w:rsidRPr="0019605F">
              <w:t>ja</w:t>
            </w:r>
          </w:p>
        </w:tc>
        <w:tc>
          <w:tcPr>
            <w:tcW w:w="2313" w:type="dxa"/>
            <w:shd w:val="clear" w:color="auto" w:fill="auto"/>
          </w:tcPr>
          <w:p w14:paraId="09281443" w14:textId="35B3413C" w:rsidR="001B2E93" w:rsidRPr="00AA668C" w:rsidRDefault="005A29E2" w:rsidP="00EA4433">
            <w:pPr>
              <w:rPr>
                <w:highlight w:val="yellow"/>
              </w:rPr>
            </w:pPr>
            <w:r w:rsidRPr="005A29E2">
              <w:t>ja</w:t>
            </w:r>
          </w:p>
        </w:tc>
      </w:tr>
      <w:tr w:rsidR="001B2E93" w14:paraId="312610ED" w14:textId="77777777" w:rsidTr="001B2E93">
        <w:trPr>
          <w:trHeight w:val="389"/>
        </w:trPr>
        <w:tc>
          <w:tcPr>
            <w:tcW w:w="996" w:type="dxa"/>
            <w:vMerge/>
            <w:shd w:val="clear" w:color="auto" w:fill="D9D9D9" w:themeFill="background1" w:themeFillShade="D9"/>
          </w:tcPr>
          <w:p w14:paraId="0687774A" w14:textId="77777777" w:rsidR="001B2E93" w:rsidRPr="000D48A8" w:rsidRDefault="001B2E93" w:rsidP="00EA4433"/>
        </w:tc>
        <w:tc>
          <w:tcPr>
            <w:tcW w:w="2433" w:type="dxa"/>
            <w:shd w:val="clear" w:color="auto" w:fill="auto"/>
          </w:tcPr>
          <w:p w14:paraId="15F80F1A" w14:textId="77777777" w:rsidR="001B2E93" w:rsidRPr="000D48A8" w:rsidRDefault="001B2E93" w:rsidP="00EA4433">
            <w:r w:rsidRPr="000D48A8">
              <w:t>Endnutzertest</w:t>
            </w:r>
          </w:p>
        </w:tc>
        <w:tc>
          <w:tcPr>
            <w:tcW w:w="2588" w:type="dxa"/>
            <w:shd w:val="clear" w:color="auto" w:fill="FFFFFF" w:themeFill="background1"/>
          </w:tcPr>
          <w:p w14:paraId="68681B47" w14:textId="1F390382" w:rsidR="001B2E93" w:rsidRPr="0019605F" w:rsidRDefault="001B2E93" w:rsidP="00EA4433">
            <w:r w:rsidRPr="0019605F">
              <w:t>ja</w:t>
            </w:r>
          </w:p>
        </w:tc>
        <w:tc>
          <w:tcPr>
            <w:tcW w:w="2313" w:type="dxa"/>
            <w:shd w:val="clear" w:color="auto" w:fill="auto"/>
          </w:tcPr>
          <w:p w14:paraId="6FC9F0C1" w14:textId="3136AF67" w:rsidR="001B2E93" w:rsidRPr="00AA668C" w:rsidRDefault="003D44A4" w:rsidP="00EA4433">
            <w:pPr>
              <w:rPr>
                <w:highlight w:val="yellow"/>
              </w:rPr>
            </w:pPr>
            <w:r w:rsidRPr="003D44A4">
              <w:t>bedingt</w:t>
            </w:r>
          </w:p>
        </w:tc>
      </w:tr>
      <w:tr w:rsidR="001B2E93" w14:paraId="65B6C7A8" w14:textId="77777777" w:rsidTr="001B2E93">
        <w:trPr>
          <w:trHeight w:val="617"/>
        </w:trPr>
        <w:tc>
          <w:tcPr>
            <w:tcW w:w="996" w:type="dxa"/>
            <w:vMerge/>
            <w:shd w:val="clear" w:color="auto" w:fill="D9D9D9" w:themeFill="background1" w:themeFillShade="D9"/>
          </w:tcPr>
          <w:p w14:paraId="1C6434D5" w14:textId="77777777" w:rsidR="001B2E93" w:rsidRPr="000D48A8" w:rsidRDefault="001B2E93" w:rsidP="00EA4433"/>
        </w:tc>
        <w:tc>
          <w:tcPr>
            <w:tcW w:w="2433" w:type="dxa"/>
            <w:shd w:val="clear" w:color="auto" w:fill="auto"/>
          </w:tcPr>
          <w:p w14:paraId="4B4B95F6" w14:textId="77777777" w:rsidR="001B2E93" w:rsidRPr="000D48A8" w:rsidRDefault="001B2E93" w:rsidP="00EA4433">
            <w:r w:rsidRPr="000D48A8">
              <w:t>Testautomatisierung</w:t>
            </w:r>
          </w:p>
        </w:tc>
        <w:tc>
          <w:tcPr>
            <w:tcW w:w="2588" w:type="dxa"/>
            <w:shd w:val="clear" w:color="auto" w:fill="FFFFFF" w:themeFill="background1"/>
          </w:tcPr>
          <w:p w14:paraId="2DC4DC41" w14:textId="661BBE80" w:rsidR="001B2E93" w:rsidRPr="0019605F" w:rsidRDefault="00AF4AEE" w:rsidP="00EA4433">
            <w:r>
              <w:t>hoch</w:t>
            </w:r>
          </w:p>
        </w:tc>
        <w:tc>
          <w:tcPr>
            <w:tcW w:w="2313" w:type="dxa"/>
            <w:shd w:val="clear" w:color="auto" w:fill="auto"/>
          </w:tcPr>
          <w:p w14:paraId="3466C595" w14:textId="3CB1A18F" w:rsidR="001B2E93" w:rsidRPr="00AA668C" w:rsidRDefault="003D44A4" w:rsidP="00EA4433">
            <w:pPr>
              <w:rPr>
                <w:highlight w:val="yellow"/>
              </w:rPr>
            </w:pPr>
            <w:r w:rsidRPr="003D44A4">
              <w:t>niedrig</w:t>
            </w:r>
          </w:p>
        </w:tc>
      </w:tr>
    </w:tbl>
    <w:p w14:paraId="280AB9CC" w14:textId="5BCFAD8B" w:rsidR="00386B1B" w:rsidRDefault="00EA4433" w:rsidP="00EA4433">
      <w:pPr>
        <w:pStyle w:val="Beschriftung"/>
      </w:pPr>
      <w:bookmarkStart w:id="102" w:name="_Ref455666335"/>
      <w:bookmarkStart w:id="103" w:name="_Toc456884998"/>
      <w:r>
        <w:t xml:space="preserve">Tabelle </w:t>
      </w:r>
      <w:r w:rsidR="005F5E76">
        <w:fldChar w:fldCharType="begin"/>
      </w:r>
      <w:r w:rsidR="005F5E76">
        <w:instrText xml:space="preserve"> STYLEREF 1 \s </w:instrText>
      </w:r>
      <w:r w:rsidR="005F5E76">
        <w:fldChar w:fldCharType="separate"/>
      </w:r>
      <w:r>
        <w:rPr>
          <w:noProof/>
        </w:rPr>
        <w:t>5</w:t>
      </w:r>
      <w:r w:rsidR="005F5E76">
        <w:rPr>
          <w:noProof/>
        </w:rPr>
        <w:fldChar w:fldCharType="end"/>
      </w:r>
      <w:r>
        <w:t>.</w:t>
      </w:r>
      <w:r w:rsidR="005F5E76">
        <w:fldChar w:fldCharType="begin"/>
      </w:r>
      <w:r w:rsidR="005F5E76">
        <w:instrText xml:space="preserve"> SEQ Tabelle \* ARABIC \s 1 </w:instrText>
      </w:r>
      <w:r w:rsidR="005F5E76">
        <w:fldChar w:fldCharType="separate"/>
      </w:r>
      <w:r>
        <w:rPr>
          <w:noProof/>
        </w:rPr>
        <w:t>1</w:t>
      </w:r>
      <w:r w:rsidR="005F5E76">
        <w:rPr>
          <w:noProof/>
        </w:rPr>
        <w:fldChar w:fldCharType="end"/>
      </w:r>
      <w:bookmarkEnd w:id="102"/>
      <w:r>
        <w:t>: Zusammenfassung der Ausprägungen der Standardtypen</w:t>
      </w:r>
      <w:bookmarkEnd w:id="103"/>
    </w:p>
    <w:p w14:paraId="5EAD92CD" w14:textId="43E5A3F4" w:rsidR="00EA4433" w:rsidRDefault="00EA4433" w:rsidP="00EA4433">
      <w:pPr>
        <w:jc w:val="center"/>
      </w:pPr>
      <w:r>
        <w:t>Quelle: eigene Tabelle</w:t>
      </w:r>
    </w:p>
    <w:p w14:paraId="49992B77" w14:textId="142560CE" w:rsidR="0019605F" w:rsidRPr="00EA4433" w:rsidRDefault="0019605F" w:rsidP="0019605F">
      <w:r>
        <w:t>Im Anschluss an die Herleitung der Standardtypen und deren Ausprägung erfolgt im folgenden Kapitel die kritische Betrachtung der Erkenntnisse.</w:t>
      </w:r>
    </w:p>
    <w:p w14:paraId="6583C079" w14:textId="77777777" w:rsidR="00461FAA" w:rsidRDefault="00461FAA" w:rsidP="00461FAA">
      <w:pPr>
        <w:pStyle w:val="berschrift1"/>
      </w:pPr>
      <w:bookmarkStart w:id="104" w:name="_Ref442964028"/>
      <w:bookmarkStart w:id="105" w:name="_Toc456884985"/>
      <w:r>
        <w:lastRenderedPageBreak/>
        <w:t>Kritische Würdigung der Standardtypen</w:t>
      </w:r>
      <w:bookmarkEnd w:id="104"/>
      <w:bookmarkEnd w:id="105"/>
    </w:p>
    <w:p w14:paraId="56B83E54" w14:textId="414B63EF" w:rsidR="00853517" w:rsidRDefault="00853517" w:rsidP="00803CAA">
      <w:pPr>
        <w:rPr>
          <w:highlight w:val="yellow"/>
        </w:rPr>
      </w:pPr>
      <w:r w:rsidRPr="00853517">
        <w:rPr>
          <w:highlight w:val="yellow"/>
        </w:rPr>
        <w:t>Konkrete</w:t>
      </w:r>
      <w:r w:rsidR="001660B4">
        <w:rPr>
          <w:highlight w:val="yellow"/>
        </w:rPr>
        <w:t>re</w:t>
      </w:r>
      <w:r w:rsidRPr="00853517">
        <w:rPr>
          <w:highlight w:val="yellow"/>
        </w:rPr>
        <w:t xml:space="preserve"> Vorgaben anstatt generisch wie ITIL</w:t>
      </w:r>
      <w:r w:rsidR="00EA4433">
        <w:rPr>
          <w:highlight w:val="yellow"/>
        </w:rPr>
        <w:t xml:space="preserve">, jedoch Vorgaben nur Vorschlag und konkret zu untersuchen bzlg. </w:t>
      </w:r>
      <w:r w:rsidR="00AF4AEE">
        <w:rPr>
          <w:highlight w:val="yellow"/>
        </w:rPr>
        <w:t>A</w:t>
      </w:r>
      <w:r w:rsidR="00EA4433">
        <w:rPr>
          <w:highlight w:val="yellow"/>
        </w:rPr>
        <w:t>usgestaltung</w:t>
      </w:r>
    </w:p>
    <w:p w14:paraId="5C540EA4" w14:textId="25375D6B" w:rsidR="00AF4AEE" w:rsidRPr="00853517" w:rsidRDefault="00AF4AEE" w:rsidP="00803CAA">
      <w:pPr>
        <w:rPr>
          <w:highlight w:val="yellow"/>
        </w:rPr>
      </w:pPr>
      <w:r>
        <w:rPr>
          <w:highlight w:val="yellow"/>
        </w:rPr>
        <w:t>Herleitung an sich logisch</w:t>
      </w:r>
    </w:p>
    <w:p w14:paraId="05551E8C" w14:textId="2548B60B" w:rsidR="00803CAA" w:rsidRDefault="001660B4" w:rsidP="00803CAA">
      <w:pPr>
        <w:rPr>
          <w:highlight w:val="yellow"/>
        </w:rPr>
      </w:pPr>
      <w:r>
        <w:rPr>
          <w:highlight w:val="yellow"/>
        </w:rPr>
        <w:t xml:space="preserve">Neben Lebenszyklus </w:t>
      </w:r>
      <w:r w:rsidR="00BC71A2" w:rsidRPr="00853517">
        <w:rPr>
          <w:highlight w:val="yellow"/>
        </w:rPr>
        <w:t>Ander</w:t>
      </w:r>
      <w:r w:rsidR="00382961" w:rsidRPr="00853517">
        <w:rPr>
          <w:highlight w:val="yellow"/>
        </w:rPr>
        <w:t xml:space="preserve">e Faktoren relevant, z. B. Portfolio </w:t>
      </w:r>
      <w:sdt>
        <w:sdtPr>
          <w:rPr>
            <w:highlight w:val="yellow"/>
          </w:rPr>
          <w:id w:val="-851721241"/>
          <w:citation/>
        </w:sdtPr>
        <w:sdtEndPr/>
        <w:sdtContent>
          <w:r w:rsidR="00382961" w:rsidRPr="00853517">
            <w:rPr>
              <w:highlight w:val="yellow"/>
            </w:rPr>
            <w:fldChar w:fldCharType="begin"/>
          </w:r>
          <w:r w:rsidR="00382961" w:rsidRPr="00853517">
            <w:rPr>
              <w:highlight w:val="yellow"/>
            </w:rPr>
            <w:instrText xml:space="preserve">CITATION Aum09 \p "S. 54 ff." \l 1031 </w:instrText>
          </w:r>
          <w:r w:rsidR="00382961" w:rsidRPr="00853517">
            <w:rPr>
              <w:highlight w:val="yellow"/>
            </w:rPr>
            <w:fldChar w:fldCharType="separate"/>
          </w:r>
          <w:r w:rsidR="00382961" w:rsidRPr="00853517">
            <w:rPr>
              <w:noProof/>
              <w:highlight w:val="yellow"/>
            </w:rPr>
            <w:t>(Aumayr 2009, S. 54 ff.)</w:t>
          </w:r>
          <w:r w:rsidR="00382961" w:rsidRPr="00853517">
            <w:rPr>
              <w:highlight w:val="yellow"/>
            </w:rPr>
            <w:fldChar w:fldCharType="end"/>
          </w:r>
        </w:sdtContent>
      </w:sdt>
      <w:r w:rsidR="00BF202D" w:rsidRPr="00853517">
        <w:rPr>
          <w:highlight w:val="yellow"/>
        </w:rPr>
        <w:t>, Marktlebenszyklus (Aumayr 296 ff.)</w:t>
      </w:r>
      <w:r w:rsidR="00F3225E">
        <w:rPr>
          <w:highlight w:val="yellow"/>
        </w:rPr>
        <w:t>,</w:t>
      </w:r>
      <w:r w:rsidR="00EA4433">
        <w:rPr>
          <w:highlight w:val="yellow"/>
        </w:rPr>
        <w:t xml:space="preserve"> marktstellung (monopol -&gt; jederzeit gefahr verlust monopol),</w:t>
      </w:r>
      <w:r w:rsidR="00F3225E">
        <w:rPr>
          <w:highlight w:val="yellow"/>
        </w:rPr>
        <w:t xml:space="preserve"> branche</w:t>
      </w:r>
      <w:r w:rsidR="003362A0">
        <w:rPr>
          <w:highlight w:val="yellow"/>
        </w:rPr>
        <w:t xml:space="preserve"> (medizin, atomkraftwerk, raumfahrt/luftfahrt</w:t>
      </w:r>
      <w:r w:rsidR="002D0A8D">
        <w:rPr>
          <w:highlight w:val="yellow"/>
        </w:rPr>
        <w:t xml:space="preserve">, militär </w:t>
      </w:r>
      <w:sdt>
        <w:sdtPr>
          <w:rPr>
            <w:highlight w:val="yellow"/>
          </w:rPr>
          <w:id w:val="1205683621"/>
          <w:citation/>
        </w:sdtPr>
        <w:sdtEndPr/>
        <w:sdtContent>
          <w:r w:rsidR="002D0A8D">
            <w:rPr>
              <w:highlight w:val="yellow"/>
            </w:rPr>
            <w:fldChar w:fldCharType="begin"/>
          </w:r>
          <w:r w:rsidR="002D0A8D">
            <w:rPr>
              <w:highlight w:val="yellow"/>
            </w:rPr>
            <w:instrText xml:space="preserve">CITATION AXE11 \p "S. 161" \l 1031 </w:instrText>
          </w:r>
          <w:r w:rsidR="002D0A8D">
            <w:rPr>
              <w:highlight w:val="yellow"/>
            </w:rPr>
            <w:fldChar w:fldCharType="separate"/>
          </w:r>
          <w:r w:rsidR="002D0A8D" w:rsidRPr="002D0A8D">
            <w:rPr>
              <w:noProof/>
              <w:highlight w:val="yellow"/>
            </w:rPr>
            <w:t>(AXELOS 2011, S. 161)</w:t>
          </w:r>
          <w:r w:rsidR="002D0A8D">
            <w:rPr>
              <w:highlight w:val="yellow"/>
            </w:rPr>
            <w:fldChar w:fldCharType="end"/>
          </w:r>
        </w:sdtContent>
      </w:sdt>
      <w:r w:rsidR="003362A0">
        <w:rPr>
          <w:highlight w:val="yellow"/>
        </w:rPr>
        <w:t>)</w:t>
      </w:r>
      <w:r w:rsidR="00F3225E">
        <w:rPr>
          <w:highlight w:val="yellow"/>
        </w:rPr>
        <w:t xml:space="preserve">?, endkunden (gk/PK) vs. Backendsystem, </w:t>
      </w:r>
      <w:r w:rsidR="00EA4433">
        <w:rPr>
          <w:highlight w:val="yellow"/>
        </w:rPr>
        <w:t xml:space="preserve">Nutzer (jung / alt), </w:t>
      </w:r>
      <w:r w:rsidR="00F3225E">
        <w:rPr>
          <w:highlight w:val="yellow"/>
        </w:rPr>
        <w:t>s. 1. Entwurf Expose</w:t>
      </w:r>
      <w:r w:rsidR="003362A0">
        <w:rPr>
          <w:highlight w:val="yellow"/>
        </w:rPr>
        <w:t xml:space="preserve"> -&gt; SACM zeigt dass es weitere relevante unterschiede gibt</w:t>
      </w:r>
    </w:p>
    <w:p w14:paraId="250FE572" w14:textId="717C9DAF" w:rsidR="003362A0" w:rsidRPr="0045774F" w:rsidRDefault="003362A0" w:rsidP="00803CAA">
      <w:pPr>
        <w:rPr>
          <w:highlight w:val="yellow"/>
        </w:rPr>
      </w:pPr>
      <w:r w:rsidRPr="0045774F">
        <w:rPr>
          <w:highlight w:val="yellow"/>
        </w:rPr>
        <w:t xml:space="preserve">Schneller Zyklus nicht </w:t>
      </w:r>
      <w:r w:rsidR="001660B4">
        <w:rPr>
          <w:highlight w:val="yellow"/>
        </w:rPr>
        <w:t xml:space="preserve">immer </w:t>
      </w:r>
      <w:r w:rsidRPr="0045774F">
        <w:rPr>
          <w:highlight w:val="yellow"/>
        </w:rPr>
        <w:t>möglich bei Schnittstellen, externen zertifikaten</w:t>
      </w:r>
    </w:p>
    <w:p w14:paraId="6633E019" w14:textId="131095AD" w:rsidR="0074599A" w:rsidRPr="0045774F" w:rsidRDefault="0074599A" w:rsidP="00803CAA">
      <w:pPr>
        <w:rPr>
          <w:highlight w:val="yellow"/>
        </w:rPr>
      </w:pPr>
      <w:r w:rsidRPr="0045774F">
        <w:rPr>
          <w:highlight w:val="yellow"/>
        </w:rPr>
        <w:t xml:space="preserve">Risiko ja/nein bei Produkten und Prozessfaktoren </w:t>
      </w:r>
      <w:r w:rsidR="001660B4">
        <w:rPr>
          <w:highlight w:val="yellow"/>
        </w:rPr>
        <w:t xml:space="preserve">zu abstrakt, besser einstufung </w:t>
      </w:r>
      <w:r w:rsidR="00EA4433" w:rsidRPr="0045774F">
        <w:rPr>
          <w:highlight w:val="yellow"/>
        </w:rPr>
        <w:t>mit granularer ausprägung</w:t>
      </w:r>
    </w:p>
    <w:p w14:paraId="432FA6C6" w14:textId="02F4A96F" w:rsidR="0074599A" w:rsidRPr="0045774F" w:rsidRDefault="0074599A" w:rsidP="00803CAA">
      <w:pPr>
        <w:rPr>
          <w:highlight w:val="yellow"/>
        </w:rPr>
      </w:pPr>
      <w:r w:rsidRPr="0045774F">
        <w:rPr>
          <w:highlight w:val="yellow"/>
        </w:rPr>
        <w:t>Prinzipiell alles Auswirkung auf Kosten</w:t>
      </w:r>
      <w:sdt>
        <w:sdtPr>
          <w:rPr>
            <w:highlight w:val="yellow"/>
          </w:rPr>
          <w:id w:val="314383735"/>
          <w:citation/>
        </w:sdtPr>
        <w:sdtEndPr/>
        <w:sdtContent>
          <w:r w:rsidR="001473E0" w:rsidRPr="0045774F">
            <w:rPr>
              <w:highlight w:val="yellow"/>
            </w:rPr>
            <w:fldChar w:fldCharType="begin"/>
          </w:r>
          <w:r w:rsidR="001473E0" w:rsidRPr="0045774F">
            <w:rPr>
              <w:highlight w:val="yellow"/>
            </w:rPr>
            <w:instrText xml:space="preserve"> CITATION Gra16 \l 1031 </w:instrText>
          </w:r>
          <w:r w:rsidR="001473E0" w:rsidRPr="0045774F">
            <w:rPr>
              <w:highlight w:val="yellow"/>
            </w:rPr>
            <w:fldChar w:fldCharType="separate"/>
          </w:r>
          <w:r w:rsidR="001473E0" w:rsidRPr="0045774F">
            <w:rPr>
              <w:noProof/>
              <w:highlight w:val="yellow"/>
            </w:rPr>
            <w:t xml:space="preserve"> (Grawe 2016)</w:t>
          </w:r>
          <w:r w:rsidR="001473E0" w:rsidRPr="0045774F">
            <w:rPr>
              <w:highlight w:val="yellow"/>
            </w:rPr>
            <w:fldChar w:fldCharType="end"/>
          </w:r>
        </w:sdtContent>
      </w:sdt>
      <w:r w:rsidR="00D03F44">
        <w:rPr>
          <w:highlight w:val="yellow"/>
        </w:rPr>
        <w:t>, konkrete kostenbetrachtung fehlt zur erhärtung unbedingt notwendig</w:t>
      </w:r>
      <w:r w:rsidR="00EF4AF6">
        <w:rPr>
          <w:highlight w:val="yellow"/>
        </w:rPr>
        <w:t>, zeit typ ohne kosten unwahrscheinlich, da auch hier kosten/nutzen abzuwiegen, laut studie lohnt sich devops aber (folie zu ROI bei puppet16), die Studie ist jedoch von Firmen aus diesem Umsatzfeld, daher nicht unabhängig – unabhängige ähnelich aufgesetzte studie sinnvoll</w:t>
      </w:r>
    </w:p>
    <w:p w14:paraId="130F1A8D" w14:textId="457A596E" w:rsidR="003052A2" w:rsidRPr="0045774F" w:rsidRDefault="003052A2" w:rsidP="00803CAA">
      <w:pPr>
        <w:rPr>
          <w:highlight w:val="yellow"/>
        </w:rPr>
      </w:pPr>
      <w:r w:rsidRPr="0045774F">
        <w:rPr>
          <w:highlight w:val="yellow"/>
        </w:rPr>
        <w:t>Wie erfolgt Übergang zwischen Standardtypen?</w:t>
      </w:r>
    </w:p>
    <w:p w14:paraId="2ACCCB1E" w14:textId="4CD119E1" w:rsidR="00F144F5" w:rsidRDefault="00461FAA" w:rsidP="00461FAA">
      <w:pPr>
        <w:pStyle w:val="berschrift1"/>
      </w:pPr>
      <w:bookmarkStart w:id="106" w:name="_Ref442964164"/>
      <w:bookmarkStart w:id="107" w:name="_Toc456884986"/>
      <w:r>
        <w:lastRenderedPageBreak/>
        <w:t>Evaluation der Zielerreichung und Ausblick</w:t>
      </w:r>
      <w:bookmarkEnd w:id="106"/>
      <w:bookmarkEnd w:id="107"/>
    </w:p>
    <w:p w14:paraId="185127A1" w14:textId="087B6603" w:rsidR="00C84BCE" w:rsidRPr="00C84BCE" w:rsidRDefault="00C84BCE" w:rsidP="00803CAA">
      <w:pPr>
        <w:rPr>
          <w:highlight w:val="yellow"/>
        </w:rPr>
      </w:pPr>
      <w:r w:rsidRPr="00C84BCE">
        <w:rPr>
          <w:highlight w:val="yellow"/>
        </w:rPr>
        <w:t>Ziel wiederholen</w:t>
      </w:r>
    </w:p>
    <w:p w14:paraId="7C69F8D1" w14:textId="3E937DCC" w:rsidR="00C84BCE" w:rsidRPr="00C84BCE" w:rsidRDefault="00C84BCE" w:rsidP="00803CAA">
      <w:pPr>
        <w:rPr>
          <w:highlight w:val="yellow"/>
        </w:rPr>
      </w:pPr>
      <w:r w:rsidRPr="00C84BCE">
        <w:rPr>
          <w:highlight w:val="yellow"/>
        </w:rPr>
        <w:t>Herangehensweise kurz wiederholen</w:t>
      </w:r>
    </w:p>
    <w:p w14:paraId="01052CC7" w14:textId="3B4DDB18" w:rsidR="00C84BCE" w:rsidRPr="00C84BCE" w:rsidRDefault="00C84BCE" w:rsidP="00803CAA">
      <w:pPr>
        <w:rPr>
          <w:highlight w:val="yellow"/>
        </w:rPr>
      </w:pPr>
      <w:r w:rsidRPr="00C84BCE">
        <w:rPr>
          <w:highlight w:val="yellow"/>
        </w:rPr>
        <w:t>Ergebnis kurz beschreiben</w:t>
      </w:r>
    </w:p>
    <w:p w14:paraId="55AA4836" w14:textId="6C4D10B6" w:rsidR="00803CAA" w:rsidRDefault="00BD63D2" w:rsidP="00803CAA">
      <w:pPr>
        <w:rPr>
          <w:highlight w:val="yellow"/>
        </w:rPr>
      </w:pPr>
      <w:r w:rsidRPr="00C84BCE">
        <w:rPr>
          <w:highlight w:val="yellow"/>
        </w:rPr>
        <w:t>Hypothese bestätigt?</w:t>
      </w:r>
    </w:p>
    <w:p w14:paraId="74C0CFAD" w14:textId="03929B5C" w:rsidR="00877DAC" w:rsidRPr="00C84BCE" w:rsidRDefault="00877DAC" w:rsidP="00803CAA">
      <w:pPr>
        <w:rPr>
          <w:highlight w:val="yellow"/>
        </w:rPr>
      </w:pPr>
      <w:r>
        <w:rPr>
          <w:highlight w:val="yellow"/>
        </w:rPr>
        <w:t>Nicht für alles devops, nur wenn voraussetzungen erfüllt und es lohnt</w:t>
      </w:r>
    </w:p>
    <w:p w14:paraId="4FF395F8" w14:textId="79131157" w:rsidR="00803CAA" w:rsidRPr="00C84BCE" w:rsidRDefault="00BD63D2" w:rsidP="00803CAA">
      <w:pPr>
        <w:rPr>
          <w:highlight w:val="yellow"/>
        </w:rPr>
      </w:pPr>
      <w:r w:rsidRPr="00C84BCE">
        <w:rPr>
          <w:highlight w:val="yellow"/>
        </w:rPr>
        <w:t xml:space="preserve">Ausblick: </w:t>
      </w:r>
      <w:r w:rsidR="00803CAA" w:rsidRPr="00C84BCE">
        <w:rPr>
          <w:highlight w:val="yellow"/>
        </w:rPr>
        <w:t>Andere Faktoren untersuchen wie z. B. Branche, Daten etc.</w:t>
      </w:r>
      <w:bookmarkStart w:id="108" w:name="_Toc415465643"/>
      <w:bookmarkStart w:id="109" w:name="_Ref414785387"/>
      <w:bookmarkStart w:id="110" w:name="_Ref418325438"/>
      <w:bookmarkStart w:id="111" w:name="_Toc415465661"/>
      <w:bookmarkStart w:id="112" w:name="_Toc410799451"/>
      <w:bookmarkStart w:id="113" w:name="_Toc410799366"/>
      <w:bookmarkStart w:id="114" w:name="_Toc410799446"/>
      <w:bookmarkStart w:id="115" w:name="_Toc410799361"/>
    </w:p>
    <w:p w14:paraId="786742BF" w14:textId="5AC5BD9D" w:rsidR="00BD63D2" w:rsidRPr="00803CAA" w:rsidRDefault="00BD63D2" w:rsidP="00803CAA">
      <w:pPr>
        <w:sectPr w:rsidR="00BD63D2" w:rsidRPr="00803CAA" w:rsidSect="0039651B">
          <w:headerReference w:type="default" r:id="rId21"/>
          <w:pgSz w:w="11906" w:h="16838"/>
          <w:pgMar w:top="1134" w:right="1418" w:bottom="1134" w:left="2268" w:header="709" w:footer="709" w:gutter="0"/>
          <w:pgNumType w:start="1"/>
          <w:cols w:space="708"/>
        </w:sectPr>
      </w:pPr>
      <w:r w:rsidRPr="00C84BCE">
        <w:rPr>
          <w:highlight w:val="yellow"/>
        </w:rPr>
        <w:t>Konkretisierung der Werte bzw. empirischer Nachweise der konkreten</w:t>
      </w:r>
    </w:p>
    <w:bookmarkEnd w:id="115" w:displacedByCustomXml="next"/>
    <w:bookmarkEnd w:id="114" w:displacedByCustomXml="next"/>
    <w:bookmarkEnd w:id="113" w:displacedByCustomXml="next"/>
    <w:bookmarkEnd w:id="112" w:displacedByCustomXml="next"/>
    <w:bookmarkEnd w:id="111" w:displacedByCustomXml="next"/>
    <w:bookmarkEnd w:id="110" w:displacedByCustomXml="next"/>
    <w:bookmarkEnd w:id="109" w:displacedByCustomXml="next"/>
    <w:bookmarkEnd w:id="108" w:displacedByCustomXml="next"/>
    <w:bookmarkStart w:id="116" w:name="_Toc456884987" w:displacedByCustomXml="next"/>
    <w:sdt>
      <w:sdtPr>
        <w:rPr>
          <w:b w:val="0"/>
          <w:kern w:val="0"/>
          <w:sz w:val="20"/>
        </w:rPr>
        <w:id w:val="1513423826"/>
        <w:docPartObj>
          <w:docPartGallery w:val="Bibliographies"/>
          <w:docPartUnique/>
        </w:docPartObj>
      </w:sdtPr>
      <w:sdtEndPr/>
      <w:sdtContent>
        <w:p w14:paraId="6100D2E8" w14:textId="7EA8CF06" w:rsidR="00461FAA" w:rsidRDefault="00461FAA">
          <w:pPr>
            <w:pStyle w:val="berschrift1"/>
          </w:pPr>
          <w:r>
            <w:t>Literaturverzeichnis</w:t>
          </w:r>
          <w:bookmarkEnd w:id="116"/>
        </w:p>
        <w:sdt>
          <w:sdtPr>
            <w:id w:val="111145805"/>
            <w:bibliography/>
          </w:sdtPr>
          <w:sdtEndPr/>
          <w:sdtContent>
            <w:p w14:paraId="14E53365" w14:textId="77777777" w:rsidR="007F2580" w:rsidRDefault="00461FAA" w:rsidP="007F2580">
              <w:pPr>
                <w:pStyle w:val="Literaturverzeichnis"/>
                <w:rPr>
                  <w:noProof/>
                  <w:sz w:val="24"/>
                  <w:szCs w:val="24"/>
                </w:rPr>
              </w:pPr>
              <w:r>
                <w:fldChar w:fldCharType="begin"/>
              </w:r>
              <w:r>
                <w:instrText>BIBLIOGRAPHY</w:instrText>
              </w:r>
              <w:r>
                <w:fldChar w:fldCharType="separate"/>
              </w:r>
              <w:r w:rsidR="007F2580">
                <w:rPr>
                  <w:noProof/>
                </w:rPr>
                <w:t xml:space="preserve">Aumayr, K. J. </w:t>
              </w:r>
              <w:r w:rsidR="007F2580">
                <w:rPr>
                  <w:i/>
                  <w:iCs/>
                  <w:noProof/>
                </w:rPr>
                <w:t>Erfolgreiches Produktmanagement. Tool-Box für das professionelle Produktmanagement und Produktmartketing.</w:t>
              </w:r>
              <w:r w:rsidR="007F2580">
                <w:rPr>
                  <w:noProof/>
                </w:rPr>
                <w:t xml:space="preserve"> 2. Auflage. Wiesbaden: Gabler, 2009.</w:t>
              </w:r>
            </w:p>
            <w:p w14:paraId="37F177C4" w14:textId="77777777" w:rsidR="007F2580" w:rsidRDefault="007F2580" w:rsidP="007F2580">
              <w:pPr>
                <w:pStyle w:val="Literaturverzeichnis"/>
                <w:rPr>
                  <w:noProof/>
                </w:rPr>
              </w:pPr>
              <w:r>
                <w:rPr>
                  <w:noProof/>
                </w:rPr>
                <w:t xml:space="preserve">Auner, K. </w:t>
              </w:r>
              <w:r>
                <w:rPr>
                  <w:i/>
                  <w:iCs/>
                  <w:noProof/>
                </w:rPr>
                <w:t>ITIL-COBIT-Mapping: Gemeinsamkeiten und Unterschiede der IT-Standards.</w:t>
              </w:r>
              <w:r>
                <w:rPr>
                  <w:noProof/>
                </w:rPr>
                <w:t xml:space="preserve"> 1. Düsseldorf: Symposium Publ., 2008.</w:t>
              </w:r>
            </w:p>
            <w:p w14:paraId="458C7E62" w14:textId="77777777" w:rsidR="007F2580" w:rsidRDefault="007F2580" w:rsidP="007F2580">
              <w:pPr>
                <w:pStyle w:val="Literaturverzeichnis"/>
                <w:rPr>
                  <w:noProof/>
                </w:rPr>
              </w:pPr>
              <w:r>
                <w:rPr>
                  <w:noProof/>
                </w:rPr>
                <w:t xml:space="preserve">AXELOS. </w:t>
              </w:r>
              <w:r>
                <w:rPr>
                  <w:i/>
                  <w:iCs/>
                  <w:noProof/>
                </w:rPr>
                <w:t>ITIL Service Transition.</w:t>
              </w:r>
              <w:r>
                <w:rPr>
                  <w:noProof/>
                </w:rPr>
                <w:t xml:space="preserve"> o. O.: TSO, 2011.</w:t>
              </w:r>
            </w:p>
            <w:p w14:paraId="39D949D2" w14:textId="77777777" w:rsidR="007F2580" w:rsidRDefault="007F2580" w:rsidP="007F2580">
              <w:pPr>
                <w:pStyle w:val="Literaturverzeichnis"/>
                <w:rPr>
                  <w:noProof/>
                </w:rPr>
              </w:pPr>
              <w:r>
                <w:rPr>
                  <w:noProof/>
                </w:rPr>
                <w:t xml:space="preserve">Bahke, T. </w:t>
              </w:r>
              <w:r>
                <w:rPr>
                  <w:i/>
                  <w:iCs/>
                  <w:noProof/>
                </w:rPr>
                <w:t>Normen und Wettberwerb.</w:t>
              </w:r>
              <w:r>
                <w:rPr>
                  <w:noProof/>
                </w:rPr>
                <w:t xml:space="preserve"> Berlin: Beuth, 2002.</w:t>
              </w:r>
            </w:p>
            <w:p w14:paraId="5FF1DD6C" w14:textId="77777777" w:rsidR="007F2580" w:rsidRDefault="007F2580" w:rsidP="007F2580">
              <w:pPr>
                <w:pStyle w:val="Literaturverzeichnis"/>
                <w:rPr>
                  <w:noProof/>
                </w:rPr>
              </w:pPr>
              <w:r>
                <w:rPr>
                  <w:noProof/>
                </w:rPr>
                <w:t xml:space="preserve">Baumöl, Ulrike. „Business-IT-Alignment durch Projektportfolio-Management und -Controlling.“ </w:t>
              </w:r>
              <w:r>
                <w:rPr>
                  <w:i/>
                  <w:iCs/>
                  <w:noProof/>
                </w:rPr>
                <w:t>HMD - Praxis der Wirtschaftsinformatik</w:t>
              </w:r>
              <w:r>
                <w:rPr>
                  <w:noProof/>
                </w:rPr>
                <w:t>, Nr. 254 (April 2007): 71-81.</w:t>
              </w:r>
            </w:p>
            <w:p w14:paraId="5CC853CC" w14:textId="77777777" w:rsidR="007F2580" w:rsidRDefault="007F2580" w:rsidP="007F2580">
              <w:pPr>
                <w:pStyle w:val="Literaturverzeichnis"/>
                <w:rPr>
                  <w:noProof/>
                </w:rPr>
              </w:pPr>
              <w:r>
                <w:rPr>
                  <w:noProof/>
                </w:rPr>
                <w:t xml:space="preserve">—. </w:t>
              </w:r>
              <w:r>
                <w:rPr>
                  <w:i/>
                  <w:iCs/>
                  <w:noProof/>
                </w:rPr>
                <w:t>Change Management in Organisation - Situative Methodenkonstruktion für flexible Veränderungsprozesse.</w:t>
              </w:r>
              <w:r>
                <w:rPr>
                  <w:noProof/>
                </w:rPr>
                <w:t xml:space="preserve"> Wiesbaden: Gabler, 2008.</w:t>
              </w:r>
            </w:p>
            <w:p w14:paraId="0C43919A" w14:textId="77777777" w:rsidR="007F2580" w:rsidRDefault="007F2580" w:rsidP="007F2580">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17358848" w14:textId="77777777" w:rsidR="007F2580" w:rsidRDefault="007F2580" w:rsidP="007F2580">
              <w:pPr>
                <w:pStyle w:val="Literaturverzeichnis"/>
                <w:rPr>
                  <w:noProof/>
                </w:rPr>
              </w:pPr>
              <w:r>
                <w:rPr>
                  <w:noProof/>
                </w:rPr>
                <w:t xml:space="preserve">Baumann, J. </w:t>
              </w:r>
              <w:r>
                <w:rPr>
                  <w:i/>
                  <w:iCs/>
                  <w:noProof/>
                </w:rPr>
                <w:t>Continuous Delivery.</w:t>
              </w:r>
              <w:r>
                <w:rPr>
                  <w:noProof/>
                </w:rPr>
                <w:t xml:space="preserve"> 1. Heidelberg: dpunkt.Verlag, 2014.</w:t>
              </w:r>
            </w:p>
            <w:p w14:paraId="7BB9E2A2" w14:textId="77777777" w:rsidR="007F2580" w:rsidRDefault="007F2580" w:rsidP="007F2580">
              <w:pPr>
                <w:pStyle w:val="Literaturverzeichnis"/>
                <w:rPr>
                  <w:noProof/>
                </w:rPr>
              </w:pPr>
              <w:r>
                <w:rPr>
                  <w:noProof/>
                </w:rPr>
                <w:t xml:space="preserve">—. „DevOps light.“ </w:t>
              </w:r>
              <w:r>
                <w:rPr>
                  <w:i/>
                  <w:iCs/>
                  <w:noProof/>
                </w:rPr>
                <w:t>OBJEKTspektrum</w:t>
              </w:r>
              <w:r>
                <w:rPr>
                  <w:noProof/>
                </w:rPr>
                <w:t>, 27. 02 2015: 42-45.</w:t>
              </w:r>
            </w:p>
            <w:p w14:paraId="25384EB3" w14:textId="77777777" w:rsidR="007F2580" w:rsidRDefault="007F2580" w:rsidP="007F2580">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C2FE797" w14:textId="77777777" w:rsidR="007F2580" w:rsidRDefault="007F2580" w:rsidP="007F2580">
              <w:pPr>
                <w:pStyle w:val="Literaturverzeichnis"/>
                <w:rPr>
                  <w:noProof/>
                </w:rPr>
              </w:pPr>
              <w:r>
                <w:rPr>
                  <w:noProof/>
                </w:rPr>
                <w:t xml:space="preserve">Boehm, B. W. „Software Engineering.“ </w:t>
              </w:r>
              <w:r>
                <w:rPr>
                  <w:i/>
                  <w:iCs/>
                  <w:noProof/>
                </w:rPr>
                <w:t>IEEE Transactions On Computers</w:t>
              </w:r>
              <w:r>
                <w:rPr>
                  <w:noProof/>
                </w:rPr>
                <w:t>, Nr. 12 (1976): 1226-1241.</w:t>
              </w:r>
            </w:p>
            <w:p w14:paraId="54D47F65" w14:textId="77777777" w:rsidR="007F2580" w:rsidRDefault="007F2580" w:rsidP="007F2580">
              <w:pPr>
                <w:pStyle w:val="Literaturverzeichnis"/>
                <w:rPr>
                  <w:noProof/>
                </w:rPr>
              </w:pPr>
              <w:r>
                <w:rPr>
                  <w:noProof/>
                </w:rPr>
                <w:t xml:space="preserve">Bossavit, Laurent. </w:t>
              </w:r>
              <w:r>
                <w:rPr>
                  <w:i/>
                  <w:iCs/>
                  <w:noProof/>
                </w:rPr>
                <w:t>The Leprechauns of Software Engineering.</w:t>
              </w:r>
              <w:r>
                <w:rPr>
                  <w:noProof/>
                </w:rPr>
                <w:t xml:space="preserve"> o. O.: Leanpub, 2015.</w:t>
              </w:r>
            </w:p>
            <w:p w14:paraId="77282320" w14:textId="77777777" w:rsidR="007F2580" w:rsidRDefault="007F2580" w:rsidP="007F2580">
              <w:pPr>
                <w:pStyle w:val="Literaturverzeichnis"/>
                <w:rPr>
                  <w:noProof/>
                </w:rPr>
              </w:pPr>
              <w:r>
                <w:rPr>
                  <w:noProof/>
                </w:rPr>
                <w:t xml:space="preserve">Chapman, C., und S. Ward. </w:t>
              </w:r>
              <w:r>
                <w:rPr>
                  <w:i/>
                  <w:iCs/>
                  <w:noProof/>
                </w:rPr>
                <w:t>How to Manage Project Opportunity and Risk.</w:t>
              </w:r>
              <w:r>
                <w:rPr>
                  <w:noProof/>
                </w:rPr>
                <w:t xml:space="preserve"> 3. Orchester: John Wiley &amp; Sons Ltd., 2011.</w:t>
              </w:r>
            </w:p>
            <w:p w14:paraId="59D86FDF" w14:textId="77777777" w:rsidR="007F2580" w:rsidRDefault="007F2580" w:rsidP="007F2580">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5F48918E" w14:textId="77777777" w:rsidR="007F2580" w:rsidRDefault="007F2580" w:rsidP="007F2580">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7E04E2BA" w14:textId="77777777" w:rsidR="007F2580" w:rsidRDefault="007F2580" w:rsidP="007F2580">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1C7AFA3A" w14:textId="77777777" w:rsidR="007F2580" w:rsidRDefault="007F2580" w:rsidP="007F2580">
              <w:pPr>
                <w:pStyle w:val="Literaturverzeichnis"/>
                <w:rPr>
                  <w:noProof/>
                </w:rPr>
              </w:pPr>
              <w:r>
                <w:rPr>
                  <w:noProof/>
                </w:rPr>
                <w:t>Ephesos, Heraklit von.</w:t>
              </w:r>
            </w:p>
            <w:p w14:paraId="34DE31E7" w14:textId="77777777" w:rsidR="007F2580" w:rsidRDefault="007F2580" w:rsidP="007F2580">
              <w:pPr>
                <w:pStyle w:val="Literaturverzeichnis"/>
                <w:rPr>
                  <w:noProof/>
                </w:rPr>
              </w:pPr>
              <w:r>
                <w:rPr>
                  <w:noProof/>
                </w:rPr>
                <w:t xml:space="preserve">Festtag, S. </w:t>
              </w:r>
              <w:r>
                <w:rPr>
                  <w:i/>
                  <w:iCs/>
                  <w:noProof/>
                </w:rPr>
                <w:t>Umgang mit Risiken.</w:t>
              </w:r>
              <w:r>
                <w:rPr>
                  <w:noProof/>
                </w:rPr>
                <w:t xml:space="preserve"> 1. Berlin: Beuth Verlag GmbH, 2014.</w:t>
              </w:r>
            </w:p>
            <w:p w14:paraId="4B2D328D" w14:textId="77777777" w:rsidR="007F2580" w:rsidRDefault="007F2580" w:rsidP="007F2580">
              <w:pPr>
                <w:pStyle w:val="Literaturverzeichnis"/>
                <w:rPr>
                  <w:noProof/>
                </w:rPr>
              </w:pPr>
              <w:r>
                <w:rPr>
                  <w:noProof/>
                </w:rPr>
                <w:t xml:space="preserve">Gassmann, O., und C. Kobe. </w:t>
              </w:r>
              <w:r>
                <w:rPr>
                  <w:i/>
                  <w:iCs/>
                  <w:noProof/>
                </w:rPr>
                <w:t>Management von Innovation und Risiko.</w:t>
              </w:r>
              <w:r>
                <w:rPr>
                  <w:noProof/>
                </w:rPr>
                <w:t xml:space="preserve"> 2. Berlin: Springer-Verlag Berlin Heidelberg, 2006.</w:t>
              </w:r>
            </w:p>
            <w:p w14:paraId="1FF91794" w14:textId="77777777" w:rsidR="007F2580" w:rsidRDefault="007F2580" w:rsidP="007F2580">
              <w:pPr>
                <w:pStyle w:val="Literaturverzeichnis"/>
                <w:rPr>
                  <w:noProof/>
                </w:rPr>
              </w:pPr>
              <w:r>
                <w:rPr>
                  <w:noProof/>
                </w:rPr>
                <w:t xml:space="preserve">Grawe, Christian. „Die betriebswirtschaftliche Abbildung von Innovationsprojekten.“ </w:t>
              </w:r>
              <w:r>
                <w:rPr>
                  <w:i/>
                  <w:iCs/>
                  <w:noProof/>
                </w:rPr>
                <w:t>Controlling</w:t>
              </w:r>
              <w:r>
                <w:rPr>
                  <w:noProof/>
                </w:rPr>
                <w:t>, Nr. 2 (2016): 133-135.</w:t>
              </w:r>
            </w:p>
            <w:p w14:paraId="320A3FC4" w14:textId="77777777" w:rsidR="007F2580" w:rsidRDefault="007F2580" w:rsidP="007F2580">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4E3D021E" w14:textId="77777777" w:rsidR="007F2580" w:rsidRDefault="007F2580" w:rsidP="007F2580">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1587106B" w14:textId="77777777" w:rsidR="007F2580" w:rsidRDefault="007F2580" w:rsidP="007F2580">
              <w:pPr>
                <w:pStyle w:val="Literaturverzeichnis"/>
                <w:rPr>
                  <w:noProof/>
                </w:rPr>
              </w:pPr>
              <w:r>
                <w:rPr>
                  <w:noProof/>
                </w:rPr>
                <w:lastRenderedPageBreak/>
                <w:t xml:space="preserve">Hauschildt, J., und S. Salomo. </w:t>
              </w:r>
              <w:r>
                <w:rPr>
                  <w:i/>
                  <w:iCs/>
                  <w:noProof/>
                </w:rPr>
                <w:t>Innovationsmanagement.</w:t>
              </w:r>
              <w:r>
                <w:rPr>
                  <w:noProof/>
                </w:rPr>
                <w:t xml:space="preserve"> o. O.: Vahlen, 2007.</w:t>
              </w:r>
            </w:p>
            <w:p w14:paraId="798D9257" w14:textId="77777777" w:rsidR="007F2580" w:rsidRDefault="007F2580" w:rsidP="007F2580">
              <w:pPr>
                <w:pStyle w:val="Literaturverzeichnis"/>
                <w:rPr>
                  <w:noProof/>
                </w:rPr>
              </w:pPr>
              <w:r>
                <w:rPr>
                  <w:noProof/>
                </w:rPr>
                <w:t>Horton, G. http://www.zephram.de/blog/innovationsstrategie/wettbewerbsvorteile-durch-innovation/ (Zugriff am 24. 10 2015).</w:t>
              </w:r>
            </w:p>
            <w:p w14:paraId="4733F9A8" w14:textId="77777777" w:rsidR="007F2580" w:rsidRDefault="007F2580" w:rsidP="007F2580">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2FFD8B28" w14:textId="77777777" w:rsidR="007F2580" w:rsidRDefault="007F2580" w:rsidP="007F2580">
              <w:pPr>
                <w:pStyle w:val="Literaturverzeichnis"/>
                <w:rPr>
                  <w:noProof/>
                </w:rPr>
              </w:pPr>
              <w:r>
                <w:rPr>
                  <w:noProof/>
                </w:rPr>
                <w:t xml:space="preserve">ISO/IEC. </w:t>
              </w:r>
              <w:r>
                <w:rPr>
                  <w:i/>
                  <w:iCs/>
                  <w:noProof/>
                </w:rPr>
                <w:t>ISO/IEC 20000-1.</w:t>
              </w:r>
              <w:r>
                <w:rPr>
                  <w:noProof/>
                </w:rPr>
                <w:t xml:space="preserve"> o. O., 15. 04 2011.</w:t>
              </w:r>
            </w:p>
            <w:p w14:paraId="2CD0514D" w14:textId="77777777" w:rsidR="007F2580" w:rsidRDefault="007F2580" w:rsidP="007F2580">
              <w:pPr>
                <w:pStyle w:val="Literaturverzeichnis"/>
                <w:rPr>
                  <w:noProof/>
                </w:rPr>
              </w:pPr>
              <w:r>
                <w:rPr>
                  <w:noProof/>
                </w:rPr>
                <w:t xml:space="preserve">ISO/IEC. </w:t>
              </w:r>
              <w:r>
                <w:rPr>
                  <w:i/>
                  <w:iCs/>
                  <w:noProof/>
                </w:rPr>
                <w:t>ISO/IEC 20000-2.</w:t>
              </w:r>
              <w:r>
                <w:rPr>
                  <w:noProof/>
                </w:rPr>
                <w:t xml:space="preserve"> o. O., 15. 02 2012.</w:t>
              </w:r>
            </w:p>
            <w:p w14:paraId="4ECBD3A9" w14:textId="77777777" w:rsidR="007F2580" w:rsidRDefault="007F2580" w:rsidP="007F2580">
              <w:pPr>
                <w:pStyle w:val="Literaturverzeichnis"/>
                <w:rPr>
                  <w:noProof/>
                </w:rPr>
              </w:pPr>
              <w:r>
                <w:rPr>
                  <w:noProof/>
                </w:rPr>
                <w:t xml:space="preserve">itSMF e. V. </w:t>
              </w:r>
              <w:r>
                <w:rPr>
                  <w:i/>
                  <w:iCs/>
                  <w:noProof/>
                </w:rPr>
                <w:t>ITIL in der öffentlichen Verwaltung.</w:t>
              </w:r>
              <w:r>
                <w:rPr>
                  <w:noProof/>
                </w:rPr>
                <w:t xml:space="preserve"> Düsseldorf: Symposion Publishing GmbH, 2007.</w:t>
              </w:r>
            </w:p>
            <w:p w14:paraId="7C83C851" w14:textId="77777777" w:rsidR="007F2580" w:rsidRDefault="007F2580" w:rsidP="007F2580">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66A8C808" w14:textId="77777777" w:rsidR="007F2580" w:rsidRDefault="007F2580" w:rsidP="007F2580">
              <w:pPr>
                <w:pStyle w:val="Literaturverzeichnis"/>
                <w:rPr>
                  <w:noProof/>
                </w:rPr>
              </w:pPr>
              <w:r>
                <w:rPr>
                  <w:noProof/>
                </w:rPr>
                <w:t>KBSt. „cio.bund.de.“ April 2007. http://www.cio.bund.de/cae/servlet/contentblob/79996/publicationFile/4113/studie_itil_erfahrungsberichte_download.pdf (Zugriff am 6. Juli 2016).</w:t>
              </w:r>
            </w:p>
            <w:p w14:paraId="740EB771" w14:textId="77777777" w:rsidR="007F2580" w:rsidRDefault="007F2580" w:rsidP="007F2580">
              <w:pPr>
                <w:pStyle w:val="Literaturverzeichnis"/>
                <w:rPr>
                  <w:noProof/>
                </w:rPr>
              </w:pPr>
              <w:r>
                <w:rPr>
                  <w:noProof/>
                </w:rPr>
                <w:t xml:space="preserve">Kelly, J. </w:t>
              </w:r>
              <w:r>
                <w:rPr>
                  <w:i/>
                  <w:iCs/>
                  <w:noProof/>
                </w:rPr>
                <w:t>Scientific Management, Job Redesign and Work Performance.</w:t>
              </w:r>
              <w:r>
                <w:rPr>
                  <w:noProof/>
                </w:rPr>
                <w:t xml:space="preserve"> London: Academic Press, 1982.</w:t>
              </w:r>
            </w:p>
            <w:p w14:paraId="73A05066" w14:textId="77777777" w:rsidR="007F2580" w:rsidRDefault="007F2580" w:rsidP="007F2580">
              <w:pPr>
                <w:pStyle w:val="Literaturverzeichnis"/>
                <w:rPr>
                  <w:noProof/>
                </w:rPr>
              </w:pPr>
              <w:r>
                <w:rPr>
                  <w:noProof/>
                </w:rPr>
                <w:t xml:space="preserve">Kim, D. </w:t>
              </w:r>
              <w:r>
                <w:rPr>
                  <w:i/>
                  <w:iCs/>
                  <w:noProof/>
                </w:rPr>
                <w:t>The State of Scrum.</w:t>
              </w:r>
              <w:r>
                <w:rPr>
                  <w:noProof/>
                </w:rPr>
                <w:t xml:space="preserve"> State of Scrum, Scrumalliance, 2013.</w:t>
              </w:r>
            </w:p>
            <w:p w14:paraId="68395E0D" w14:textId="77777777" w:rsidR="007F2580" w:rsidRDefault="007F2580" w:rsidP="007F2580">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7BDA0271" w14:textId="77777777" w:rsidR="007F2580" w:rsidRDefault="007F2580" w:rsidP="007F2580">
              <w:pPr>
                <w:pStyle w:val="Literaturverzeichnis"/>
                <w:rPr>
                  <w:noProof/>
                </w:rPr>
              </w:pPr>
              <w:r>
                <w:rPr>
                  <w:noProof/>
                </w:rPr>
                <w:t xml:space="preserve">—. </w:t>
              </w:r>
              <w:r>
                <w:rPr>
                  <w:i/>
                  <w:iCs/>
                  <w:noProof/>
                </w:rPr>
                <w:t>The Phoenix Project: A Novel About IT, DevOps, and Helping Your Business Win.</w:t>
              </w:r>
              <w:r>
                <w:rPr>
                  <w:noProof/>
                </w:rPr>
                <w:t xml:space="preserve"> o. O.: It Revolution Press, 2013.</w:t>
              </w:r>
            </w:p>
            <w:p w14:paraId="759CB490" w14:textId="77777777" w:rsidR="007F2580" w:rsidRDefault="007F2580" w:rsidP="007F2580">
              <w:pPr>
                <w:pStyle w:val="Literaturverzeichnis"/>
                <w:rPr>
                  <w:noProof/>
                </w:rPr>
              </w:pPr>
              <w:r>
                <w:rPr>
                  <w:noProof/>
                </w:rPr>
                <w:t>Kohavi, R., und R. Longbotham. „Cross entries for A/B Tests, Split Tests, and Randomized Experiments.“ 25. April 2015. http://bit.ly/onlineControlledExperiments (Zugriff am 1. Mai 2016).</w:t>
              </w:r>
            </w:p>
            <w:p w14:paraId="17C800E9" w14:textId="77777777" w:rsidR="007F2580" w:rsidRDefault="007F2580" w:rsidP="007F2580">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6ED7A336" w14:textId="77777777" w:rsidR="007F2580" w:rsidRDefault="007F2580" w:rsidP="007F2580">
              <w:pPr>
                <w:pStyle w:val="Literaturverzeichnis"/>
                <w:rPr>
                  <w:noProof/>
                </w:rPr>
              </w:pPr>
              <w:r>
                <w:rPr>
                  <w:noProof/>
                </w:rPr>
                <w:t xml:space="preserve">Laser, T. </w:t>
              </w:r>
              <w:r>
                <w:rPr>
                  <w:i/>
                  <w:iCs/>
                  <w:noProof/>
                </w:rPr>
                <w:t>10 Mythen und Missverständnisse um ITIL.</w:t>
              </w:r>
              <w:r>
                <w:rPr>
                  <w:noProof/>
                </w:rPr>
                <w:t xml:space="preserve"> 2. November 2012. http://de.slideshare.net/TorstenLaser/10-mythen-und-missverstndnisse-um-itil (Zugriff am 6. Juli 2016).</w:t>
              </w:r>
            </w:p>
            <w:p w14:paraId="619D5423" w14:textId="77777777" w:rsidR="007F2580" w:rsidRDefault="007F2580" w:rsidP="007F2580">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6BB1B6ED" w14:textId="77777777" w:rsidR="007F2580" w:rsidRDefault="007F2580" w:rsidP="007F2580">
              <w:pPr>
                <w:pStyle w:val="Literaturverzeichnis"/>
                <w:rPr>
                  <w:noProof/>
                </w:rPr>
              </w:pPr>
              <w:r>
                <w:rPr>
                  <w:noProof/>
                </w:rPr>
                <w:t xml:space="preserve">Lienemann, G. </w:t>
              </w:r>
              <w:r>
                <w:rPr>
                  <w:i/>
                  <w:iCs/>
                  <w:noProof/>
                </w:rPr>
                <w:t>ITIL - Change Management.</w:t>
              </w:r>
              <w:r>
                <w:rPr>
                  <w:noProof/>
                </w:rPr>
                <w:t xml:space="preserve"> 1. Hannover: Heise Zeitschriften Verlag GmbH &amp; Co KG, 2006.</w:t>
              </w:r>
            </w:p>
            <w:p w14:paraId="1BC397BD" w14:textId="77777777" w:rsidR="007F2580" w:rsidRDefault="007F2580" w:rsidP="007F2580">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39A0E808" w14:textId="77777777" w:rsidR="007F2580" w:rsidRDefault="007F2580" w:rsidP="007F2580">
              <w:pPr>
                <w:pStyle w:val="Literaturverzeichnis"/>
                <w:rPr>
                  <w:noProof/>
                </w:rPr>
              </w:pPr>
              <w:r>
                <w:rPr>
                  <w:noProof/>
                </w:rPr>
                <w:t xml:space="preserve">Newcombe, T. </w:t>
              </w:r>
              <w:r>
                <w:rPr>
                  <w:i/>
                  <w:iCs/>
                  <w:noProof/>
                </w:rPr>
                <w:t>gt.</w:t>
              </w:r>
              <w:r>
                <w:rPr>
                  <w:noProof/>
                </w:rPr>
                <w:t xml:space="preserve"> 31. Januar 2005. http://www.govtech.com/magazines/pcio/100560679.html (Zugriff am 6. Juli 2016).</w:t>
              </w:r>
            </w:p>
            <w:p w14:paraId="6CF2417C" w14:textId="77777777" w:rsidR="007F2580" w:rsidRDefault="007F2580" w:rsidP="007F2580">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24C7364C" w14:textId="77777777" w:rsidR="007F2580" w:rsidRDefault="007F2580" w:rsidP="007F2580">
              <w:pPr>
                <w:pStyle w:val="Literaturverzeichnis"/>
                <w:rPr>
                  <w:noProof/>
                </w:rPr>
              </w:pPr>
              <w:r>
                <w:rPr>
                  <w:noProof/>
                </w:rPr>
                <w:t>O'Reilly, Tim. „What is Web 2.0? - Design Patters and Business Models for the Next Generation of Software.“ 2005. http://www.oreilly.de/artikel/web20.html (Zugriff am 22. April 2009).</w:t>
              </w:r>
            </w:p>
            <w:p w14:paraId="097ACC04" w14:textId="77777777" w:rsidR="007F2580" w:rsidRDefault="007F2580" w:rsidP="007F2580">
              <w:pPr>
                <w:pStyle w:val="Literaturverzeichnis"/>
                <w:rPr>
                  <w:noProof/>
                </w:rPr>
              </w:pPr>
              <w:r>
                <w:rPr>
                  <w:noProof/>
                </w:rPr>
                <w:lastRenderedPageBreak/>
                <w:t xml:space="preserve">Peasley, J., und J. Fletcher. „IT service management - and beyond.“ </w:t>
              </w:r>
              <w:r>
                <w:rPr>
                  <w:i/>
                  <w:iCs/>
                  <w:noProof/>
                </w:rPr>
                <w:t>minerva.mq.edu.au.</w:t>
              </w:r>
              <w:r>
                <w:rPr>
                  <w:noProof/>
                </w:rPr>
                <w:t xml:space="preserve"> 5-8. April 2005. http://hdl.handle.net/1959.14/9465 (Zugriff am 6. Juli 2016).</w:t>
              </w:r>
            </w:p>
            <w:p w14:paraId="46F17717" w14:textId="77777777" w:rsidR="007F2580" w:rsidRDefault="007F2580" w:rsidP="007F2580">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38728BB1" w14:textId="77777777" w:rsidR="007F2580" w:rsidRDefault="007F2580" w:rsidP="007F2580">
              <w:pPr>
                <w:pStyle w:val="Literaturverzeichnis"/>
                <w:rPr>
                  <w:noProof/>
                </w:rPr>
              </w:pPr>
              <w:r>
                <w:rPr>
                  <w:noProof/>
                </w:rPr>
                <w:t xml:space="preserve">Pichler, R. </w:t>
              </w:r>
              <w:r>
                <w:rPr>
                  <w:i/>
                  <w:iCs/>
                  <w:noProof/>
                </w:rPr>
                <w:t>Agiles Produktmanagement mit Scrum.</w:t>
              </w:r>
              <w:r>
                <w:rPr>
                  <w:noProof/>
                </w:rPr>
                <w:t xml:space="preserve"> Heidelberg: dpunkt, 2014.</w:t>
              </w:r>
            </w:p>
            <w:p w14:paraId="1D65D314" w14:textId="77777777" w:rsidR="007F2580" w:rsidRDefault="007F2580" w:rsidP="007F2580">
              <w:pPr>
                <w:pStyle w:val="Literaturverzeichnis"/>
                <w:rPr>
                  <w:noProof/>
                </w:rPr>
              </w:pPr>
              <w:r>
                <w:rPr>
                  <w:noProof/>
                </w:rPr>
                <w:t>Pink Elephant. „JDCMG.“ 2005. http://jdcmg.isc.ucsb.edu/docs/ITIL/ITIL-Top%20Things%20Managers%20must%20Know%20when%20Implementing%20ITIL.pdf (Zugriff am 6. Juli 2016).</w:t>
              </w:r>
            </w:p>
            <w:p w14:paraId="665F6E92" w14:textId="77777777" w:rsidR="007F2580" w:rsidRDefault="007F2580" w:rsidP="007F2580">
              <w:pPr>
                <w:pStyle w:val="Literaturverzeichnis"/>
                <w:rPr>
                  <w:noProof/>
                </w:rPr>
              </w:pPr>
              <w:r>
                <w:rPr>
                  <w:noProof/>
                </w:rPr>
                <w:t xml:space="preserve">Proske, D. </w:t>
              </w:r>
              <w:r>
                <w:rPr>
                  <w:i/>
                  <w:iCs/>
                  <w:noProof/>
                </w:rPr>
                <w:t>Katalog der Risiken.</w:t>
              </w:r>
              <w:r>
                <w:rPr>
                  <w:noProof/>
                </w:rPr>
                <w:t xml:space="preserve"> Dresden: Eigenverlag Dirk Proske, 2004.</w:t>
              </w:r>
            </w:p>
            <w:p w14:paraId="7621BBBD" w14:textId="77777777" w:rsidR="007F2580" w:rsidRDefault="007F2580" w:rsidP="007F2580">
              <w:pPr>
                <w:pStyle w:val="Literaturverzeichnis"/>
                <w:rPr>
                  <w:noProof/>
                </w:rPr>
              </w:pPr>
              <w:r>
                <w:rPr>
                  <w:noProof/>
                </w:rPr>
                <w:t>Puppet. „puppet.com.“ 22. Juni 2016. https://puppet.com/resources/white-paper/2016-state-devops-report (Zugriff am 8. Juli 2016).</w:t>
              </w:r>
            </w:p>
            <w:p w14:paraId="072C46A9" w14:textId="77777777" w:rsidR="007F2580" w:rsidRDefault="007F2580" w:rsidP="007F2580">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489F84C1" w14:textId="77777777" w:rsidR="007F2580" w:rsidRDefault="007F2580" w:rsidP="007F2580">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2AB4C545" w14:textId="77777777" w:rsidR="007F2580" w:rsidRDefault="007F2580" w:rsidP="007F2580">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7400A3C8" w14:textId="77777777" w:rsidR="007F2580" w:rsidRDefault="007F2580" w:rsidP="007F2580">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579826F1" w14:textId="77777777" w:rsidR="007F2580" w:rsidRDefault="007F2580" w:rsidP="007F2580">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031ACBFD" w14:textId="77777777" w:rsidR="007F2580" w:rsidRDefault="007F2580" w:rsidP="007F2580">
              <w:pPr>
                <w:pStyle w:val="Literaturverzeichnis"/>
                <w:rPr>
                  <w:noProof/>
                </w:rPr>
              </w:pPr>
              <w:r>
                <w:rPr>
                  <w:noProof/>
                </w:rPr>
                <w:t xml:space="preserve">Simon, F. </w:t>
              </w:r>
              <w:r>
                <w:rPr>
                  <w:i/>
                  <w:iCs/>
                  <w:noProof/>
                </w:rPr>
                <w:t>Qualitäts-Risiko-Management.</w:t>
              </w:r>
              <w:r>
                <w:rPr>
                  <w:noProof/>
                </w:rPr>
                <w:t xml:space="preserve"> Berlin: Logos Verlag Berlin GmbH, 2010.</w:t>
              </w:r>
            </w:p>
            <w:p w14:paraId="3610539F" w14:textId="77777777" w:rsidR="007F2580" w:rsidRDefault="007F2580" w:rsidP="007F2580">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2B64C2C6" w14:textId="77777777" w:rsidR="007F2580" w:rsidRDefault="007F2580" w:rsidP="007F2580">
              <w:pPr>
                <w:pStyle w:val="Literaturverzeichnis"/>
                <w:rPr>
                  <w:noProof/>
                </w:rPr>
              </w:pPr>
              <w:r>
                <w:rPr>
                  <w:noProof/>
                </w:rPr>
                <w:t xml:space="preserve">Winniford, M., S. Conger, und L. Erickson-Harris. „Confusion in the Ranks: IT Service Management Practice and Terminology.“ </w:t>
              </w:r>
              <w:r>
                <w:rPr>
                  <w:i/>
                  <w:iCs/>
                  <w:noProof/>
                </w:rPr>
                <w:t>Information Systems Management</w:t>
              </w:r>
              <w:r>
                <w:rPr>
                  <w:noProof/>
                </w:rPr>
                <w:t xml:space="preserve"> (Informa UK Limited), Nr. 26 (2009): 153-163.</w:t>
              </w:r>
            </w:p>
            <w:p w14:paraId="5390DF66" w14:textId="77777777" w:rsidR="007F2580" w:rsidRDefault="007F2580" w:rsidP="007F2580">
              <w:pPr>
                <w:pStyle w:val="Literaturverzeichnis"/>
                <w:rPr>
                  <w:noProof/>
                </w:rPr>
              </w:pPr>
              <w:r>
                <w:rPr>
                  <w:noProof/>
                </w:rPr>
                <w:t xml:space="preserve">Wonke-Stehle, J. „ITIL in Bibliotheken.“ </w:t>
              </w:r>
              <w:r>
                <w:rPr>
                  <w:i/>
                  <w:iCs/>
                  <w:noProof/>
                </w:rPr>
                <w:t>Berliner Handreichungen zur Bibliotheks- und Informationswissenschaft</w:t>
              </w:r>
              <w:r>
                <w:rPr>
                  <w:noProof/>
                </w:rPr>
                <w:t>, Nr. 331 (2012): 0-92.</w:t>
              </w:r>
            </w:p>
            <w:p w14:paraId="77A7F36E" w14:textId="18344F16" w:rsidR="00461FAA" w:rsidRDefault="00461FAA" w:rsidP="007F2580">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2"/>
          <w:headerReference w:type="default" r:id="rId23"/>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117" w:name="_Toc456884988"/>
      <w:r>
        <w:lastRenderedPageBreak/>
        <w:t>Erklärung</w:t>
      </w:r>
      <w:bookmarkEnd w:id="117"/>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18" w:name="Text15"/>
      <w:r w:rsidR="00783160">
        <w:instrText xml:space="preserve"> FORMTEXT </w:instrText>
      </w:r>
      <w:r w:rsidR="00783160">
        <w:fldChar w:fldCharType="separate"/>
      </w:r>
      <w:r w:rsidR="00783160">
        <w:rPr>
          <w:noProof/>
        </w:rPr>
        <w:t>Lohr, Steve</w:t>
      </w:r>
      <w:r w:rsidR="00783160">
        <w:fldChar w:fldCharType="end"/>
      </w:r>
      <w:bookmarkEnd w:id="118"/>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19" w:name="Text16"/>
      <w:r w:rsidR="00783160">
        <w:instrText xml:space="preserve"> FORMTEXT </w:instrText>
      </w:r>
      <w:r w:rsidR="00783160">
        <w:fldChar w:fldCharType="separate"/>
      </w:r>
      <w:r w:rsidR="00783160">
        <w:rPr>
          <w:noProof/>
        </w:rPr>
        <w:t>9066454</w:t>
      </w:r>
      <w:r w:rsidR="00783160">
        <w:fldChar w:fldCharType="end"/>
      </w:r>
      <w:bookmarkEnd w:id="119"/>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20" w:name="Text17"/>
      <w:r w:rsidR="00783160">
        <w:instrText xml:space="preserve"> FORMTEXT </w:instrText>
      </w:r>
      <w:r w:rsidR="00783160">
        <w:fldChar w:fldCharType="separate"/>
      </w:r>
      <w:r w:rsidR="00783160">
        <w:rPr>
          <w:noProof/>
        </w:rPr>
        <w:t>Wirtschaftsinformatik</w:t>
      </w:r>
      <w:r w:rsidR="00783160">
        <w:fldChar w:fldCharType="end"/>
      </w:r>
      <w:bookmarkEnd w:id="120"/>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4"/>
      <w:pgSz w:w="11906" w:h="16838"/>
      <w:pgMar w:top="1134" w:right="1418" w:bottom="1134" w:left="2268"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701A0E" w14:textId="77777777" w:rsidR="005F5E76" w:rsidRDefault="005F5E76">
      <w:r>
        <w:separator/>
      </w:r>
    </w:p>
    <w:p w14:paraId="15A44BC1" w14:textId="77777777" w:rsidR="005F5E76" w:rsidRDefault="005F5E76"/>
    <w:p w14:paraId="5AFAD539" w14:textId="77777777" w:rsidR="005F5E76" w:rsidRDefault="005F5E76"/>
  </w:endnote>
  <w:endnote w:type="continuationSeparator" w:id="0">
    <w:p w14:paraId="286A181A" w14:textId="77777777" w:rsidR="005F5E76" w:rsidRDefault="005F5E76">
      <w:r>
        <w:continuationSeparator/>
      </w:r>
    </w:p>
    <w:p w14:paraId="092B6335" w14:textId="77777777" w:rsidR="005F5E76" w:rsidRDefault="005F5E76"/>
    <w:p w14:paraId="60899FD9" w14:textId="77777777" w:rsidR="005F5E76" w:rsidRDefault="005F5E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B4347A" w:rsidRDefault="00B4347A">
    <w:pPr>
      <w:pStyle w:val="Fuzeile"/>
      <w:framePr w:wrap="around" w:vAnchor="text" w:hAnchor="margin" w:xAlign="right" w:y="1"/>
    </w:pPr>
    <w:r>
      <w:fldChar w:fldCharType="begin"/>
    </w:r>
    <w:r>
      <w:instrText xml:space="preserve">PAGE  </w:instrText>
    </w:r>
    <w:r>
      <w:fldChar w:fldCharType="end"/>
    </w:r>
  </w:p>
  <w:p w14:paraId="7140BEF8" w14:textId="77777777" w:rsidR="00B4347A" w:rsidRDefault="00B4347A">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B4347A" w:rsidRDefault="00B4347A">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B4347A" w:rsidRDefault="00B4347A">
    <w:pPr>
      <w:pStyle w:val="Fuzeile"/>
      <w:tabs>
        <w:tab w:val="left" w:pos="7093"/>
      </w:tabs>
      <w:ind w:right="360"/>
      <w:jc w:val="center"/>
      <w:rPr>
        <w:rFonts w:ascii="Arial" w:hAnsi="Arial"/>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1839C" w14:textId="77777777" w:rsidR="005F5E76" w:rsidRDefault="005F5E76" w:rsidP="00106448">
      <w:pPr>
        <w:spacing w:before="60" w:after="60" w:line="240" w:lineRule="auto"/>
      </w:pPr>
      <w:r>
        <w:separator/>
      </w:r>
    </w:p>
  </w:footnote>
  <w:footnote w:type="continuationSeparator" w:id="0">
    <w:p w14:paraId="13EE3CFA" w14:textId="77777777" w:rsidR="005F5E76" w:rsidRDefault="005F5E76">
      <w:r>
        <w:continuationSeparator/>
      </w:r>
    </w:p>
  </w:footnote>
  <w:footnote w:type="continuationNotice" w:id="1">
    <w:p w14:paraId="39F51E25" w14:textId="77777777" w:rsidR="005F5E76" w:rsidRDefault="005F5E7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B4347A" w:rsidRDefault="00B4347A">
    <w:pPr>
      <w:pStyle w:val="Kopfzeile"/>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B4347A" w:rsidRDefault="00B4347A"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3C5A3F">
      <w:rPr>
        <w:noProof/>
      </w:rPr>
      <w:t>I</w:t>
    </w:r>
    <w:r>
      <w:fldChar w:fldCharType="end"/>
    </w:r>
  </w:p>
  <w:p w14:paraId="547EF2D1" w14:textId="77777777" w:rsidR="00B4347A" w:rsidRDefault="00B4347A">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B4347A" w:rsidRDefault="00B4347A"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3C5A3F">
      <w:rPr>
        <w:noProof/>
      </w:rPr>
      <w:t>II</w:t>
    </w:r>
    <w:r>
      <w:fldChar w:fldCharType="end"/>
    </w:r>
  </w:p>
  <w:p w14:paraId="4B67AB85" w14:textId="77777777" w:rsidR="00B4347A" w:rsidRDefault="00B4347A">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B4347A" w:rsidRDefault="00B4347A">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3C5A3F">
      <w:rPr>
        <w:noProof/>
      </w:rPr>
      <w:t>III</w:t>
    </w:r>
    <w:r>
      <w:fldChar w:fldCharType="end"/>
    </w:r>
  </w:p>
  <w:p w14:paraId="445F50FB" w14:textId="77777777" w:rsidR="00B4347A" w:rsidRDefault="00B4347A">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B4347A" w:rsidRDefault="00B4347A">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3C5A3F">
      <w:rPr>
        <w:noProof/>
      </w:rPr>
      <w:t>IV</w:t>
    </w:r>
    <w:r>
      <w:fldChar w:fldCharType="end"/>
    </w:r>
  </w:p>
  <w:p w14:paraId="6D345E0B" w14:textId="77777777" w:rsidR="00B4347A" w:rsidRDefault="00B4347A">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B4347A" w:rsidRDefault="005F5E76">
    <w:pPr>
      <w:pStyle w:val="Kopfzeile"/>
      <w:pBdr>
        <w:bottom w:val="single" w:sz="6" w:space="1" w:color="auto"/>
      </w:pBdr>
      <w:tabs>
        <w:tab w:val="clear" w:pos="9072"/>
        <w:tab w:val="left" w:pos="6720"/>
        <w:tab w:val="right" w:pos="8222"/>
      </w:tabs>
    </w:pPr>
    <w:r>
      <w:fldChar w:fldCharType="begin"/>
    </w:r>
    <w:r>
      <w:instrText xml:space="preserve"> STYLEREF  "Überschrift 1" </w:instrText>
    </w:r>
    <w:r>
      <w:fldChar w:fldCharType="separate"/>
    </w:r>
    <w:r w:rsidR="003C5A3F">
      <w:rPr>
        <w:noProof/>
      </w:rPr>
      <w:t>Einleitung</w:t>
    </w:r>
    <w:r>
      <w:rPr>
        <w:noProof/>
      </w:rPr>
      <w:fldChar w:fldCharType="end"/>
    </w:r>
    <w:r w:rsidR="00B4347A">
      <w:tab/>
    </w:r>
    <w:r w:rsidR="00B4347A">
      <w:tab/>
    </w:r>
    <w:r w:rsidR="00B4347A">
      <w:fldChar w:fldCharType="begin"/>
    </w:r>
    <w:r w:rsidR="00B4347A">
      <w:instrText xml:space="preserve"> PAGE </w:instrText>
    </w:r>
    <w:r w:rsidR="00B4347A">
      <w:fldChar w:fldCharType="separate"/>
    </w:r>
    <w:r w:rsidR="003C5A3F">
      <w:rPr>
        <w:noProof/>
      </w:rPr>
      <w:t>1</w:t>
    </w:r>
    <w:r w:rsidR="00B4347A">
      <w:fldChar w:fldCharType="end"/>
    </w:r>
  </w:p>
  <w:p w14:paraId="5DCA97F4" w14:textId="77777777" w:rsidR="00B4347A" w:rsidRDefault="00B4347A">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B4347A" w:rsidRDefault="00B4347A"/>
  <w:p w14:paraId="3EFEA5EC" w14:textId="77777777" w:rsidR="00B4347A" w:rsidRDefault="00B4347A"/>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B4347A" w:rsidRDefault="00B4347A">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3C5A3F">
      <w:rPr>
        <w:noProof/>
      </w:rPr>
      <w:t>47</w:t>
    </w:r>
    <w:r>
      <w:fldChar w:fldCharType="end"/>
    </w:r>
  </w:p>
  <w:p w14:paraId="4E19B897" w14:textId="77777777" w:rsidR="00B4347A" w:rsidRDefault="00B4347A" w:rsidP="00870A36"/>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B4347A" w:rsidRDefault="00B4347A">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3C5A3F">
      <w:rPr>
        <w:noProof/>
      </w:rPr>
      <w:t>50</w:t>
    </w:r>
    <w:r>
      <w:fldChar w:fldCharType="end"/>
    </w:r>
  </w:p>
  <w:p w14:paraId="79D4B611" w14:textId="77777777" w:rsidR="00B4347A" w:rsidRDefault="00B4347A" w:rsidP="00870A3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6BFE"/>
    <w:rsid w:val="0000773A"/>
    <w:rsid w:val="00007ECB"/>
    <w:rsid w:val="000110F5"/>
    <w:rsid w:val="00015340"/>
    <w:rsid w:val="000157E2"/>
    <w:rsid w:val="0001736D"/>
    <w:rsid w:val="00020386"/>
    <w:rsid w:val="00020D19"/>
    <w:rsid w:val="00021BED"/>
    <w:rsid w:val="00021C04"/>
    <w:rsid w:val="00023D4F"/>
    <w:rsid w:val="00024D4F"/>
    <w:rsid w:val="00025AF3"/>
    <w:rsid w:val="00026919"/>
    <w:rsid w:val="00032A20"/>
    <w:rsid w:val="00033D5E"/>
    <w:rsid w:val="00037301"/>
    <w:rsid w:val="000426C9"/>
    <w:rsid w:val="0004504F"/>
    <w:rsid w:val="00045863"/>
    <w:rsid w:val="000504A6"/>
    <w:rsid w:val="000611AF"/>
    <w:rsid w:val="00061951"/>
    <w:rsid w:val="00064925"/>
    <w:rsid w:val="000679A2"/>
    <w:rsid w:val="0007273A"/>
    <w:rsid w:val="00075C67"/>
    <w:rsid w:val="0008331C"/>
    <w:rsid w:val="00085DDE"/>
    <w:rsid w:val="0008662A"/>
    <w:rsid w:val="00090467"/>
    <w:rsid w:val="00092A4A"/>
    <w:rsid w:val="00092EBB"/>
    <w:rsid w:val="0009663E"/>
    <w:rsid w:val="00096CCE"/>
    <w:rsid w:val="000A0593"/>
    <w:rsid w:val="000A4B7F"/>
    <w:rsid w:val="000A65A5"/>
    <w:rsid w:val="000A725E"/>
    <w:rsid w:val="000A7D0B"/>
    <w:rsid w:val="000B12BD"/>
    <w:rsid w:val="000B4682"/>
    <w:rsid w:val="000B5C80"/>
    <w:rsid w:val="000B6F72"/>
    <w:rsid w:val="000C0F04"/>
    <w:rsid w:val="000C10DE"/>
    <w:rsid w:val="000C13CD"/>
    <w:rsid w:val="000C13E1"/>
    <w:rsid w:val="000C2AD7"/>
    <w:rsid w:val="000C5BC0"/>
    <w:rsid w:val="000C5D7B"/>
    <w:rsid w:val="000D00F7"/>
    <w:rsid w:val="000D072D"/>
    <w:rsid w:val="000D0B0D"/>
    <w:rsid w:val="000D12C1"/>
    <w:rsid w:val="000D48A8"/>
    <w:rsid w:val="000D7231"/>
    <w:rsid w:val="000D7402"/>
    <w:rsid w:val="000E16A4"/>
    <w:rsid w:val="000E2817"/>
    <w:rsid w:val="000E66E0"/>
    <w:rsid w:val="000E6D88"/>
    <w:rsid w:val="000E7FCA"/>
    <w:rsid w:val="000F29CE"/>
    <w:rsid w:val="000F3685"/>
    <w:rsid w:val="000F405F"/>
    <w:rsid w:val="000F467E"/>
    <w:rsid w:val="000F749E"/>
    <w:rsid w:val="00101763"/>
    <w:rsid w:val="00102923"/>
    <w:rsid w:val="00102A3C"/>
    <w:rsid w:val="00102D10"/>
    <w:rsid w:val="0010304A"/>
    <w:rsid w:val="001047A0"/>
    <w:rsid w:val="00106448"/>
    <w:rsid w:val="0011161B"/>
    <w:rsid w:val="00112700"/>
    <w:rsid w:val="001132D8"/>
    <w:rsid w:val="0012113B"/>
    <w:rsid w:val="00122799"/>
    <w:rsid w:val="0012339D"/>
    <w:rsid w:val="0012426A"/>
    <w:rsid w:val="0013065A"/>
    <w:rsid w:val="0013257C"/>
    <w:rsid w:val="00133C26"/>
    <w:rsid w:val="00133D32"/>
    <w:rsid w:val="00135794"/>
    <w:rsid w:val="001366D1"/>
    <w:rsid w:val="00140086"/>
    <w:rsid w:val="00141DAF"/>
    <w:rsid w:val="00145828"/>
    <w:rsid w:val="001473E0"/>
    <w:rsid w:val="00151F8B"/>
    <w:rsid w:val="00154BC1"/>
    <w:rsid w:val="0015701A"/>
    <w:rsid w:val="00162FA4"/>
    <w:rsid w:val="0016433C"/>
    <w:rsid w:val="00165DF3"/>
    <w:rsid w:val="001660B4"/>
    <w:rsid w:val="00170792"/>
    <w:rsid w:val="00170A5A"/>
    <w:rsid w:val="001759AE"/>
    <w:rsid w:val="00175F2D"/>
    <w:rsid w:val="00180B41"/>
    <w:rsid w:val="00180BBA"/>
    <w:rsid w:val="0018284C"/>
    <w:rsid w:val="001852CF"/>
    <w:rsid w:val="001878DE"/>
    <w:rsid w:val="0018795B"/>
    <w:rsid w:val="00191991"/>
    <w:rsid w:val="00191E64"/>
    <w:rsid w:val="00192BB8"/>
    <w:rsid w:val="00195FBD"/>
    <w:rsid w:val="0019605F"/>
    <w:rsid w:val="00197403"/>
    <w:rsid w:val="001974AD"/>
    <w:rsid w:val="001A3216"/>
    <w:rsid w:val="001A6850"/>
    <w:rsid w:val="001B14D2"/>
    <w:rsid w:val="001B2E93"/>
    <w:rsid w:val="001B2FD1"/>
    <w:rsid w:val="001C444D"/>
    <w:rsid w:val="001D4347"/>
    <w:rsid w:val="001D6E3E"/>
    <w:rsid w:val="001E275B"/>
    <w:rsid w:val="001E6A01"/>
    <w:rsid w:val="001E6E92"/>
    <w:rsid w:val="001F123D"/>
    <w:rsid w:val="001F2F30"/>
    <w:rsid w:val="001F4B9C"/>
    <w:rsid w:val="001F5F9B"/>
    <w:rsid w:val="001F63CE"/>
    <w:rsid w:val="001F73BC"/>
    <w:rsid w:val="002038FB"/>
    <w:rsid w:val="00203D67"/>
    <w:rsid w:val="0020763C"/>
    <w:rsid w:val="00207DAA"/>
    <w:rsid w:val="00213410"/>
    <w:rsid w:val="00213BF6"/>
    <w:rsid w:val="0021704F"/>
    <w:rsid w:val="00217FEF"/>
    <w:rsid w:val="00220BC9"/>
    <w:rsid w:val="00223F8C"/>
    <w:rsid w:val="00234858"/>
    <w:rsid w:val="00236D0C"/>
    <w:rsid w:val="00237C64"/>
    <w:rsid w:val="00247376"/>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69AD"/>
    <w:rsid w:val="002C019E"/>
    <w:rsid w:val="002C090B"/>
    <w:rsid w:val="002D0A8D"/>
    <w:rsid w:val="002D2388"/>
    <w:rsid w:val="002D4FCF"/>
    <w:rsid w:val="002D5986"/>
    <w:rsid w:val="002E3FE5"/>
    <w:rsid w:val="002E43DE"/>
    <w:rsid w:val="002E4FC9"/>
    <w:rsid w:val="002E561A"/>
    <w:rsid w:val="002F5DCA"/>
    <w:rsid w:val="002F7BB0"/>
    <w:rsid w:val="003052A2"/>
    <w:rsid w:val="0030569F"/>
    <w:rsid w:val="0031173A"/>
    <w:rsid w:val="0031178D"/>
    <w:rsid w:val="00312900"/>
    <w:rsid w:val="003145DC"/>
    <w:rsid w:val="00323E77"/>
    <w:rsid w:val="003247C7"/>
    <w:rsid w:val="00325D8D"/>
    <w:rsid w:val="00326537"/>
    <w:rsid w:val="00326EF4"/>
    <w:rsid w:val="00327186"/>
    <w:rsid w:val="00334CDC"/>
    <w:rsid w:val="003362A0"/>
    <w:rsid w:val="00344397"/>
    <w:rsid w:val="00344C13"/>
    <w:rsid w:val="003524CC"/>
    <w:rsid w:val="0035383F"/>
    <w:rsid w:val="003570F7"/>
    <w:rsid w:val="00360605"/>
    <w:rsid w:val="00365891"/>
    <w:rsid w:val="003718E2"/>
    <w:rsid w:val="00372977"/>
    <w:rsid w:val="00373A79"/>
    <w:rsid w:val="00374FF5"/>
    <w:rsid w:val="00375E5E"/>
    <w:rsid w:val="00382961"/>
    <w:rsid w:val="00383346"/>
    <w:rsid w:val="0038465D"/>
    <w:rsid w:val="00385537"/>
    <w:rsid w:val="00386B1B"/>
    <w:rsid w:val="00386ECF"/>
    <w:rsid w:val="0039651B"/>
    <w:rsid w:val="003A709F"/>
    <w:rsid w:val="003A7FF7"/>
    <w:rsid w:val="003B0499"/>
    <w:rsid w:val="003B1222"/>
    <w:rsid w:val="003B37AB"/>
    <w:rsid w:val="003B6916"/>
    <w:rsid w:val="003C21A0"/>
    <w:rsid w:val="003C32FE"/>
    <w:rsid w:val="003C5A3F"/>
    <w:rsid w:val="003C71BF"/>
    <w:rsid w:val="003C772E"/>
    <w:rsid w:val="003D0516"/>
    <w:rsid w:val="003D44A4"/>
    <w:rsid w:val="003D5AC0"/>
    <w:rsid w:val="003E0117"/>
    <w:rsid w:val="003E3153"/>
    <w:rsid w:val="003E6084"/>
    <w:rsid w:val="003E73A7"/>
    <w:rsid w:val="003F4DD2"/>
    <w:rsid w:val="003F5973"/>
    <w:rsid w:val="004026B8"/>
    <w:rsid w:val="004102AA"/>
    <w:rsid w:val="00410E27"/>
    <w:rsid w:val="004129CB"/>
    <w:rsid w:val="00413220"/>
    <w:rsid w:val="004135A6"/>
    <w:rsid w:val="00415D0B"/>
    <w:rsid w:val="00416E22"/>
    <w:rsid w:val="00420D64"/>
    <w:rsid w:val="0042339C"/>
    <w:rsid w:val="00425DD7"/>
    <w:rsid w:val="0042751A"/>
    <w:rsid w:val="0043065E"/>
    <w:rsid w:val="00430A33"/>
    <w:rsid w:val="00436A4E"/>
    <w:rsid w:val="00436FE3"/>
    <w:rsid w:val="004404D9"/>
    <w:rsid w:val="004412B1"/>
    <w:rsid w:val="00441A31"/>
    <w:rsid w:val="004423F7"/>
    <w:rsid w:val="0044408E"/>
    <w:rsid w:val="004445F8"/>
    <w:rsid w:val="00445A95"/>
    <w:rsid w:val="004479F2"/>
    <w:rsid w:val="004530A1"/>
    <w:rsid w:val="00454254"/>
    <w:rsid w:val="0045774F"/>
    <w:rsid w:val="00460270"/>
    <w:rsid w:val="0046184D"/>
    <w:rsid w:val="00461FAA"/>
    <w:rsid w:val="00466529"/>
    <w:rsid w:val="00467324"/>
    <w:rsid w:val="004703B3"/>
    <w:rsid w:val="004704FC"/>
    <w:rsid w:val="00470564"/>
    <w:rsid w:val="00470E86"/>
    <w:rsid w:val="0047175B"/>
    <w:rsid w:val="00475497"/>
    <w:rsid w:val="00477D91"/>
    <w:rsid w:val="00482E69"/>
    <w:rsid w:val="00484533"/>
    <w:rsid w:val="00484AA2"/>
    <w:rsid w:val="004870A6"/>
    <w:rsid w:val="0048741D"/>
    <w:rsid w:val="004903D2"/>
    <w:rsid w:val="00496AA8"/>
    <w:rsid w:val="00496AAD"/>
    <w:rsid w:val="004A2561"/>
    <w:rsid w:val="004A3344"/>
    <w:rsid w:val="004A605B"/>
    <w:rsid w:val="004B0A4B"/>
    <w:rsid w:val="004B2048"/>
    <w:rsid w:val="004B2532"/>
    <w:rsid w:val="004B40CF"/>
    <w:rsid w:val="004B4F7B"/>
    <w:rsid w:val="004B508B"/>
    <w:rsid w:val="004B561E"/>
    <w:rsid w:val="004B6D29"/>
    <w:rsid w:val="004C0E54"/>
    <w:rsid w:val="004C1282"/>
    <w:rsid w:val="004C3F35"/>
    <w:rsid w:val="004C5906"/>
    <w:rsid w:val="004C6E77"/>
    <w:rsid w:val="004C756D"/>
    <w:rsid w:val="004D07C8"/>
    <w:rsid w:val="004D5032"/>
    <w:rsid w:val="004D72F4"/>
    <w:rsid w:val="004E5445"/>
    <w:rsid w:val="004E5A20"/>
    <w:rsid w:val="004E72CB"/>
    <w:rsid w:val="004F30BA"/>
    <w:rsid w:val="004F434C"/>
    <w:rsid w:val="00500466"/>
    <w:rsid w:val="005004DE"/>
    <w:rsid w:val="005017A0"/>
    <w:rsid w:val="00505527"/>
    <w:rsid w:val="00506533"/>
    <w:rsid w:val="00507BD9"/>
    <w:rsid w:val="005102F9"/>
    <w:rsid w:val="00516FB3"/>
    <w:rsid w:val="0052128D"/>
    <w:rsid w:val="00521CEB"/>
    <w:rsid w:val="00523BB3"/>
    <w:rsid w:val="005240C6"/>
    <w:rsid w:val="00524911"/>
    <w:rsid w:val="0053131B"/>
    <w:rsid w:val="0053310C"/>
    <w:rsid w:val="00534262"/>
    <w:rsid w:val="00534679"/>
    <w:rsid w:val="00536A35"/>
    <w:rsid w:val="00541C57"/>
    <w:rsid w:val="00542459"/>
    <w:rsid w:val="00554883"/>
    <w:rsid w:val="0056595C"/>
    <w:rsid w:val="00572AA6"/>
    <w:rsid w:val="00576A0F"/>
    <w:rsid w:val="00577DC0"/>
    <w:rsid w:val="00580392"/>
    <w:rsid w:val="005805E5"/>
    <w:rsid w:val="00581982"/>
    <w:rsid w:val="005825E7"/>
    <w:rsid w:val="00582C29"/>
    <w:rsid w:val="00585B47"/>
    <w:rsid w:val="00587256"/>
    <w:rsid w:val="00590149"/>
    <w:rsid w:val="005916A6"/>
    <w:rsid w:val="005920F8"/>
    <w:rsid w:val="0059289A"/>
    <w:rsid w:val="005941BA"/>
    <w:rsid w:val="0059457A"/>
    <w:rsid w:val="00595C08"/>
    <w:rsid w:val="00596672"/>
    <w:rsid w:val="005A29E2"/>
    <w:rsid w:val="005A3B04"/>
    <w:rsid w:val="005A7150"/>
    <w:rsid w:val="005B4470"/>
    <w:rsid w:val="005B4C45"/>
    <w:rsid w:val="005B4D0E"/>
    <w:rsid w:val="005B5376"/>
    <w:rsid w:val="005B6448"/>
    <w:rsid w:val="005B656A"/>
    <w:rsid w:val="005C2093"/>
    <w:rsid w:val="005C32BE"/>
    <w:rsid w:val="005C4E4E"/>
    <w:rsid w:val="005D0E73"/>
    <w:rsid w:val="005D27BB"/>
    <w:rsid w:val="005D5196"/>
    <w:rsid w:val="005D5F0D"/>
    <w:rsid w:val="005D5FDE"/>
    <w:rsid w:val="005D753E"/>
    <w:rsid w:val="005E2E45"/>
    <w:rsid w:val="005E364F"/>
    <w:rsid w:val="005E770D"/>
    <w:rsid w:val="005F37D4"/>
    <w:rsid w:val="005F55E0"/>
    <w:rsid w:val="005F5E76"/>
    <w:rsid w:val="00600560"/>
    <w:rsid w:val="0060057E"/>
    <w:rsid w:val="00601C6A"/>
    <w:rsid w:val="00602E95"/>
    <w:rsid w:val="00606248"/>
    <w:rsid w:val="00611592"/>
    <w:rsid w:val="006117FA"/>
    <w:rsid w:val="00612429"/>
    <w:rsid w:val="00615F76"/>
    <w:rsid w:val="00616200"/>
    <w:rsid w:val="006200EB"/>
    <w:rsid w:val="00622C9C"/>
    <w:rsid w:val="00623CCD"/>
    <w:rsid w:val="00631752"/>
    <w:rsid w:val="00633F50"/>
    <w:rsid w:val="00633F9A"/>
    <w:rsid w:val="0064096F"/>
    <w:rsid w:val="00640E7F"/>
    <w:rsid w:val="00645DA8"/>
    <w:rsid w:val="006510BC"/>
    <w:rsid w:val="00651822"/>
    <w:rsid w:val="00654417"/>
    <w:rsid w:val="00655037"/>
    <w:rsid w:val="00656682"/>
    <w:rsid w:val="00656745"/>
    <w:rsid w:val="00660C5A"/>
    <w:rsid w:val="00663500"/>
    <w:rsid w:val="00664891"/>
    <w:rsid w:val="00666621"/>
    <w:rsid w:val="00667F58"/>
    <w:rsid w:val="006707B9"/>
    <w:rsid w:val="006739CD"/>
    <w:rsid w:val="00680B7B"/>
    <w:rsid w:val="00680C6C"/>
    <w:rsid w:val="00681E56"/>
    <w:rsid w:val="0068401A"/>
    <w:rsid w:val="006865FF"/>
    <w:rsid w:val="006904DA"/>
    <w:rsid w:val="00692308"/>
    <w:rsid w:val="0069750D"/>
    <w:rsid w:val="006A12FF"/>
    <w:rsid w:val="006A18C0"/>
    <w:rsid w:val="006A193F"/>
    <w:rsid w:val="006A6B63"/>
    <w:rsid w:val="006A752B"/>
    <w:rsid w:val="006B05AF"/>
    <w:rsid w:val="006B3084"/>
    <w:rsid w:val="006B4BB4"/>
    <w:rsid w:val="006B6BCA"/>
    <w:rsid w:val="006C273D"/>
    <w:rsid w:val="006C60DC"/>
    <w:rsid w:val="006C75F1"/>
    <w:rsid w:val="006D3D99"/>
    <w:rsid w:val="006D5D57"/>
    <w:rsid w:val="006E2C2E"/>
    <w:rsid w:val="006E3353"/>
    <w:rsid w:val="006E3B87"/>
    <w:rsid w:val="006E3E0F"/>
    <w:rsid w:val="006E40D7"/>
    <w:rsid w:val="006E40DD"/>
    <w:rsid w:val="006E44C4"/>
    <w:rsid w:val="006F019C"/>
    <w:rsid w:val="006F5EA9"/>
    <w:rsid w:val="006F7ECC"/>
    <w:rsid w:val="00701F29"/>
    <w:rsid w:val="0070203B"/>
    <w:rsid w:val="00702287"/>
    <w:rsid w:val="00702B4D"/>
    <w:rsid w:val="00702F57"/>
    <w:rsid w:val="007050C4"/>
    <w:rsid w:val="007218A4"/>
    <w:rsid w:val="007233B5"/>
    <w:rsid w:val="00723DE4"/>
    <w:rsid w:val="00726776"/>
    <w:rsid w:val="0072736D"/>
    <w:rsid w:val="007322FE"/>
    <w:rsid w:val="00733E1D"/>
    <w:rsid w:val="00734719"/>
    <w:rsid w:val="00735D7A"/>
    <w:rsid w:val="00740F6E"/>
    <w:rsid w:val="00741159"/>
    <w:rsid w:val="00741F7D"/>
    <w:rsid w:val="00742A93"/>
    <w:rsid w:val="00743DC4"/>
    <w:rsid w:val="00744B62"/>
    <w:rsid w:val="00744D1B"/>
    <w:rsid w:val="0074599A"/>
    <w:rsid w:val="0074599F"/>
    <w:rsid w:val="00753DE5"/>
    <w:rsid w:val="007610A0"/>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2C2C"/>
    <w:rsid w:val="007B4897"/>
    <w:rsid w:val="007C1F65"/>
    <w:rsid w:val="007C2367"/>
    <w:rsid w:val="007C37E4"/>
    <w:rsid w:val="007C3AF9"/>
    <w:rsid w:val="007C464A"/>
    <w:rsid w:val="007C5970"/>
    <w:rsid w:val="007C6200"/>
    <w:rsid w:val="007D0DC3"/>
    <w:rsid w:val="007D129D"/>
    <w:rsid w:val="007D2701"/>
    <w:rsid w:val="007D3D80"/>
    <w:rsid w:val="007D5155"/>
    <w:rsid w:val="007D5DE0"/>
    <w:rsid w:val="007D6E8E"/>
    <w:rsid w:val="007E1C35"/>
    <w:rsid w:val="007E331F"/>
    <w:rsid w:val="007E3971"/>
    <w:rsid w:val="007E4C9C"/>
    <w:rsid w:val="007E4F58"/>
    <w:rsid w:val="007E5C8A"/>
    <w:rsid w:val="007F2580"/>
    <w:rsid w:val="007F25D4"/>
    <w:rsid w:val="007F272D"/>
    <w:rsid w:val="007F6D1E"/>
    <w:rsid w:val="0080207B"/>
    <w:rsid w:val="00803CAA"/>
    <w:rsid w:val="00805371"/>
    <w:rsid w:val="008100F8"/>
    <w:rsid w:val="00811A7A"/>
    <w:rsid w:val="00811AF4"/>
    <w:rsid w:val="0081285F"/>
    <w:rsid w:val="00814EA1"/>
    <w:rsid w:val="00815B0B"/>
    <w:rsid w:val="0082572A"/>
    <w:rsid w:val="00834B5B"/>
    <w:rsid w:val="00835F61"/>
    <w:rsid w:val="00842D9E"/>
    <w:rsid w:val="00843F40"/>
    <w:rsid w:val="00844AC9"/>
    <w:rsid w:val="008457FD"/>
    <w:rsid w:val="00845B0C"/>
    <w:rsid w:val="008528FB"/>
    <w:rsid w:val="0085297D"/>
    <w:rsid w:val="00853517"/>
    <w:rsid w:val="00854A67"/>
    <w:rsid w:val="00854C61"/>
    <w:rsid w:val="008601DB"/>
    <w:rsid w:val="008608B3"/>
    <w:rsid w:val="00862C60"/>
    <w:rsid w:val="0086345E"/>
    <w:rsid w:val="00863F5B"/>
    <w:rsid w:val="00865469"/>
    <w:rsid w:val="00866690"/>
    <w:rsid w:val="00867AFD"/>
    <w:rsid w:val="00867E7F"/>
    <w:rsid w:val="00870196"/>
    <w:rsid w:val="00870A36"/>
    <w:rsid w:val="00871C56"/>
    <w:rsid w:val="00875C9C"/>
    <w:rsid w:val="00877DAC"/>
    <w:rsid w:val="00882784"/>
    <w:rsid w:val="008834E5"/>
    <w:rsid w:val="008840C3"/>
    <w:rsid w:val="00884138"/>
    <w:rsid w:val="00891964"/>
    <w:rsid w:val="0089257E"/>
    <w:rsid w:val="0089294F"/>
    <w:rsid w:val="008929A8"/>
    <w:rsid w:val="00893C78"/>
    <w:rsid w:val="008A0EA4"/>
    <w:rsid w:val="008A4A8D"/>
    <w:rsid w:val="008A5B48"/>
    <w:rsid w:val="008A6548"/>
    <w:rsid w:val="008B1B7A"/>
    <w:rsid w:val="008B4861"/>
    <w:rsid w:val="008C01EF"/>
    <w:rsid w:val="008C1CF8"/>
    <w:rsid w:val="008D1B23"/>
    <w:rsid w:val="008D31FF"/>
    <w:rsid w:val="008D3C87"/>
    <w:rsid w:val="008D3E9B"/>
    <w:rsid w:val="008D456B"/>
    <w:rsid w:val="008D56E1"/>
    <w:rsid w:val="008D5AB3"/>
    <w:rsid w:val="008E73D9"/>
    <w:rsid w:val="008F0729"/>
    <w:rsid w:val="008F16A9"/>
    <w:rsid w:val="008F789A"/>
    <w:rsid w:val="009017D3"/>
    <w:rsid w:val="00906349"/>
    <w:rsid w:val="00912007"/>
    <w:rsid w:val="0091298E"/>
    <w:rsid w:val="00913069"/>
    <w:rsid w:val="009133D3"/>
    <w:rsid w:val="00914102"/>
    <w:rsid w:val="00917A4A"/>
    <w:rsid w:val="00921A03"/>
    <w:rsid w:val="00925624"/>
    <w:rsid w:val="0093033B"/>
    <w:rsid w:val="00933002"/>
    <w:rsid w:val="00934348"/>
    <w:rsid w:val="009344EF"/>
    <w:rsid w:val="00935238"/>
    <w:rsid w:val="00936B9E"/>
    <w:rsid w:val="009436E0"/>
    <w:rsid w:val="00946636"/>
    <w:rsid w:val="00950836"/>
    <w:rsid w:val="00952BDC"/>
    <w:rsid w:val="00955448"/>
    <w:rsid w:val="009560DE"/>
    <w:rsid w:val="009575EF"/>
    <w:rsid w:val="0096333D"/>
    <w:rsid w:val="0096413E"/>
    <w:rsid w:val="0096561C"/>
    <w:rsid w:val="00967D65"/>
    <w:rsid w:val="0097115A"/>
    <w:rsid w:val="00972765"/>
    <w:rsid w:val="00973440"/>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B052B"/>
    <w:rsid w:val="009B0B29"/>
    <w:rsid w:val="009B20F5"/>
    <w:rsid w:val="009B3792"/>
    <w:rsid w:val="009B4007"/>
    <w:rsid w:val="009C600B"/>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1DD"/>
    <w:rsid w:val="00A30A6C"/>
    <w:rsid w:val="00A31630"/>
    <w:rsid w:val="00A36C34"/>
    <w:rsid w:val="00A41F5D"/>
    <w:rsid w:val="00A44C36"/>
    <w:rsid w:val="00A44C43"/>
    <w:rsid w:val="00A46219"/>
    <w:rsid w:val="00A50AAF"/>
    <w:rsid w:val="00A5132D"/>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1AF6"/>
    <w:rsid w:val="00A8272A"/>
    <w:rsid w:val="00A928FF"/>
    <w:rsid w:val="00A933FF"/>
    <w:rsid w:val="00A93451"/>
    <w:rsid w:val="00A939E0"/>
    <w:rsid w:val="00A95269"/>
    <w:rsid w:val="00A95CFF"/>
    <w:rsid w:val="00AA0D7C"/>
    <w:rsid w:val="00AA138C"/>
    <w:rsid w:val="00AA2C74"/>
    <w:rsid w:val="00AA3522"/>
    <w:rsid w:val="00AA668C"/>
    <w:rsid w:val="00AA671F"/>
    <w:rsid w:val="00AB1DA0"/>
    <w:rsid w:val="00AB1DA8"/>
    <w:rsid w:val="00AC2C96"/>
    <w:rsid w:val="00AC35F8"/>
    <w:rsid w:val="00AC624C"/>
    <w:rsid w:val="00AC7067"/>
    <w:rsid w:val="00AC713B"/>
    <w:rsid w:val="00AD0A40"/>
    <w:rsid w:val="00AD0ED8"/>
    <w:rsid w:val="00AD3CB4"/>
    <w:rsid w:val="00AE1518"/>
    <w:rsid w:val="00AE19AE"/>
    <w:rsid w:val="00AE2766"/>
    <w:rsid w:val="00AF1721"/>
    <w:rsid w:val="00AF1897"/>
    <w:rsid w:val="00AF3E28"/>
    <w:rsid w:val="00AF4AEE"/>
    <w:rsid w:val="00AF566E"/>
    <w:rsid w:val="00B038D1"/>
    <w:rsid w:val="00B04FFC"/>
    <w:rsid w:val="00B13BFE"/>
    <w:rsid w:val="00B151F8"/>
    <w:rsid w:val="00B15476"/>
    <w:rsid w:val="00B16355"/>
    <w:rsid w:val="00B16812"/>
    <w:rsid w:val="00B16E4D"/>
    <w:rsid w:val="00B238B4"/>
    <w:rsid w:val="00B24931"/>
    <w:rsid w:val="00B24A2D"/>
    <w:rsid w:val="00B268CE"/>
    <w:rsid w:val="00B33F81"/>
    <w:rsid w:val="00B35472"/>
    <w:rsid w:val="00B4347A"/>
    <w:rsid w:val="00B46DD5"/>
    <w:rsid w:val="00B47628"/>
    <w:rsid w:val="00B47F0C"/>
    <w:rsid w:val="00B508B5"/>
    <w:rsid w:val="00B56CEC"/>
    <w:rsid w:val="00B60F36"/>
    <w:rsid w:val="00B64583"/>
    <w:rsid w:val="00B651EB"/>
    <w:rsid w:val="00B66D9D"/>
    <w:rsid w:val="00B77634"/>
    <w:rsid w:val="00B806BA"/>
    <w:rsid w:val="00B80F00"/>
    <w:rsid w:val="00B94E60"/>
    <w:rsid w:val="00B9579B"/>
    <w:rsid w:val="00B96970"/>
    <w:rsid w:val="00BB0BB3"/>
    <w:rsid w:val="00BB49BE"/>
    <w:rsid w:val="00BB56DF"/>
    <w:rsid w:val="00BB5FEC"/>
    <w:rsid w:val="00BC03E7"/>
    <w:rsid w:val="00BC09FF"/>
    <w:rsid w:val="00BC71A2"/>
    <w:rsid w:val="00BD1381"/>
    <w:rsid w:val="00BD5C9F"/>
    <w:rsid w:val="00BD63D2"/>
    <w:rsid w:val="00BD6B93"/>
    <w:rsid w:val="00BD7A49"/>
    <w:rsid w:val="00BE05F0"/>
    <w:rsid w:val="00BE1FA4"/>
    <w:rsid w:val="00BE2782"/>
    <w:rsid w:val="00BE3C47"/>
    <w:rsid w:val="00BE5B1B"/>
    <w:rsid w:val="00BE728B"/>
    <w:rsid w:val="00BE775C"/>
    <w:rsid w:val="00BF202D"/>
    <w:rsid w:val="00BF45EE"/>
    <w:rsid w:val="00BF58E9"/>
    <w:rsid w:val="00BF6329"/>
    <w:rsid w:val="00BF7373"/>
    <w:rsid w:val="00C001A7"/>
    <w:rsid w:val="00C02769"/>
    <w:rsid w:val="00C02A1B"/>
    <w:rsid w:val="00C02ED5"/>
    <w:rsid w:val="00C031C1"/>
    <w:rsid w:val="00C126F3"/>
    <w:rsid w:val="00C12A49"/>
    <w:rsid w:val="00C12B92"/>
    <w:rsid w:val="00C2011C"/>
    <w:rsid w:val="00C20423"/>
    <w:rsid w:val="00C212AE"/>
    <w:rsid w:val="00C24124"/>
    <w:rsid w:val="00C25CB6"/>
    <w:rsid w:val="00C344F2"/>
    <w:rsid w:val="00C455CF"/>
    <w:rsid w:val="00C457F8"/>
    <w:rsid w:val="00C46E62"/>
    <w:rsid w:val="00C47FFA"/>
    <w:rsid w:val="00C5343A"/>
    <w:rsid w:val="00C5437B"/>
    <w:rsid w:val="00C569D9"/>
    <w:rsid w:val="00C56BC2"/>
    <w:rsid w:val="00C609FC"/>
    <w:rsid w:val="00C61B91"/>
    <w:rsid w:val="00C67860"/>
    <w:rsid w:val="00C703A8"/>
    <w:rsid w:val="00C77A1A"/>
    <w:rsid w:val="00C81C18"/>
    <w:rsid w:val="00C81CBC"/>
    <w:rsid w:val="00C8485E"/>
    <w:rsid w:val="00C84BCE"/>
    <w:rsid w:val="00C87684"/>
    <w:rsid w:val="00C95B01"/>
    <w:rsid w:val="00CB2E3A"/>
    <w:rsid w:val="00CB2EA8"/>
    <w:rsid w:val="00CB660B"/>
    <w:rsid w:val="00CC0142"/>
    <w:rsid w:val="00CC1C34"/>
    <w:rsid w:val="00CC21DC"/>
    <w:rsid w:val="00CC3BF6"/>
    <w:rsid w:val="00CC72CB"/>
    <w:rsid w:val="00CD4830"/>
    <w:rsid w:val="00CD6296"/>
    <w:rsid w:val="00CE04CE"/>
    <w:rsid w:val="00CE0815"/>
    <w:rsid w:val="00CE0E0B"/>
    <w:rsid w:val="00CE2B62"/>
    <w:rsid w:val="00CE34E1"/>
    <w:rsid w:val="00CE7058"/>
    <w:rsid w:val="00CF03A8"/>
    <w:rsid w:val="00CF19B9"/>
    <w:rsid w:val="00CF39DF"/>
    <w:rsid w:val="00CF4B32"/>
    <w:rsid w:val="00D03F44"/>
    <w:rsid w:val="00D04432"/>
    <w:rsid w:val="00D05CBF"/>
    <w:rsid w:val="00D10A73"/>
    <w:rsid w:val="00D112CB"/>
    <w:rsid w:val="00D13222"/>
    <w:rsid w:val="00D2234C"/>
    <w:rsid w:val="00D23626"/>
    <w:rsid w:val="00D2428A"/>
    <w:rsid w:val="00D245C4"/>
    <w:rsid w:val="00D3072A"/>
    <w:rsid w:val="00D33691"/>
    <w:rsid w:val="00D33B65"/>
    <w:rsid w:val="00D40F43"/>
    <w:rsid w:val="00D4366E"/>
    <w:rsid w:val="00D477E1"/>
    <w:rsid w:val="00D50E2C"/>
    <w:rsid w:val="00D51726"/>
    <w:rsid w:val="00D53062"/>
    <w:rsid w:val="00D55000"/>
    <w:rsid w:val="00D5573C"/>
    <w:rsid w:val="00D557A8"/>
    <w:rsid w:val="00D6386B"/>
    <w:rsid w:val="00D7054B"/>
    <w:rsid w:val="00D739BF"/>
    <w:rsid w:val="00D745C3"/>
    <w:rsid w:val="00D74A86"/>
    <w:rsid w:val="00D772AC"/>
    <w:rsid w:val="00D77436"/>
    <w:rsid w:val="00D828CA"/>
    <w:rsid w:val="00D83486"/>
    <w:rsid w:val="00D83F8A"/>
    <w:rsid w:val="00D858FC"/>
    <w:rsid w:val="00D92C98"/>
    <w:rsid w:val="00DA1802"/>
    <w:rsid w:val="00DA2BCB"/>
    <w:rsid w:val="00DA5B2D"/>
    <w:rsid w:val="00DA647E"/>
    <w:rsid w:val="00DB1058"/>
    <w:rsid w:val="00DB13B7"/>
    <w:rsid w:val="00DB2412"/>
    <w:rsid w:val="00DB3A88"/>
    <w:rsid w:val="00DB45BC"/>
    <w:rsid w:val="00DC1507"/>
    <w:rsid w:val="00DC1C4F"/>
    <w:rsid w:val="00DC3BA0"/>
    <w:rsid w:val="00DC45A3"/>
    <w:rsid w:val="00DC6487"/>
    <w:rsid w:val="00DD0042"/>
    <w:rsid w:val="00DD0BF9"/>
    <w:rsid w:val="00DD2357"/>
    <w:rsid w:val="00DD5383"/>
    <w:rsid w:val="00DD62CA"/>
    <w:rsid w:val="00DE39C1"/>
    <w:rsid w:val="00DE42CB"/>
    <w:rsid w:val="00DE5C35"/>
    <w:rsid w:val="00DE76B1"/>
    <w:rsid w:val="00DF332D"/>
    <w:rsid w:val="00DF3C00"/>
    <w:rsid w:val="00DF54BF"/>
    <w:rsid w:val="00E00E74"/>
    <w:rsid w:val="00E04553"/>
    <w:rsid w:val="00E04A06"/>
    <w:rsid w:val="00E1341F"/>
    <w:rsid w:val="00E13F2F"/>
    <w:rsid w:val="00E167D4"/>
    <w:rsid w:val="00E20C2F"/>
    <w:rsid w:val="00E23CE5"/>
    <w:rsid w:val="00E24413"/>
    <w:rsid w:val="00E245DB"/>
    <w:rsid w:val="00E27B91"/>
    <w:rsid w:val="00E30B82"/>
    <w:rsid w:val="00E40C6B"/>
    <w:rsid w:val="00E513ED"/>
    <w:rsid w:val="00E51489"/>
    <w:rsid w:val="00E52BF8"/>
    <w:rsid w:val="00E52CD4"/>
    <w:rsid w:val="00E5365C"/>
    <w:rsid w:val="00E5367B"/>
    <w:rsid w:val="00E61ACB"/>
    <w:rsid w:val="00E61E9A"/>
    <w:rsid w:val="00E62117"/>
    <w:rsid w:val="00E64C1B"/>
    <w:rsid w:val="00E64FBB"/>
    <w:rsid w:val="00E668F2"/>
    <w:rsid w:val="00E67FF7"/>
    <w:rsid w:val="00E731C8"/>
    <w:rsid w:val="00E74D7B"/>
    <w:rsid w:val="00E75E81"/>
    <w:rsid w:val="00E7753E"/>
    <w:rsid w:val="00E8229F"/>
    <w:rsid w:val="00E84F38"/>
    <w:rsid w:val="00E86E2E"/>
    <w:rsid w:val="00E90880"/>
    <w:rsid w:val="00E9552A"/>
    <w:rsid w:val="00E97129"/>
    <w:rsid w:val="00EA0FFE"/>
    <w:rsid w:val="00EA2F6B"/>
    <w:rsid w:val="00EA3580"/>
    <w:rsid w:val="00EA4433"/>
    <w:rsid w:val="00EA4CB1"/>
    <w:rsid w:val="00EA6C89"/>
    <w:rsid w:val="00EB038F"/>
    <w:rsid w:val="00EB2C05"/>
    <w:rsid w:val="00EB636B"/>
    <w:rsid w:val="00EC2700"/>
    <w:rsid w:val="00EC2BC5"/>
    <w:rsid w:val="00EC3EC2"/>
    <w:rsid w:val="00EC4946"/>
    <w:rsid w:val="00ED0C47"/>
    <w:rsid w:val="00ED261F"/>
    <w:rsid w:val="00ED4B0C"/>
    <w:rsid w:val="00ED7E17"/>
    <w:rsid w:val="00EE02D2"/>
    <w:rsid w:val="00EE189C"/>
    <w:rsid w:val="00EE1F79"/>
    <w:rsid w:val="00EE2488"/>
    <w:rsid w:val="00EE2E32"/>
    <w:rsid w:val="00EF076D"/>
    <w:rsid w:val="00EF0DF4"/>
    <w:rsid w:val="00EF1320"/>
    <w:rsid w:val="00EF1B6C"/>
    <w:rsid w:val="00EF1D28"/>
    <w:rsid w:val="00EF23C5"/>
    <w:rsid w:val="00EF3AB7"/>
    <w:rsid w:val="00EF4AF6"/>
    <w:rsid w:val="00EF5902"/>
    <w:rsid w:val="00EF60E9"/>
    <w:rsid w:val="00F03429"/>
    <w:rsid w:val="00F03952"/>
    <w:rsid w:val="00F04626"/>
    <w:rsid w:val="00F144F5"/>
    <w:rsid w:val="00F15B33"/>
    <w:rsid w:val="00F17B03"/>
    <w:rsid w:val="00F20A99"/>
    <w:rsid w:val="00F2279E"/>
    <w:rsid w:val="00F228AA"/>
    <w:rsid w:val="00F22ACA"/>
    <w:rsid w:val="00F30DA8"/>
    <w:rsid w:val="00F3225E"/>
    <w:rsid w:val="00F3259B"/>
    <w:rsid w:val="00F35794"/>
    <w:rsid w:val="00F369E1"/>
    <w:rsid w:val="00F40575"/>
    <w:rsid w:val="00F417F5"/>
    <w:rsid w:val="00F429B0"/>
    <w:rsid w:val="00F45654"/>
    <w:rsid w:val="00F5007E"/>
    <w:rsid w:val="00F50ADB"/>
    <w:rsid w:val="00F532DA"/>
    <w:rsid w:val="00F539E1"/>
    <w:rsid w:val="00F55C2B"/>
    <w:rsid w:val="00F57066"/>
    <w:rsid w:val="00F57DEA"/>
    <w:rsid w:val="00F64D5D"/>
    <w:rsid w:val="00F65B61"/>
    <w:rsid w:val="00F746F2"/>
    <w:rsid w:val="00F749BD"/>
    <w:rsid w:val="00F74DE6"/>
    <w:rsid w:val="00F74F2B"/>
    <w:rsid w:val="00F772C2"/>
    <w:rsid w:val="00F8059C"/>
    <w:rsid w:val="00F83FF3"/>
    <w:rsid w:val="00F86D0A"/>
    <w:rsid w:val="00F97A6C"/>
    <w:rsid w:val="00FA1CB6"/>
    <w:rsid w:val="00FA27B2"/>
    <w:rsid w:val="00FA40C4"/>
    <w:rsid w:val="00FA53E3"/>
    <w:rsid w:val="00FA60D0"/>
    <w:rsid w:val="00FB0407"/>
    <w:rsid w:val="00FB54F6"/>
    <w:rsid w:val="00FB5B70"/>
    <w:rsid w:val="00FB65F8"/>
    <w:rsid w:val="00FB6AEF"/>
    <w:rsid w:val="00FB6DF4"/>
    <w:rsid w:val="00FC0D49"/>
    <w:rsid w:val="00FC5438"/>
    <w:rsid w:val="00FD4E73"/>
    <w:rsid w:val="00FD52FE"/>
    <w:rsid w:val="00FD5DD6"/>
    <w:rsid w:val="00FE0695"/>
    <w:rsid w:val="00FE43A5"/>
    <w:rsid w:val="00FE4F29"/>
    <w:rsid w:val="00FE76F4"/>
    <w:rsid w:val="00FF2AF7"/>
    <w:rsid w:val="00FF3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8412350">
      <w:bodyDiv w:val="1"/>
      <w:marLeft w:val="0"/>
      <w:marRight w:val="0"/>
      <w:marTop w:val="0"/>
      <w:marBottom w:val="0"/>
      <w:divBdr>
        <w:top w:val="none" w:sz="0" w:space="0" w:color="auto"/>
        <w:left w:val="none" w:sz="0" w:space="0" w:color="auto"/>
        <w:bottom w:val="none" w:sz="0" w:space="0" w:color="auto"/>
        <w:right w:val="none" w:sz="0" w:space="0" w:color="auto"/>
      </w:divBdr>
    </w:div>
    <w:div w:id="11348500">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05914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2970237">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0809813">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66851236">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73282001">
      <w:bodyDiv w:val="1"/>
      <w:marLeft w:val="0"/>
      <w:marRight w:val="0"/>
      <w:marTop w:val="0"/>
      <w:marBottom w:val="0"/>
      <w:divBdr>
        <w:top w:val="none" w:sz="0" w:space="0" w:color="auto"/>
        <w:left w:val="none" w:sz="0" w:space="0" w:color="auto"/>
        <w:bottom w:val="none" w:sz="0" w:space="0" w:color="auto"/>
        <w:right w:val="none" w:sz="0" w:space="0" w:color="auto"/>
      </w:divBdr>
    </w:div>
    <w:div w:id="80762677">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6468240">
      <w:bodyDiv w:val="1"/>
      <w:marLeft w:val="0"/>
      <w:marRight w:val="0"/>
      <w:marTop w:val="0"/>
      <w:marBottom w:val="0"/>
      <w:divBdr>
        <w:top w:val="none" w:sz="0" w:space="0" w:color="auto"/>
        <w:left w:val="none" w:sz="0" w:space="0" w:color="auto"/>
        <w:bottom w:val="none" w:sz="0" w:space="0" w:color="auto"/>
        <w:right w:val="none" w:sz="0" w:space="0" w:color="auto"/>
      </w:divBdr>
    </w:div>
    <w:div w:id="87048614">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0855589">
      <w:bodyDiv w:val="1"/>
      <w:marLeft w:val="0"/>
      <w:marRight w:val="0"/>
      <w:marTop w:val="0"/>
      <w:marBottom w:val="0"/>
      <w:divBdr>
        <w:top w:val="none" w:sz="0" w:space="0" w:color="auto"/>
        <w:left w:val="none" w:sz="0" w:space="0" w:color="auto"/>
        <w:bottom w:val="none" w:sz="0" w:space="0" w:color="auto"/>
        <w:right w:val="none" w:sz="0" w:space="0" w:color="auto"/>
      </w:divBdr>
    </w:div>
    <w:div w:id="91898856">
      <w:bodyDiv w:val="1"/>
      <w:marLeft w:val="0"/>
      <w:marRight w:val="0"/>
      <w:marTop w:val="0"/>
      <w:marBottom w:val="0"/>
      <w:divBdr>
        <w:top w:val="none" w:sz="0" w:space="0" w:color="auto"/>
        <w:left w:val="none" w:sz="0" w:space="0" w:color="auto"/>
        <w:bottom w:val="none" w:sz="0" w:space="0" w:color="auto"/>
        <w:right w:val="none" w:sz="0" w:space="0" w:color="auto"/>
      </w:divBdr>
    </w:div>
    <w:div w:id="95907449">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4192">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049961">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2815543">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668628">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4833725">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39076948">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0970064">
      <w:bodyDiv w:val="1"/>
      <w:marLeft w:val="0"/>
      <w:marRight w:val="0"/>
      <w:marTop w:val="0"/>
      <w:marBottom w:val="0"/>
      <w:divBdr>
        <w:top w:val="none" w:sz="0" w:space="0" w:color="auto"/>
        <w:left w:val="none" w:sz="0" w:space="0" w:color="auto"/>
        <w:bottom w:val="none" w:sz="0" w:space="0" w:color="auto"/>
        <w:right w:val="none" w:sz="0" w:space="0" w:color="auto"/>
      </w:divBdr>
    </w:div>
    <w:div w:id="142813658">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5977420">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59542390">
      <w:bodyDiv w:val="1"/>
      <w:marLeft w:val="0"/>
      <w:marRight w:val="0"/>
      <w:marTop w:val="0"/>
      <w:marBottom w:val="0"/>
      <w:divBdr>
        <w:top w:val="none" w:sz="0" w:space="0" w:color="auto"/>
        <w:left w:val="none" w:sz="0" w:space="0" w:color="auto"/>
        <w:bottom w:val="none" w:sz="0" w:space="0" w:color="auto"/>
        <w:right w:val="none" w:sz="0" w:space="0" w:color="auto"/>
      </w:divBdr>
    </w:div>
    <w:div w:id="159783113">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4224556">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3293133">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4631873">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5843176">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38371705">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43802310">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6522110">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58489343">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2492486">
      <w:bodyDiv w:val="1"/>
      <w:marLeft w:val="0"/>
      <w:marRight w:val="0"/>
      <w:marTop w:val="0"/>
      <w:marBottom w:val="0"/>
      <w:divBdr>
        <w:top w:val="none" w:sz="0" w:space="0" w:color="auto"/>
        <w:left w:val="none" w:sz="0" w:space="0" w:color="auto"/>
        <w:bottom w:val="none" w:sz="0" w:space="0" w:color="auto"/>
        <w:right w:val="none" w:sz="0" w:space="0" w:color="auto"/>
      </w:divBdr>
    </w:div>
    <w:div w:id="264653535">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082787">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0670463">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3269884">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1131251">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5403844">
      <w:bodyDiv w:val="1"/>
      <w:marLeft w:val="0"/>
      <w:marRight w:val="0"/>
      <w:marTop w:val="0"/>
      <w:marBottom w:val="0"/>
      <w:divBdr>
        <w:top w:val="none" w:sz="0" w:space="0" w:color="auto"/>
        <w:left w:val="none" w:sz="0" w:space="0" w:color="auto"/>
        <w:bottom w:val="none" w:sz="0" w:space="0" w:color="auto"/>
        <w:right w:val="none" w:sz="0" w:space="0" w:color="auto"/>
      </w:divBdr>
    </w:div>
    <w:div w:id="306471012">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6302952">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42568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4362741">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6732322">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3433629">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47609286">
      <w:bodyDiv w:val="1"/>
      <w:marLeft w:val="0"/>
      <w:marRight w:val="0"/>
      <w:marTop w:val="0"/>
      <w:marBottom w:val="0"/>
      <w:divBdr>
        <w:top w:val="none" w:sz="0" w:space="0" w:color="auto"/>
        <w:left w:val="none" w:sz="0" w:space="0" w:color="auto"/>
        <w:bottom w:val="none" w:sz="0" w:space="0" w:color="auto"/>
        <w:right w:val="none" w:sz="0" w:space="0" w:color="auto"/>
      </w:divBdr>
    </w:div>
    <w:div w:id="348677157">
      <w:bodyDiv w:val="1"/>
      <w:marLeft w:val="0"/>
      <w:marRight w:val="0"/>
      <w:marTop w:val="0"/>
      <w:marBottom w:val="0"/>
      <w:divBdr>
        <w:top w:val="none" w:sz="0" w:space="0" w:color="auto"/>
        <w:left w:val="none" w:sz="0" w:space="0" w:color="auto"/>
        <w:bottom w:val="none" w:sz="0" w:space="0" w:color="auto"/>
        <w:right w:val="none" w:sz="0" w:space="0" w:color="auto"/>
      </w:divBdr>
    </w:div>
    <w:div w:id="349917130">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3553987">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4869044">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68069600">
      <w:bodyDiv w:val="1"/>
      <w:marLeft w:val="0"/>
      <w:marRight w:val="0"/>
      <w:marTop w:val="0"/>
      <w:marBottom w:val="0"/>
      <w:divBdr>
        <w:top w:val="none" w:sz="0" w:space="0" w:color="auto"/>
        <w:left w:val="none" w:sz="0" w:space="0" w:color="auto"/>
        <w:bottom w:val="none" w:sz="0" w:space="0" w:color="auto"/>
        <w:right w:val="none" w:sz="0" w:space="0" w:color="auto"/>
      </w:divBdr>
    </w:div>
    <w:div w:id="368529849">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76856304">
      <w:bodyDiv w:val="1"/>
      <w:marLeft w:val="0"/>
      <w:marRight w:val="0"/>
      <w:marTop w:val="0"/>
      <w:marBottom w:val="0"/>
      <w:divBdr>
        <w:top w:val="none" w:sz="0" w:space="0" w:color="auto"/>
        <w:left w:val="none" w:sz="0" w:space="0" w:color="auto"/>
        <w:bottom w:val="none" w:sz="0" w:space="0" w:color="auto"/>
        <w:right w:val="none" w:sz="0" w:space="0" w:color="auto"/>
      </w:divBdr>
    </w:div>
    <w:div w:id="379718312">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4401023">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245710">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184450">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3794707">
      <w:bodyDiv w:val="1"/>
      <w:marLeft w:val="0"/>
      <w:marRight w:val="0"/>
      <w:marTop w:val="0"/>
      <w:marBottom w:val="0"/>
      <w:divBdr>
        <w:top w:val="none" w:sz="0" w:space="0" w:color="auto"/>
        <w:left w:val="none" w:sz="0" w:space="0" w:color="auto"/>
        <w:bottom w:val="none" w:sz="0" w:space="0" w:color="auto"/>
        <w:right w:val="none" w:sz="0" w:space="0" w:color="auto"/>
      </w:divBdr>
    </w:div>
    <w:div w:id="406608276">
      <w:bodyDiv w:val="1"/>
      <w:marLeft w:val="0"/>
      <w:marRight w:val="0"/>
      <w:marTop w:val="0"/>
      <w:marBottom w:val="0"/>
      <w:divBdr>
        <w:top w:val="none" w:sz="0" w:space="0" w:color="auto"/>
        <w:left w:val="none" w:sz="0" w:space="0" w:color="auto"/>
        <w:bottom w:val="none" w:sz="0" w:space="0" w:color="auto"/>
        <w:right w:val="none" w:sz="0" w:space="0" w:color="auto"/>
      </w:divBdr>
    </w:div>
    <w:div w:id="406806089">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204368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5975935">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432008">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1828851">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5270147">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8929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073036">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4443481">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09026812">
      <w:bodyDiv w:val="1"/>
      <w:marLeft w:val="0"/>
      <w:marRight w:val="0"/>
      <w:marTop w:val="0"/>
      <w:marBottom w:val="0"/>
      <w:divBdr>
        <w:top w:val="none" w:sz="0" w:space="0" w:color="auto"/>
        <w:left w:val="none" w:sz="0" w:space="0" w:color="auto"/>
        <w:bottom w:val="none" w:sz="0" w:space="0" w:color="auto"/>
        <w:right w:val="none" w:sz="0" w:space="0" w:color="auto"/>
      </w:divBdr>
    </w:div>
    <w:div w:id="513421167">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5970361">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3078774">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162613">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38300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67691284">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76670581">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7611845">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1054210">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37999419">
      <w:bodyDiv w:val="1"/>
      <w:marLeft w:val="0"/>
      <w:marRight w:val="0"/>
      <w:marTop w:val="0"/>
      <w:marBottom w:val="0"/>
      <w:divBdr>
        <w:top w:val="none" w:sz="0" w:space="0" w:color="auto"/>
        <w:left w:val="none" w:sz="0" w:space="0" w:color="auto"/>
        <w:bottom w:val="none" w:sz="0" w:space="0" w:color="auto"/>
        <w:right w:val="none" w:sz="0" w:space="0" w:color="auto"/>
      </w:divBdr>
    </w:div>
    <w:div w:id="638531809">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1202064">
      <w:bodyDiv w:val="1"/>
      <w:marLeft w:val="0"/>
      <w:marRight w:val="0"/>
      <w:marTop w:val="0"/>
      <w:marBottom w:val="0"/>
      <w:divBdr>
        <w:top w:val="none" w:sz="0" w:space="0" w:color="auto"/>
        <w:left w:val="none" w:sz="0" w:space="0" w:color="auto"/>
        <w:bottom w:val="none" w:sz="0" w:space="0" w:color="auto"/>
        <w:right w:val="none" w:sz="0" w:space="0" w:color="auto"/>
      </w:divBdr>
    </w:div>
    <w:div w:id="66382416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1399300">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044668">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9456663">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1612002">
      <w:bodyDiv w:val="1"/>
      <w:marLeft w:val="0"/>
      <w:marRight w:val="0"/>
      <w:marTop w:val="0"/>
      <w:marBottom w:val="0"/>
      <w:divBdr>
        <w:top w:val="none" w:sz="0" w:space="0" w:color="auto"/>
        <w:left w:val="none" w:sz="0" w:space="0" w:color="auto"/>
        <w:bottom w:val="none" w:sz="0" w:space="0" w:color="auto"/>
        <w:right w:val="none" w:sz="0" w:space="0" w:color="auto"/>
      </w:divBdr>
    </w:div>
    <w:div w:id="712659216">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503434">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5420204">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0398658">
      <w:bodyDiv w:val="1"/>
      <w:marLeft w:val="0"/>
      <w:marRight w:val="0"/>
      <w:marTop w:val="0"/>
      <w:marBottom w:val="0"/>
      <w:divBdr>
        <w:top w:val="none" w:sz="0" w:space="0" w:color="auto"/>
        <w:left w:val="none" w:sz="0" w:space="0" w:color="auto"/>
        <w:bottom w:val="none" w:sz="0" w:space="0" w:color="auto"/>
        <w:right w:val="none" w:sz="0" w:space="0" w:color="auto"/>
      </w:divBdr>
    </w:div>
    <w:div w:id="772938847">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7289416">
      <w:bodyDiv w:val="1"/>
      <w:marLeft w:val="0"/>
      <w:marRight w:val="0"/>
      <w:marTop w:val="0"/>
      <w:marBottom w:val="0"/>
      <w:divBdr>
        <w:top w:val="none" w:sz="0" w:space="0" w:color="auto"/>
        <w:left w:val="none" w:sz="0" w:space="0" w:color="auto"/>
        <w:bottom w:val="none" w:sz="0" w:space="0" w:color="auto"/>
        <w:right w:val="none" w:sz="0" w:space="0" w:color="auto"/>
      </w:divBdr>
    </w:div>
    <w:div w:id="777607012">
      <w:bodyDiv w:val="1"/>
      <w:marLeft w:val="0"/>
      <w:marRight w:val="0"/>
      <w:marTop w:val="0"/>
      <w:marBottom w:val="0"/>
      <w:divBdr>
        <w:top w:val="none" w:sz="0" w:space="0" w:color="auto"/>
        <w:left w:val="none" w:sz="0" w:space="0" w:color="auto"/>
        <w:bottom w:val="none" w:sz="0" w:space="0" w:color="auto"/>
        <w:right w:val="none" w:sz="0" w:space="0" w:color="auto"/>
      </w:divBdr>
    </w:div>
    <w:div w:id="77872455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5583885">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796022287">
      <w:bodyDiv w:val="1"/>
      <w:marLeft w:val="0"/>
      <w:marRight w:val="0"/>
      <w:marTop w:val="0"/>
      <w:marBottom w:val="0"/>
      <w:divBdr>
        <w:top w:val="none" w:sz="0" w:space="0" w:color="auto"/>
        <w:left w:val="none" w:sz="0" w:space="0" w:color="auto"/>
        <w:bottom w:val="none" w:sz="0" w:space="0" w:color="auto"/>
        <w:right w:val="none" w:sz="0" w:space="0" w:color="auto"/>
      </w:divBdr>
    </w:div>
    <w:div w:id="796139384">
      <w:bodyDiv w:val="1"/>
      <w:marLeft w:val="0"/>
      <w:marRight w:val="0"/>
      <w:marTop w:val="0"/>
      <w:marBottom w:val="0"/>
      <w:divBdr>
        <w:top w:val="none" w:sz="0" w:space="0" w:color="auto"/>
        <w:left w:val="none" w:sz="0" w:space="0" w:color="auto"/>
        <w:bottom w:val="none" w:sz="0" w:space="0" w:color="auto"/>
        <w:right w:val="none" w:sz="0" w:space="0" w:color="auto"/>
      </w:divBdr>
    </w:div>
    <w:div w:id="801924707">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3935547">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6481640">
      <w:bodyDiv w:val="1"/>
      <w:marLeft w:val="0"/>
      <w:marRight w:val="0"/>
      <w:marTop w:val="0"/>
      <w:marBottom w:val="0"/>
      <w:divBdr>
        <w:top w:val="none" w:sz="0" w:space="0" w:color="auto"/>
        <w:left w:val="none" w:sz="0" w:space="0" w:color="auto"/>
        <w:bottom w:val="none" w:sz="0" w:space="0" w:color="auto"/>
        <w:right w:val="none" w:sz="0" w:space="0" w:color="auto"/>
      </w:divBdr>
    </w:div>
    <w:div w:id="828060367">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0974875">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1896334">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7176887">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74540804">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1399870">
      <w:bodyDiv w:val="1"/>
      <w:marLeft w:val="0"/>
      <w:marRight w:val="0"/>
      <w:marTop w:val="0"/>
      <w:marBottom w:val="0"/>
      <w:divBdr>
        <w:top w:val="none" w:sz="0" w:space="0" w:color="auto"/>
        <w:left w:val="none" w:sz="0" w:space="0" w:color="auto"/>
        <w:bottom w:val="none" w:sz="0" w:space="0" w:color="auto"/>
        <w:right w:val="none" w:sz="0" w:space="0" w:color="auto"/>
      </w:divBdr>
    </w:div>
    <w:div w:id="881405849">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4875661">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0507368">
      <w:bodyDiv w:val="1"/>
      <w:marLeft w:val="0"/>
      <w:marRight w:val="0"/>
      <w:marTop w:val="0"/>
      <w:marBottom w:val="0"/>
      <w:divBdr>
        <w:top w:val="none" w:sz="0" w:space="0" w:color="auto"/>
        <w:left w:val="none" w:sz="0" w:space="0" w:color="auto"/>
        <w:bottom w:val="none" w:sz="0" w:space="0" w:color="auto"/>
        <w:right w:val="none" w:sz="0" w:space="0" w:color="auto"/>
      </w:divBdr>
    </w:div>
    <w:div w:id="890772285">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8134465">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1793486">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8371247">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46500885">
      <w:bodyDiv w:val="1"/>
      <w:marLeft w:val="0"/>
      <w:marRight w:val="0"/>
      <w:marTop w:val="0"/>
      <w:marBottom w:val="0"/>
      <w:divBdr>
        <w:top w:val="none" w:sz="0" w:space="0" w:color="auto"/>
        <w:left w:val="none" w:sz="0" w:space="0" w:color="auto"/>
        <w:bottom w:val="none" w:sz="0" w:space="0" w:color="auto"/>
        <w:right w:val="none" w:sz="0" w:space="0" w:color="auto"/>
      </w:divBdr>
    </w:div>
    <w:div w:id="94955476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2328170">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5937559">
      <w:bodyDiv w:val="1"/>
      <w:marLeft w:val="0"/>
      <w:marRight w:val="0"/>
      <w:marTop w:val="0"/>
      <w:marBottom w:val="0"/>
      <w:divBdr>
        <w:top w:val="none" w:sz="0" w:space="0" w:color="auto"/>
        <w:left w:val="none" w:sz="0" w:space="0" w:color="auto"/>
        <w:bottom w:val="none" w:sz="0" w:space="0" w:color="auto"/>
        <w:right w:val="none" w:sz="0" w:space="0" w:color="auto"/>
      </w:divBdr>
    </w:div>
    <w:div w:id="967705179">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48378">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88360655">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74906">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106343">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450005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16614248">
      <w:bodyDiv w:val="1"/>
      <w:marLeft w:val="0"/>
      <w:marRight w:val="0"/>
      <w:marTop w:val="0"/>
      <w:marBottom w:val="0"/>
      <w:divBdr>
        <w:top w:val="none" w:sz="0" w:space="0" w:color="auto"/>
        <w:left w:val="none" w:sz="0" w:space="0" w:color="auto"/>
        <w:bottom w:val="none" w:sz="0" w:space="0" w:color="auto"/>
        <w:right w:val="none" w:sz="0" w:space="0" w:color="auto"/>
      </w:divBdr>
    </w:div>
    <w:div w:id="1019165971">
      <w:bodyDiv w:val="1"/>
      <w:marLeft w:val="0"/>
      <w:marRight w:val="0"/>
      <w:marTop w:val="0"/>
      <w:marBottom w:val="0"/>
      <w:divBdr>
        <w:top w:val="none" w:sz="0" w:space="0" w:color="auto"/>
        <w:left w:val="none" w:sz="0" w:space="0" w:color="auto"/>
        <w:bottom w:val="none" w:sz="0" w:space="0" w:color="auto"/>
        <w:right w:val="none" w:sz="0" w:space="0" w:color="auto"/>
      </w:divBdr>
    </w:div>
    <w:div w:id="1021395209">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2418817">
      <w:bodyDiv w:val="1"/>
      <w:marLeft w:val="0"/>
      <w:marRight w:val="0"/>
      <w:marTop w:val="0"/>
      <w:marBottom w:val="0"/>
      <w:divBdr>
        <w:top w:val="none" w:sz="0" w:space="0" w:color="auto"/>
        <w:left w:val="none" w:sz="0" w:space="0" w:color="auto"/>
        <w:bottom w:val="none" w:sz="0" w:space="0" w:color="auto"/>
        <w:right w:val="none" w:sz="0" w:space="0" w:color="auto"/>
      </w:divBdr>
    </w:div>
    <w:div w:id="1036194855">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7585244">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1858279">
      <w:bodyDiv w:val="1"/>
      <w:marLeft w:val="0"/>
      <w:marRight w:val="0"/>
      <w:marTop w:val="0"/>
      <w:marBottom w:val="0"/>
      <w:divBdr>
        <w:top w:val="none" w:sz="0" w:space="0" w:color="auto"/>
        <w:left w:val="none" w:sz="0" w:space="0" w:color="auto"/>
        <w:bottom w:val="none" w:sz="0" w:space="0" w:color="auto"/>
        <w:right w:val="none" w:sz="0" w:space="0" w:color="auto"/>
      </w:divBdr>
    </w:div>
    <w:div w:id="1044478488">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583863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6827063">
      <w:bodyDiv w:val="1"/>
      <w:marLeft w:val="0"/>
      <w:marRight w:val="0"/>
      <w:marTop w:val="0"/>
      <w:marBottom w:val="0"/>
      <w:divBdr>
        <w:top w:val="none" w:sz="0" w:space="0" w:color="auto"/>
        <w:left w:val="none" w:sz="0" w:space="0" w:color="auto"/>
        <w:bottom w:val="none" w:sz="0" w:space="0" w:color="auto"/>
        <w:right w:val="none" w:sz="0" w:space="0" w:color="auto"/>
      </w:divBdr>
    </w:div>
    <w:div w:id="1078594704">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1952573">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312224">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01303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2382232">
      <w:bodyDiv w:val="1"/>
      <w:marLeft w:val="0"/>
      <w:marRight w:val="0"/>
      <w:marTop w:val="0"/>
      <w:marBottom w:val="0"/>
      <w:divBdr>
        <w:top w:val="none" w:sz="0" w:space="0" w:color="auto"/>
        <w:left w:val="none" w:sz="0" w:space="0" w:color="auto"/>
        <w:bottom w:val="none" w:sz="0" w:space="0" w:color="auto"/>
        <w:right w:val="none" w:sz="0" w:space="0" w:color="auto"/>
      </w:divBdr>
    </w:div>
    <w:div w:id="1103301394">
      <w:bodyDiv w:val="1"/>
      <w:marLeft w:val="0"/>
      <w:marRight w:val="0"/>
      <w:marTop w:val="0"/>
      <w:marBottom w:val="0"/>
      <w:divBdr>
        <w:top w:val="none" w:sz="0" w:space="0" w:color="auto"/>
        <w:left w:val="none" w:sz="0" w:space="0" w:color="auto"/>
        <w:bottom w:val="none" w:sz="0" w:space="0" w:color="auto"/>
        <w:right w:val="none" w:sz="0" w:space="0" w:color="auto"/>
      </w:divBdr>
    </w:div>
    <w:div w:id="110403131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14445859">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4104728">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0732284">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2622543">
      <w:bodyDiv w:val="1"/>
      <w:marLeft w:val="0"/>
      <w:marRight w:val="0"/>
      <w:marTop w:val="0"/>
      <w:marBottom w:val="0"/>
      <w:divBdr>
        <w:top w:val="none" w:sz="0" w:space="0" w:color="auto"/>
        <w:left w:val="none" w:sz="0" w:space="0" w:color="auto"/>
        <w:bottom w:val="none" w:sz="0" w:space="0" w:color="auto"/>
        <w:right w:val="none" w:sz="0" w:space="0" w:color="auto"/>
      </w:divBdr>
    </w:div>
    <w:div w:id="114388551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3910300">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077967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856524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2887338">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01887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19173676">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0307562">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49773431">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497084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178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70115029">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3852285">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5885709">
      <w:bodyDiv w:val="1"/>
      <w:marLeft w:val="0"/>
      <w:marRight w:val="0"/>
      <w:marTop w:val="0"/>
      <w:marBottom w:val="0"/>
      <w:divBdr>
        <w:top w:val="none" w:sz="0" w:space="0" w:color="auto"/>
        <w:left w:val="none" w:sz="0" w:space="0" w:color="auto"/>
        <w:bottom w:val="none" w:sz="0" w:space="0" w:color="auto"/>
        <w:right w:val="none" w:sz="0" w:space="0" w:color="auto"/>
      </w:divBdr>
    </w:div>
    <w:div w:id="1287199401">
      <w:bodyDiv w:val="1"/>
      <w:marLeft w:val="0"/>
      <w:marRight w:val="0"/>
      <w:marTop w:val="0"/>
      <w:marBottom w:val="0"/>
      <w:divBdr>
        <w:top w:val="none" w:sz="0" w:space="0" w:color="auto"/>
        <w:left w:val="none" w:sz="0" w:space="0" w:color="auto"/>
        <w:bottom w:val="none" w:sz="0" w:space="0" w:color="auto"/>
        <w:right w:val="none" w:sz="0" w:space="0" w:color="auto"/>
      </w:divBdr>
    </w:div>
    <w:div w:id="1287617952">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89361776">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470538">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09703012">
      <w:bodyDiv w:val="1"/>
      <w:marLeft w:val="0"/>
      <w:marRight w:val="0"/>
      <w:marTop w:val="0"/>
      <w:marBottom w:val="0"/>
      <w:divBdr>
        <w:top w:val="none" w:sz="0" w:space="0" w:color="auto"/>
        <w:left w:val="none" w:sz="0" w:space="0" w:color="auto"/>
        <w:bottom w:val="none" w:sz="0" w:space="0" w:color="auto"/>
        <w:right w:val="none" w:sz="0" w:space="0" w:color="auto"/>
      </w:divBdr>
    </w:div>
    <w:div w:id="1310789567">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1785630">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552320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2998845">
      <w:bodyDiv w:val="1"/>
      <w:marLeft w:val="0"/>
      <w:marRight w:val="0"/>
      <w:marTop w:val="0"/>
      <w:marBottom w:val="0"/>
      <w:divBdr>
        <w:top w:val="none" w:sz="0" w:space="0" w:color="auto"/>
        <w:left w:val="none" w:sz="0" w:space="0" w:color="auto"/>
        <w:bottom w:val="none" w:sz="0" w:space="0" w:color="auto"/>
        <w:right w:val="none" w:sz="0" w:space="0" w:color="auto"/>
      </w:divBdr>
    </w:div>
    <w:div w:id="1325204783">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5231265">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3237922">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3871765">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342880">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381956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0764189">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85373989">
      <w:bodyDiv w:val="1"/>
      <w:marLeft w:val="0"/>
      <w:marRight w:val="0"/>
      <w:marTop w:val="0"/>
      <w:marBottom w:val="0"/>
      <w:divBdr>
        <w:top w:val="none" w:sz="0" w:space="0" w:color="auto"/>
        <w:left w:val="none" w:sz="0" w:space="0" w:color="auto"/>
        <w:bottom w:val="none" w:sz="0" w:space="0" w:color="auto"/>
        <w:right w:val="none" w:sz="0" w:space="0" w:color="auto"/>
      </w:divBdr>
    </w:div>
    <w:div w:id="1389114058">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340758">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235288">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1384806">
      <w:bodyDiv w:val="1"/>
      <w:marLeft w:val="0"/>
      <w:marRight w:val="0"/>
      <w:marTop w:val="0"/>
      <w:marBottom w:val="0"/>
      <w:divBdr>
        <w:top w:val="none" w:sz="0" w:space="0" w:color="auto"/>
        <w:left w:val="none" w:sz="0" w:space="0" w:color="auto"/>
        <w:bottom w:val="none" w:sz="0" w:space="0" w:color="auto"/>
        <w:right w:val="none" w:sz="0" w:space="0" w:color="auto"/>
      </w:divBdr>
    </w:div>
    <w:div w:id="1412654202">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19863567">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302296">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7388482">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152127">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0010895">
      <w:bodyDiv w:val="1"/>
      <w:marLeft w:val="0"/>
      <w:marRight w:val="0"/>
      <w:marTop w:val="0"/>
      <w:marBottom w:val="0"/>
      <w:divBdr>
        <w:top w:val="none" w:sz="0" w:space="0" w:color="auto"/>
        <w:left w:val="none" w:sz="0" w:space="0" w:color="auto"/>
        <w:bottom w:val="none" w:sz="0" w:space="0" w:color="auto"/>
        <w:right w:val="none" w:sz="0" w:space="0" w:color="auto"/>
      </w:divBdr>
    </w:div>
    <w:div w:id="1450390050">
      <w:bodyDiv w:val="1"/>
      <w:marLeft w:val="0"/>
      <w:marRight w:val="0"/>
      <w:marTop w:val="0"/>
      <w:marBottom w:val="0"/>
      <w:divBdr>
        <w:top w:val="none" w:sz="0" w:space="0" w:color="auto"/>
        <w:left w:val="none" w:sz="0" w:space="0" w:color="auto"/>
        <w:bottom w:val="none" w:sz="0" w:space="0" w:color="auto"/>
        <w:right w:val="none" w:sz="0" w:space="0" w:color="auto"/>
      </w:divBdr>
    </w:div>
    <w:div w:id="1451515203">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8794397">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218702">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66848689">
      <w:bodyDiv w:val="1"/>
      <w:marLeft w:val="0"/>
      <w:marRight w:val="0"/>
      <w:marTop w:val="0"/>
      <w:marBottom w:val="0"/>
      <w:divBdr>
        <w:top w:val="none" w:sz="0" w:space="0" w:color="auto"/>
        <w:left w:val="none" w:sz="0" w:space="0" w:color="auto"/>
        <w:bottom w:val="none" w:sz="0" w:space="0" w:color="auto"/>
        <w:right w:val="none" w:sz="0" w:space="0" w:color="auto"/>
      </w:divBdr>
    </w:div>
    <w:div w:id="1472167625">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5851707">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497769967">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242834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28526639">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0436865">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481407">
      <w:bodyDiv w:val="1"/>
      <w:marLeft w:val="0"/>
      <w:marRight w:val="0"/>
      <w:marTop w:val="0"/>
      <w:marBottom w:val="0"/>
      <w:divBdr>
        <w:top w:val="none" w:sz="0" w:space="0" w:color="auto"/>
        <w:left w:val="none" w:sz="0" w:space="0" w:color="auto"/>
        <w:bottom w:val="none" w:sz="0" w:space="0" w:color="auto"/>
        <w:right w:val="none" w:sz="0" w:space="0" w:color="auto"/>
      </w:divBdr>
    </w:div>
    <w:div w:id="1546678986">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0991404">
      <w:bodyDiv w:val="1"/>
      <w:marLeft w:val="0"/>
      <w:marRight w:val="0"/>
      <w:marTop w:val="0"/>
      <w:marBottom w:val="0"/>
      <w:divBdr>
        <w:top w:val="none" w:sz="0" w:space="0" w:color="auto"/>
        <w:left w:val="none" w:sz="0" w:space="0" w:color="auto"/>
        <w:bottom w:val="none" w:sz="0" w:space="0" w:color="auto"/>
        <w:right w:val="none" w:sz="0" w:space="0" w:color="auto"/>
      </w:divBdr>
    </w:div>
    <w:div w:id="1551647934">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1428694">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611053">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5764534">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8172001">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0719745">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53758276">
      <w:bodyDiv w:val="1"/>
      <w:marLeft w:val="0"/>
      <w:marRight w:val="0"/>
      <w:marTop w:val="0"/>
      <w:marBottom w:val="0"/>
      <w:divBdr>
        <w:top w:val="none" w:sz="0" w:space="0" w:color="auto"/>
        <w:left w:val="none" w:sz="0" w:space="0" w:color="auto"/>
        <w:bottom w:val="none" w:sz="0" w:space="0" w:color="auto"/>
        <w:right w:val="none" w:sz="0" w:space="0" w:color="auto"/>
      </w:divBdr>
    </w:div>
    <w:div w:id="165452753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054264">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0324804">
      <w:bodyDiv w:val="1"/>
      <w:marLeft w:val="0"/>
      <w:marRight w:val="0"/>
      <w:marTop w:val="0"/>
      <w:marBottom w:val="0"/>
      <w:divBdr>
        <w:top w:val="none" w:sz="0" w:space="0" w:color="auto"/>
        <w:left w:val="none" w:sz="0" w:space="0" w:color="auto"/>
        <w:bottom w:val="none" w:sz="0" w:space="0" w:color="auto"/>
        <w:right w:val="none" w:sz="0" w:space="0" w:color="auto"/>
      </w:divBdr>
    </w:div>
    <w:div w:id="16730984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7341717">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78464263">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699624645">
      <w:bodyDiv w:val="1"/>
      <w:marLeft w:val="0"/>
      <w:marRight w:val="0"/>
      <w:marTop w:val="0"/>
      <w:marBottom w:val="0"/>
      <w:divBdr>
        <w:top w:val="none" w:sz="0" w:space="0" w:color="auto"/>
        <w:left w:val="none" w:sz="0" w:space="0" w:color="auto"/>
        <w:bottom w:val="none" w:sz="0" w:space="0" w:color="auto"/>
        <w:right w:val="none" w:sz="0" w:space="0" w:color="auto"/>
      </w:divBdr>
    </w:div>
    <w:div w:id="170008238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2921316">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19815253">
      <w:bodyDiv w:val="1"/>
      <w:marLeft w:val="0"/>
      <w:marRight w:val="0"/>
      <w:marTop w:val="0"/>
      <w:marBottom w:val="0"/>
      <w:divBdr>
        <w:top w:val="none" w:sz="0" w:space="0" w:color="auto"/>
        <w:left w:val="none" w:sz="0" w:space="0" w:color="auto"/>
        <w:bottom w:val="none" w:sz="0" w:space="0" w:color="auto"/>
        <w:right w:val="none" w:sz="0" w:space="0" w:color="auto"/>
      </w:divBdr>
    </w:div>
    <w:div w:id="172047017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30497800">
      <w:bodyDiv w:val="1"/>
      <w:marLeft w:val="0"/>
      <w:marRight w:val="0"/>
      <w:marTop w:val="0"/>
      <w:marBottom w:val="0"/>
      <w:divBdr>
        <w:top w:val="none" w:sz="0" w:space="0" w:color="auto"/>
        <w:left w:val="none" w:sz="0" w:space="0" w:color="auto"/>
        <w:bottom w:val="none" w:sz="0" w:space="0" w:color="auto"/>
        <w:right w:val="none" w:sz="0" w:space="0" w:color="auto"/>
      </w:divBdr>
    </w:div>
    <w:div w:id="1732343326">
      <w:bodyDiv w:val="1"/>
      <w:marLeft w:val="0"/>
      <w:marRight w:val="0"/>
      <w:marTop w:val="0"/>
      <w:marBottom w:val="0"/>
      <w:divBdr>
        <w:top w:val="none" w:sz="0" w:space="0" w:color="auto"/>
        <w:left w:val="none" w:sz="0" w:space="0" w:color="auto"/>
        <w:bottom w:val="none" w:sz="0" w:space="0" w:color="auto"/>
        <w:right w:val="none" w:sz="0" w:space="0" w:color="auto"/>
      </w:divBdr>
    </w:div>
    <w:div w:id="1738479047">
      <w:bodyDiv w:val="1"/>
      <w:marLeft w:val="0"/>
      <w:marRight w:val="0"/>
      <w:marTop w:val="0"/>
      <w:marBottom w:val="0"/>
      <w:divBdr>
        <w:top w:val="none" w:sz="0" w:space="0" w:color="auto"/>
        <w:left w:val="none" w:sz="0" w:space="0" w:color="auto"/>
        <w:bottom w:val="none" w:sz="0" w:space="0" w:color="auto"/>
        <w:right w:val="none" w:sz="0" w:space="0" w:color="auto"/>
      </w:divBdr>
    </w:div>
    <w:div w:id="1739858090">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6974824">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0567291">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6193142">
      <w:bodyDiv w:val="1"/>
      <w:marLeft w:val="0"/>
      <w:marRight w:val="0"/>
      <w:marTop w:val="0"/>
      <w:marBottom w:val="0"/>
      <w:divBdr>
        <w:top w:val="none" w:sz="0" w:space="0" w:color="auto"/>
        <w:left w:val="none" w:sz="0" w:space="0" w:color="auto"/>
        <w:bottom w:val="none" w:sz="0" w:space="0" w:color="auto"/>
        <w:right w:val="none" w:sz="0" w:space="0" w:color="auto"/>
      </w:divBdr>
    </w:div>
    <w:div w:id="1788547244">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4980899">
      <w:bodyDiv w:val="1"/>
      <w:marLeft w:val="0"/>
      <w:marRight w:val="0"/>
      <w:marTop w:val="0"/>
      <w:marBottom w:val="0"/>
      <w:divBdr>
        <w:top w:val="none" w:sz="0" w:space="0" w:color="auto"/>
        <w:left w:val="none" w:sz="0" w:space="0" w:color="auto"/>
        <w:bottom w:val="none" w:sz="0" w:space="0" w:color="auto"/>
        <w:right w:val="none" w:sz="0" w:space="0" w:color="auto"/>
      </w:divBdr>
    </w:div>
    <w:div w:id="1795253749">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87220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179018">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2984258">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51599317">
      <w:bodyDiv w:val="1"/>
      <w:marLeft w:val="0"/>
      <w:marRight w:val="0"/>
      <w:marTop w:val="0"/>
      <w:marBottom w:val="0"/>
      <w:divBdr>
        <w:top w:val="none" w:sz="0" w:space="0" w:color="auto"/>
        <w:left w:val="none" w:sz="0" w:space="0" w:color="auto"/>
        <w:bottom w:val="none" w:sz="0" w:space="0" w:color="auto"/>
        <w:right w:val="none" w:sz="0" w:space="0" w:color="auto"/>
      </w:divBdr>
    </w:div>
    <w:div w:id="1854151976">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69365397">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5147682">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0361925">
      <w:bodyDiv w:val="1"/>
      <w:marLeft w:val="0"/>
      <w:marRight w:val="0"/>
      <w:marTop w:val="0"/>
      <w:marBottom w:val="0"/>
      <w:divBdr>
        <w:top w:val="none" w:sz="0" w:space="0" w:color="auto"/>
        <w:left w:val="none" w:sz="0" w:space="0" w:color="auto"/>
        <w:bottom w:val="none" w:sz="0" w:space="0" w:color="auto"/>
        <w:right w:val="none" w:sz="0" w:space="0" w:color="auto"/>
      </w:divBdr>
    </w:div>
    <w:div w:id="1881361915">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88176022">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0047623">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6355818">
      <w:bodyDiv w:val="1"/>
      <w:marLeft w:val="0"/>
      <w:marRight w:val="0"/>
      <w:marTop w:val="0"/>
      <w:marBottom w:val="0"/>
      <w:divBdr>
        <w:top w:val="none" w:sz="0" w:space="0" w:color="auto"/>
        <w:left w:val="none" w:sz="0" w:space="0" w:color="auto"/>
        <w:bottom w:val="none" w:sz="0" w:space="0" w:color="auto"/>
        <w:right w:val="none" w:sz="0" w:space="0" w:color="auto"/>
      </w:divBdr>
    </w:div>
    <w:div w:id="1917781206">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2908950">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1505662">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6239">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39286610">
      <w:bodyDiv w:val="1"/>
      <w:marLeft w:val="0"/>
      <w:marRight w:val="0"/>
      <w:marTop w:val="0"/>
      <w:marBottom w:val="0"/>
      <w:divBdr>
        <w:top w:val="none" w:sz="0" w:space="0" w:color="auto"/>
        <w:left w:val="none" w:sz="0" w:space="0" w:color="auto"/>
        <w:bottom w:val="none" w:sz="0" w:space="0" w:color="auto"/>
        <w:right w:val="none" w:sz="0" w:space="0" w:color="auto"/>
      </w:divBdr>
    </w:div>
    <w:div w:id="1939605070">
      <w:bodyDiv w:val="1"/>
      <w:marLeft w:val="0"/>
      <w:marRight w:val="0"/>
      <w:marTop w:val="0"/>
      <w:marBottom w:val="0"/>
      <w:divBdr>
        <w:top w:val="none" w:sz="0" w:space="0" w:color="auto"/>
        <w:left w:val="none" w:sz="0" w:space="0" w:color="auto"/>
        <w:bottom w:val="none" w:sz="0" w:space="0" w:color="auto"/>
        <w:right w:val="none" w:sz="0" w:space="0" w:color="auto"/>
      </w:divBdr>
    </w:div>
    <w:div w:id="1939752080">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0047399">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7132596">
      <w:bodyDiv w:val="1"/>
      <w:marLeft w:val="0"/>
      <w:marRight w:val="0"/>
      <w:marTop w:val="0"/>
      <w:marBottom w:val="0"/>
      <w:divBdr>
        <w:top w:val="none" w:sz="0" w:space="0" w:color="auto"/>
        <w:left w:val="none" w:sz="0" w:space="0" w:color="auto"/>
        <w:bottom w:val="none" w:sz="0" w:space="0" w:color="auto"/>
        <w:right w:val="none" w:sz="0" w:space="0" w:color="auto"/>
      </w:divBdr>
    </w:div>
    <w:div w:id="1959480783">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6503974">
      <w:bodyDiv w:val="1"/>
      <w:marLeft w:val="0"/>
      <w:marRight w:val="0"/>
      <w:marTop w:val="0"/>
      <w:marBottom w:val="0"/>
      <w:divBdr>
        <w:top w:val="none" w:sz="0" w:space="0" w:color="auto"/>
        <w:left w:val="none" w:sz="0" w:space="0" w:color="auto"/>
        <w:bottom w:val="none" w:sz="0" w:space="0" w:color="auto"/>
        <w:right w:val="none" w:sz="0" w:space="0" w:color="auto"/>
      </w:divBdr>
    </w:div>
    <w:div w:id="1967201714">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7566437">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91785739">
      <w:bodyDiv w:val="1"/>
      <w:marLeft w:val="0"/>
      <w:marRight w:val="0"/>
      <w:marTop w:val="0"/>
      <w:marBottom w:val="0"/>
      <w:divBdr>
        <w:top w:val="none" w:sz="0" w:space="0" w:color="auto"/>
        <w:left w:val="none" w:sz="0" w:space="0" w:color="auto"/>
        <w:bottom w:val="none" w:sz="0" w:space="0" w:color="auto"/>
        <w:right w:val="none" w:sz="0" w:space="0" w:color="auto"/>
      </w:divBdr>
    </w:div>
    <w:div w:id="1993098969">
      <w:bodyDiv w:val="1"/>
      <w:marLeft w:val="0"/>
      <w:marRight w:val="0"/>
      <w:marTop w:val="0"/>
      <w:marBottom w:val="0"/>
      <w:divBdr>
        <w:top w:val="none" w:sz="0" w:space="0" w:color="auto"/>
        <w:left w:val="none" w:sz="0" w:space="0" w:color="auto"/>
        <w:bottom w:val="none" w:sz="0" w:space="0" w:color="auto"/>
        <w:right w:val="none" w:sz="0" w:space="0" w:color="auto"/>
      </w:divBdr>
    </w:div>
    <w:div w:id="1994523002">
      <w:bodyDiv w:val="1"/>
      <w:marLeft w:val="0"/>
      <w:marRight w:val="0"/>
      <w:marTop w:val="0"/>
      <w:marBottom w:val="0"/>
      <w:divBdr>
        <w:top w:val="none" w:sz="0" w:space="0" w:color="auto"/>
        <w:left w:val="none" w:sz="0" w:space="0" w:color="auto"/>
        <w:bottom w:val="none" w:sz="0" w:space="0" w:color="auto"/>
        <w:right w:val="none" w:sz="0" w:space="0" w:color="auto"/>
      </w:divBdr>
    </w:div>
    <w:div w:id="1994940930">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0962689">
      <w:bodyDiv w:val="1"/>
      <w:marLeft w:val="0"/>
      <w:marRight w:val="0"/>
      <w:marTop w:val="0"/>
      <w:marBottom w:val="0"/>
      <w:divBdr>
        <w:top w:val="none" w:sz="0" w:space="0" w:color="auto"/>
        <w:left w:val="none" w:sz="0" w:space="0" w:color="auto"/>
        <w:bottom w:val="none" w:sz="0" w:space="0" w:color="auto"/>
        <w:right w:val="none" w:sz="0" w:space="0" w:color="auto"/>
      </w:divBdr>
    </w:div>
    <w:div w:id="200632374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7345502">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297493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35885377">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1614335">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4386181">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169902">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335218">
      <w:bodyDiv w:val="1"/>
      <w:marLeft w:val="0"/>
      <w:marRight w:val="0"/>
      <w:marTop w:val="0"/>
      <w:marBottom w:val="0"/>
      <w:divBdr>
        <w:top w:val="none" w:sz="0" w:space="0" w:color="auto"/>
        <w:left w:val="none" w:sz="0" w:space="0" w:color="auto"/>
        <w:bottom w:val="none" w:sz="0" w:space="0" w:color="auto"/>
        <w:right w:val="none" w:sz="0" w:space="0" w:color="auto"/>
      </w:divBdr>
    </w:div>
    <w:div w:id="208765166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322187">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1443798">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373337">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199432">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1048879">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29425785">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7563">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39519459">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 w:id="2144542191">
      <w:bodyDiv w:val="1"/>
      <w:marLeft w:val="0"/>
      <w:marRight w:val="0"/>
      <w:marTop w:val="0"/>
      <w:marBottom w:val="0"/>
      <w:divBdr>
        <w:top w:val="none" w:sz="0" w:space="0" w:color="auto"/>
        <w:left w:val="none" w:sz="0" w:space="0" w:color="auto"/>
        <w:bottom w:val="none" w:sz="0" w:space="0" w:color="auto"/>
        <w:right w:val="none" w:sz="0" w:space="0" w:color="auto"/>
      </w:divBdr>
    </w:div>
    <w:div w:id="21456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5.png"/><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40</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41</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42</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43</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44</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45</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46</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47</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48</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49</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50</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51</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52</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2</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3</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4</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53</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32</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33</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28</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54</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55</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56</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57</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58</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15</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19</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27</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17</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16</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18</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21</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31</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36</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37</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38</b:RefOrder>
  </b:Source>
  <b:Source>
    <b:Tag>Gra16</b:Tag>
    <b:SourceType>JournalArticle</b:SourceType>
    <b:Guid>{63A5FD0F-D70E-9140-AB70-4BC5C79DC611}</b:Guid>
    <b:Title>Die betriebswirtschaftliche Abbildung von Innovationsprojekten</b:Title>
    <b:Year>2016</b:Year>
    <b:Pages>133-135</b:Pages>
    <b:Issue>2</b:Issue>
    <b:JournalName>Controlling</b:JournalName>
    <b:Author>
      <b:Author>
        <b:NameList>
          <b:Person>
            <b:Last>Grawe</b:Last>
            <b:First>Christian</b:First>
          </b:Person>
        </b:NameList>
      </b:Author>
    </b:Author>
    <b:RefOrder>20</b:RefOrder>
  </b:Source>
  <b:Source>
    <b:Tag>Bau14</b:Tag>
    <b:SourceType>Book</b:SourceType>
    <b:Guid>{DA465E9C-C49B-E347-9169-F2F217C0F8A6}</b:Guid>
    <b:Author>
      <b:Author>
        <b:NameList>
          <b:Person>
            <b:Last>Baumann</b:Last>
            <b:First>J.</b:First>
          </b:Person>
        </b:NameList>
      </b:Author>
    </b:Author>
    <b:Title>Continuous Delivery</b:Title>
    <b:City>Heidelberg</b:City>
    <b:Publisher>dpunkt.Verlag</b:Publisher>
    <b:Year>2014</b:Year>
    <b:Edition>1.</b:Edition>
    <b:RefOrder>29</b:RefOrder>
  </b:Source>
  <b:Source>
    <b:Tag>Gas</b:Tag>
    <b:SourceType>Book</b:SourceType>
    <b:Guid>{6AB0B06A-6B1B-044C-A9C3-2A439E9169E8}</b:Guid>
    <b:Author>
      <b:Author>
        <b:NameList>
          <b:Person>
            <b:Last>Gassmann</b:Last>
            <b:First>O.</b:First>
          </b:Person>
          <b:Person>
            <b:Last>Kobe</b:Last>
            <b:First>C.</b:First>
          </b:Person>
        </b:NameList>
      </b:Author>
    </b:Author>
    <b:City>Berlin</b:City>
    <b:Publisher>Springer-Verlag Berlin Heidelberg</b:Publisher>
    <b:Year>2006</b:Year>
    <b:Edition>2.</b:Edition>
    <b:Title>Management von Innovation und Risiko</b:Title>
    <b:RefOrder>23</b:RefOrder>
  </b:Source>
  <b:Source>
    <b:Tag>Sim101</b:Tag>
    <b:SourceType>Book</b:SourceType>
    <b:Guid>{EC36AC4E-371D-974A-93BF-428B85AA0085}</b:Guid>
    <b:Author>
      <b:Author>
        <b:NameList>
          <b:Person>
            <b:Last>Simon</b:Last>
            <b:First>F.</b:First>
          </b:Person>
        </b:NameList>
      </b:Author>
    </b:Author>
    <b:Title>Qualitäts-Risiko-Management</b:Title>
    <b:Year>2010</b:Year>
    <b:City>Berlin</b:City>
    <b:Publisher>Logos Verlag Berlin GmbH</b:Publisher>
    <b:RefOrder>24</b:RefOrder>
  </b:Source>
  <b:Source>
    <b:Tag>Pro041</b:Tag>
    <b:SourceType>Book</b:SourceType>
    <b:Guid>{7F1BA78D-BEF7-4E4F-8196-8F7999799788}</b:Guid>
    <b:Author>
      <b:Author>
        <b:NameList>
          <b:Person>
            <b:Last>Proske</b:Last>
            <b:First>D.</b:First>
          </b:Person>
        </b:NameList>
      </b:Author>
    </b:Author>
    <b:Title>Katalog der Risiken</b:Title>
    <b:City>Dresden</b:City>
    <b:Year>2004</b:Year>
    <b:Publisher>Eigenverlag Dirk Proske</b:Publisher>
    <b:RefOrder>25</b:RefOrder>
  </b:Source>
  <b:Source>
    <b:Tag>Cha</b:Tag>
    <b:SourceType>Book</b:SourceType>
    <b:Guid>{A7D79620-06F8-C844-BFA4-518B19064FC8}</b:Guid>
    <b:Author>
      <b:Author>
        <b:NameList>
          <b:Person>
            <b:Last>Chapman</b:Last>
            <b:First>C.</b:First>
          </b:Person>
          <b:Person>
            <b:Last>Ward</b:Last>
            <b:First>S.</b:First>
          </b:Person>
        </b:NameList>
      </b:Author>
    </b:Author>
    <b:Title>How to Manage Project Opportunity and Risk</b:Title>
    <b:City>Orchester</b:City>
    <b:Year>2011</b:Year>
    <b:Edition>3.</b:Edition>
    <b:Publisher>John Wiley &amp; Sons Ltd.</b:Publisher>
    <b:RefOrder>22</b:RefOrder>
  </b:Source>
  <b:Source>
    <b:Tag>Fes14</b:Tag>
    <b:SourceType>Book</b:SourceType>
    <b:Guid>{D4D04B7C-6D4A-904B-B8EB-536B1201D01B}</b:Guid>
    <b:Author>
      <b:Author>
        <b:NameList>
          <b:Person>
            <b:Last>Festtag</b:Last>
            <b:First>S.</b:First>
          </b:Person>
        </b:NameList>
      </b:Author>
    </b:Author>
    <b:Title>Umgang mit Risiken</b:Title>
    <b:City>Berlin</b:City>
    <b:Publisher>Beuth Verlag GmbH</b:Publisher>
    <b:Year>2014</b:Year>
    <b:Edition>1.</b:Edition>
    <b:RefOrder>26</b:RefOrder>
  </b:Source>
  <b:Source>
    <b:Tag>Las12</b:Tag>
    <b:SourceType>InternetSite</b:SourceType>
    <b:Guid>{C747671A-B205-7A4F-876A-50D685C2175A}</b:Guid>
    <b:Title>10 Mythen und Missverständnisse um ITIL</b:Title>
    <b:City>de.slideshare.net</b:City>
    <b:Year>2012</b:Year>
    <b:Author>
      <b:Author>
        <b:NameList>
          <b:Person>
            <b:Last>Laser</b:Last>
            <b:First>T.</b:First>
          </b:Person>
        </b:NameList>
      </b:Author>
    </b:Author>
    <b:Month>November</b:Month>
    <b:Day>2</b:Day>
    <b:URL>http://de.slideshare.net/TorstenLaser/10-mythen-und-missverstndnisse-um-itil</b:URL>
    <b:YearAccessed>2016</b:YearAccessed>
    <b:MonthAccessed>Juli</b:MonthAccessed>
    <b:DayAccessed>6</b:DayAccessed>
    <b:RefOrder>6</b:RefOrder>
  </b:Source>
  <b:Source>
    <b:Tag>Lie06</b:Tag>
    <b:SourceType>Book</b:SourceType>
    <b:Guid>{65918BC8-6239-4541-AFF3-F50C86DEEC09}</b:Guid>
    <b:Author>
      <b:Author>
        <b:NameList>
          <b:Person>
            <b:Last>Lienemann</b:Last>
            <b:First>G.</b:First>
          </b:Person>
        </b:NameList>
      </b:Author>
    </b:Author>
    <b:Title>ITIL - Change Management</b:Title>
    <b:Year>2006</b:Year>
    <b:City>Hannover</b:City>
    <b:Publisher>Heise Zeitschriften Verlag GmbH &amp; Co KG</b:Publisher>
    <b:Edition>1.</b:Edition>
    <b:RefOrder>7</b:RefOrder>
  </b:Source>
  <b:Source>
    <b:Tag>Won12</b:Tag>
    <b:SourceType>JournalArticle</b:SourceType>
    <b:Guid>{2F26EB48-2EBE-B94D-B85D-41985BB24A3D}</b:Guid>
    <b:Author>
      <b:Author>
        <b:NameList>
          <b:Person>
            <b:Last>Wonke-Stehle</b:Last>
            <b:First>J.</b:First>
          </b:Person>
        </b:NameList>
      </b:Author>
    </b:Author>
    <b:Title>ITIL in Bibliotheken</b:Title>
    <b:Year>2012</b:Year>
    <b:Pages>0-92</b:Pages>
    <b:JournalName>Berliner Handreichungen zur Bibliotheks- und Informationswissenschaft</b:JournalName>
    <b:Issue>331</b:Issue>
    <b:RefOrder>10</b:RefOrder>
  </b:Source>
  <b:Source>
    <b:Tag>Win09</b:Tag>
    <b:SourceType>JournalArticle</b:SourceType>
    <b:Guid>{D2A5238F-B7E1-8B43-A2F3-18017F1DB02F}</b:Guid>
    <b:Author>
      <b:Author>
        <b:NameList>
          <b:Person>
            <b:Last>Winniford</b:Last>
            <b:First>M.</b:First>
          </b:Person>
          <b:Person>
            <b:Last>Conger</b:Last>
            <b:First>S.</b:First>
          </b:Person>
          <b:Person>
            <b:Last>Erickson-Harris</b:Last>
            <b:First>L.</b:First>
          </b:Person>
        </b:NameList>
      </b:Author>
    </b:Author>
    <b:Title>Confusion in the Ranks: IT Service Management Practice and Terminology</b:Title>
    <b:JournalName>Information Systems Management</b:JournalName>
    <b:Publisher>Informa UK Limited</b:Publisher>
    <b:Year>2009</b:Year>
    <b:Issue>26</b:Issue>
    <b:Pages>153-163</b:Pages>
    <b:RefOrder>8</b:RefOrder>
  </b:Source>
  <b:Source>
    <b:Tag>Pea05</b:Tag>
    <b:SourceType>DocumentFromInternetSite</b:SourceType>
    <b:Guid>{F4BDF2DA-E944-E84D-823F-D2271385F1E9}</b:Guid>
    <b:Title>IT service management - and beyond</b:Title>
    <b:Year>2005</b:Year>
    <b:Month>April</b:Month>
    <b:Day>5-8</b:Day>
    <b:Author>
      <b:Author>
        <b:NameList>
          <b:Person>
            <b:Last>Peasley</b:Last>
            <b:First>J.</b:First>
          </b:Person>
          <b:Person>
            <b:Last>Fletcher</b:Last>
            <b:First>J.</b:First>
          </b:Person>
        </b:NameList>
      </b:Author>
    </b:Author>
    <b:InternetSiteTitle>minerva.mq.edu.au</b:InternetSiteTitle>
    <b:URL>http://hdl.handle.net/1959.14/9465</b:URL>
    <b:YearAccessed>2016</b:YearAccessed>
    <b:MonthAccessed>Juli</b:MonthAccessed>
    <b:DayAccessed>6</b:DayAccessed>
    <b:RefOrder>9</b:RefOrder>
  </b:Source>
  <b:Source>
    <b:Tag>New05</b:Tag>
    <b:SourceType>InternetSite</b:SourceType>
    <b:Guid>{0F6BAC9B-4D2D-5D40-99DB-9A5564E0B0E9}</b:Guid>
    <b:Title>gt</b:Title>
    <b:URL>http://www.govtech.com/magazines/pcio/100560679.html</b:URL>
    <b:Year>2005</b:Year>
    <b:Month>Januar</b:Month>
    <b:Day>31</b:Day>
    <b:YearAccessed>2016</b:YearAccessed>
    <b:MonthAccessed>Juli</b:MonthAccessed>
    <b:DayAccessed>6</b:DayAccessed>
    <b:Author>
      <b:Author>
        <b:NameList>
          <b:Person>
            <b:Last>Newcombe</b:Last>
            <b:First>T.</b:First>
          </b:Person>
        </b:NameList>
      </b:Author>
    </b:Author>
    <b:RefOrder>11</b:RefOrder>
  </b:Source>
  <b:Source>
    <b:Tag>Pin05</b:Tag>
    <b:SourceType>DocumentFromInternetSite</b:SourceType>
    <b:Guid>{55EF3550-F877-F24B-9C3F-8728D1251597}</b:Guid>
    <b:Title>JDCMG</b:Title>
    <b:URL>http://jdcmg.isc.ucsb.edu/docs/ITIL/ITIL-Top%20Things%20Managers%20must%20Know%20when%20Implementing%20ITIL.pdf</b:URL>
    <b:Year>2005</b:Year>
    <b:YearAccessed>2016</b:YearAccessed>
    <b:MonthAccessed>Juli</b:MonthAccessed>
    <b:DayAccessed>6</b:DayAccessed>
    <b:Author>
      <b:Author>
        <b:Corporate>Pink Elephant</b:Corporate>
      </b:Author>
    </b:Author>
    <b:RefOrder>12</b:RefOrder>
  </b:Source>
  <b:Source>
    <b:Tag>itS07</b:Tag>
    <b:SourceType>Book</b:SourceType>
    <b:Guid>{21A4F739-6D59-064C-A0CF-878DBE798AFB}</b:Guid>
    <b:Author>
      <b:Author>
        <b:Corporate>itSMF e. V.</b:Corporate>
      </b:Author>
    </b:Author>
    <b:Title>ITIL in der öffentlichen Verwaltung</b:Title>
    <b:Year>2007</b:Year>
    <b:City>Düsseldorf</b:City>
    <b:Publisher>Symposion Publishing GmbH</b:Publisher>
    <b:RefOrder>13</b:RefOrder>
  </b:Source>
  <b:Source>
    <b:Tag>KBS07</b:Tag>
    <b:SourceType>DocumentFromInternetSite</b:SourceType>
    <b:Guid>{875A086E-234B-F348-84F0-BC2CFC20C68A}</b:Guid>
    <b:Title>cio.bund.de</b:Title>
    <b:Year>2007</b:Year>
    <b:Author>
      <b:Author>
        <b:Corporate>KBSt</b:Corporate>
      </b:Author>
    </b:Author>
    <b:URL>http://www.cio.bund.de/cae/servlet/contentblob/79996/publicationFile/4113/studie_itil_erfahrungsberichte_download.pdf</b:URL>
    <b:Month>April</b:Month>
    <b:YearAccessed>2016</b:YearAccessed>
    <b:MonthAccessed>Juli</b:MonthAccessed>
    <b:DayAccessed>6</b:DayAccessed>
    <b:RefOrder>14</b:RefOrder>
  </b:Source>
  <b:Source>
    <b:Tag>Pup16</b:Tag>
    <b:SourceType>DocumentFromInternetSite</b:SourceType>
    <b:Guid>{DB5427C6-72C0-7C45-98EA-2BE45C6DE241}</b:Guid>
    <b:Title>puppet.com</b:Title>
    <b:Year>2016</b:Year>
    <b:Author>
      <b:Author>
        <b:Corporate>Puppet</b:Corporate>
      </b:Author>
    </b:Author>
    <b:URL>https://puppet.com/resources/white-paper/2016-state-devops-report</b:URL>
    <b:Month>Juni</b:Month>
    <b:Day>22</b:Day>
    <b:YearAccessed>2016</b:YearAccessed>
    <b:MonthAccessed>Juli</b:MonthAccessed>
    <b:DayAccessed>8</b:DayAccessed>
    <b:RefOrder>5</b:RefOrder>
  </b:Source>
  <b:Source>
    <b:Tag>Kel82</b:Tag>
    <b:SourceType>Book</b:SourceType>
    <b:Guid>{669DC65F-F6E0-8948-B4A4-6A72441426D9}</b:Guid>
    <b:Title>Scientific Management, Job Redesign and Work Performance</b:Title>
    <b:Year>1982</b:Year>
    <b:Author>
      <b:Author>
        <b:NameList>
          <b:Person>
            <b:Last>Kelly</b:Last>
            <b:First>J.</b:First>
          </b:Person>
        </b:NameList>
      </b:Author>
    </b:Author>
    <b:City>London</b:City>
    <b:Publisher>Academic Press</b:Publisher>
    <b:RefOrder>35</b:RefOrder>
  </b:Source>
  <b:Source>
    <b:Tag>Aun08</b:Tag>
    <b:SourceType>Book</b:SourceType>
    <b:Guid>{6F472944-5CFE-D349-A784-614EA1BCE93E}</b:Guid>
    <b:Title>ITIL-COBIT-Mapping: Gemeinsamkeiten und Unterschiede der IT-Standards</b:Title>
    <b:Year>2008</b:Year>
    <b:Author>
      <b:Author>
        <b:NameList>
          <b:Person>
            <b:Last>Auner</b:Last>
            <b:First>K.</b:First>
          </b:Person>
        </b:NameList>
      </b:Author>
    </b:Author>
    <b:City>Düsseldorf</b:City>
    <b:Publisher>Symposium Publ.</b:Publisher>
    <b:Edition>1.</b:Edition>
    <b:RefOrder>34</b:RefOrder>
  </b:Source>
  <b:Source>
    <b:Tag>Bau07</b:Tag>
    <b:SourceType>JournalArticle</b:SourceType>
    <b:Guid>{3334D39E-9B08-124A-AA2D-AE588A4D12C0}</b:Guid>
    <b:Title>Business-IT-Alignment durch Projektportfolio-Management und -Controlling</b:Title>
    <b:Year>2007</b:Year>
    <b:Pages>71-81</b:Pages>
    <b:JournalName>HMD - Praxis der Wirtschaftsinformatik</b:JournalName>
    <b:Month>April</b:Month>
    <b:Issue>254</b:Issue>
    <b:Author>
      <b:Author>
        <b:NameList>
          <b:Person>
            <b:Last>Baumöl</b:Last>
            <b:First>Ulrike</b:First>
          </b:Person>
        </b:NameList>
      </b:Author>
    </b:Author>
    <b:RefOrder>30</b:RefOrder>
  </b:Source>
  <b:Source>
    <b:Tag>Hum10</b:Tag>
    <b:SourceType>Book</b:SourceType>
    <b:Guid>{3C7BA025-E50D-3344-A8CE-1D7F01E3A16C}</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Comments>eBook</b:Comments>
    <b:RefOrder>39</b:RefOrder>
  </b:Source>
</b:Sources>
</file>

<file path=customXml/itemProps1.xml><?xml version="1.0" encoding="utf-8"?>
<ds:datastoreItem xmlns:ds="http://schemas.openxmlformats.org/officeDocument/2006/customXml" ds:itemID="{9513F4BD-9E40-BB41-8F61-1D513D2DE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55</Pages>
  <Words>17927</Words>
  <Characters>112942</Characters>
  <Application>Microsoft Macintosh Word</Application>
  <DocSecurity>0</DocSecurity>
  <Lines>941</Lines>
  <Paragraphs>261</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130608</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158</cp:revision>
  <cp:lastPrinted>2005-07-19T18:06:00Z</cp:lastPrinted>
  <dcterms:created xsi:type="dcterms:W3CDTF">2016-01-27T20:00:00Z</dcterms:created>
  <dcterms:modified xsi:type="dcterms:W3CDTF">2016-07-21T15:24:00Z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