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28" w:rsidRPr="004C12F4" w:rsidRDefault="00C03D28" w:rsidP="004C12F4">
      <w:pPr>
        <w:rPr>
          <w:rFonts w:ascii="Cambria" w:hAnsi="Cambria"/>
        </w:rPr>
      </w:pPr>
      <w:r w:rsidRPr="004C12F4">
        <w:rPr>
          <w:rFonts w:ascii="Cambria" w:hAnsi="Cambria"/>
        </w:rPr>
        <w:t xml:space="preserve">Jacob </w:t>
      </w:r>
      <w:proofErr w:type="spellStart"/>
      <w:r w:rsidRPr="004C12F4">
        <w:rPr>
          <w:rFonts w:ascii="Cambria" w:hAnsi="Cambria"/>
        </w:rPr>
        <w:t>Scheer</w:t>
      </w:r>
      <w:proofErr w:type="spellEnd"/>
    </w:p>
    <w:p w:rsidR="00C03D28" w:rsidRPr="004C12F4" w:rsidRDefault="00C03D28" w:rsidP="004C12F4">
      <w:pPr>
        <w:rPr>
          <w:rFonts w:ascii="Cambria" w:hAnsi="Cambria"/>
        </w:rPr>
      </w:pPr>
      <w:r w:rsidRPr="004C12F4">
        <w:rPr>
          <w:rFonts w:ascii="Cambria" w:hAnsi="Cambria"/>
        </w:rPr>
        <w:t xml:space="preserve">Data Visualization </w:t>
      </w:r>
      <w:proofErr w:type="spellStart"/>
      <w:r w:rsidRPr="004C12F4">
        <w:rPr>
          <w:rFonts w:ascii="Cambria" w:hAnsi="Cambria"/>
        </w:rPr>
        <w:t>BootCamp</w:t>
      </w:r>
      <w:proofErr w:type="spellEnd"/>
      <w:r w:rsidRPr="004C12F4">
        <w:rPr>
          <w:rFonts w:ascii="Cambria" w:hAnsi="Cambria"/>
        </w:rPr>
        <w:t xml:space="preserve"> 2019</w:t>
      </w:r>
    </w:p>
    <w:p w:rsidR="00C03D28" w:rsidRPr="004C12F4" w:rsidRDefault="00C03D28" w:rsidP="004C12F4">
      <w:pPr>
        <w:rPr>
          <w:rFonts w:ascii="Cambria" w:hAnsi="Cambria"/>
        </w:rPr>
      </w:pPr>
      <w:r w:rsidRPr="004C12F4">
        <w:rPr>
          <w:rFonts w:ascii="Cambria" w:hAnsi="Cambria"/>
        </w:rPr>
        <w:t>Homework 1 – Microsoft Excel</w:t>
      </w:r>
    </w:p>
    <w:p w:rsidR="00C03D28" w:rsidRPr="004C12F4" w:rsidRDefault="004C12F4" w:rsidP="00C03D28">
      <w:pPr>
        <w:shd w:val="clear" w:color="auto" w:fill="FFFFFF"/>
        <w:spacing w:before="100" w:beforeAutospacing="1" w:after="100" w:afterAutospacing="1"/>
        <w:jc w:val="center"/>
        <w:rPr>
          <w:rFonts w:ascii="Cambria" w:eastAsia="Times New Roman" w:hAnsi="Cambria" w:cs="Times New Roman"/>
          <w:b/>
          <w:color w:val="24292E"/>
          <w:sz w:val="28"/>
        </w:rPr>
      </w:pPr>
      <w:proofErr w:type="spellStart"/>
      <w:r>
        <w:rPr>
          <w:rFonts w:ascii="Cambria" w:eastAsia="Times New Roman" w:hAnsi="Cambria" w:cs="Times New Roman"/>
          <w:b/>
          <w:color w:val="24292E"/>
          <w:sz w:val="28"/>
        </w:rPr>
        <w:t>Kickstarter</w:t>
      </w:r>
      <w:proofErr w:type="spellEnd"/>
      <w:r>
        <w:rPr>
          <w:rFonts w:ascii="Cambria" w:eastAsia="Times New Roman" w:hAnsi="Cambria" w:cs="Times New Roman"/>
          <w:b/>
          <w:color w:val="24292E"/>
          <w:sz w:val="28"/>
        </w:rPr>
        <w:t xml:space="preserve"> Project Insights</w:t>
      </w:r>
      <w:bookmarkStart w:id="0" w:name="_GoBack"/>
      <w:bookmarkEnd w:id="0"/>
    </w:p>
    <w:p w:rsidR="00C03D28" w:rsidRPr="004C12F4" w:rsidRDefault="00251E57" w:rsidP="00C03D28">
      <w:pPr>
        <w:shd w:val="clear" w:color="auto" w:fill="FFFFFF"/>
        <w:spacing w:before="100" w:beforeAutospacing="1" w:after="100" w:afterAutospacing="1"/>
        <w:rPr>
          <w:rFonts w:ascii="Cambria" w:eastAsia="Times New Roman" w:hAnsi="Cambria" w:cs="Times New Roman"/>
          <w:color w:val="24292E"/>
        </w:rPr>
      </w:pPr>
      <w:r w:rsidRPr="004C12F4">
        <w:rPr>
          <w:rFonts w:ascii="Cambria" w:eastAsia="Times New Roman" w:hAnsi="Cambria" w:cs="Times New Roman"/>
          <w:color w:val="24292E"/>
        </w:rPr>
        <w:t xml:space="preserve">1. </w:t>
      </w:r>
      <w:r w:rsidR="00C03D28" w:rsidRPr="004C12F4">
        <w:rPr>
          <w:rFonts w:ascii="Cambria" w:eastAsia="Times New Roman" w:hAnsi="Cambria" w:cs="Times New Roman"/>
          <w:color w:val="24292E"/>
        </w:rPr>
        <w:t xml:space="preserve">We can draw several conclusions from our dataset. First, the top three largest campaign categories by number of projects are Theater, Music and Technology. </w:t>
      </w:r>
      <w:r w:rsidRPr="004C12F4">
        <w:rPr>
          <w:rFonts w:ascii="Cambria" w:eastAsia="Times New Roman" w:hAnsi="Cambria" w:cs="Times New Roman"/>
          <w:color w:val="24292E"/>
        </w:rPr>
        <w:t>Second</w:t>
      </w:r>
      <w:r w:rsidR="00C03D28" w:rsidRPr="004C12F4">
        <w:rPr>
          <w:rFonts w:ascii="Cambria" w:eastAsia="Times New Roman" w:hAnsi="Cambria" w:cs="Times New Roman"/>
          <w:color w:val="24292E"/>
        </w:rPr>
        <w:t>, the categories with the largest number and percentage of successes are Theat</w:t>
      </w:r>
      <w:r w:rsidRPr="004C12F4">
        <w:rPr>
          <w:rFonts w:ascii="Cambria" w:eastAsia="Times New Roman" w:hAnsi="Cambria" w:cs="Times New Roman"/>
          <w:color w:val="24292E"/>
        </w:rPr>
        <w:t>er, Music and Film &amp; Television (Figure 1)</w:t>
      </w:r>
      <w:r w:rsidR="00C03D28" w:rsidRPr="004C12F4">
        <w:rPr>
          <w:rFonts w:ascii="Cambria" w:eastAsia="Times New Roman" w:hAnsi="Cambria" w:cs="Times New Roman"/>
          <w:color w:val="24292E"/>
        </w:rPr>
        <w:t xml:space="preserve"> </w:t>
      </w:r>
      <w:r w:rsidRPr="004C12F4">
        <w:rPr>
          <w:rFonts w:ascii="Cambria" w:eastAsia="Times New Roman" w:hAnsi="Cambria" w:cs="Times New Roman"/>
          <w:color w:val="24292E"/>
        </w:rPr>
        <w:t xml:space="preserve">As for </w:t>
      </w:r>
      <w:proofErr w:type="gramStart"/>
      <w:r w:rsidRPr="004C12F4">
        <w:rPr>
          <w:rFonts w:ascii="Cambria" w:eastAsia="Times New Roman" w:hAnsi="Cambria" w:cs="Times New Roman"/>
          <w:color w:val="24292E"/>
        </w:rPr>
        <w:t>subcategories,</w:t>
      </w:r>
      <w:proofErr w:type="gramEnd"/>
      <w:r w:rsidRPr="004C12F4">
        <w:rPr>
          <w:rFonts w:ascii="Cambria" w:eastAsia="Times New Roman" w:hAnsi="Cambria" w:cs="Times New Roman"/>
          <w:color w:val="24292E"/>
        </w:rPr>
        <w:t xml:space="preserve"> the sub-category with largest number of projects by a wide margin was plays. </w:t>
      </w:r>
      <w:r w:rsidR="00C03D28" w:rsidRPr="004C12F4">
        <w:rPr>
          <w:rFonts w:ascii="Cambria" w:eastAsia="Times New Roman" w:hAnsi="Cambria" w:cs="Times New Roman"/>
          <w:color w:val="24292E"/>
        </w:rPr>
        <w:t xml:space="preserve">The categories with the smallest numbers of projects were journalism, photography, games, and food. </w:t>
      </w:r>
      <w:r w:rsidRPr="004C12F4">
        <w:rPr>
          <w:rFonts w:ascii="Cambria" w:eastAsia="Times New Roman" w:hAnsi="Cambria" w:cs="Times New Roman"/>
          <w:color w:val="24292E"/>
        </w:rPr>
        <w:t xml:space="preserve">Third, May is the month in which the largest </w:t>
      </w:r>
      <w:proofErr w:type="gramStart"/>
      <w:r w:rsidRPr="004C12F4">
        <w:rPr>
          <w:rFonts w:ascii="Cambria" w:eastAsia="Times New Roman" w:hAnsi="Cambria" w:cs="Times New Roman"/>
          <w:color w:val="24292E"/>
        </w:rPr>
        <w:t>number of successful campaigns are</w:t>
      </w:r>
      <w:proofErr w:type="gramEnd"/>
      <w:r w:rsidRPr="004C12F4">
        <w:rPr>
          <w:rFonts w:ascii="Cambria" w:eastAsia="Times New Roman" w:hAnsi="Cambria" w:cs="Times New Roman"/>
          <w:color w:val="24292E"/>
        </w:rPr>
        <w:t xml:space="preserve"> created.</w:t>
      </w:r>
    </w:p>
    <w:p w:rsidR="00C03D28" w:rsidRPr="004C12F4" w:rsidRDefault="00C03D28" w:rsidP="00C03D28">
      <w:pPr>
        <w:shd w:val="clear" w:color="auto" w:fill="FFFFFF"/>
        <w:spacing w:before="100" w:beforeAutospacing="1" w:after="100" w:afterAutospacing="1"/>
        <w:rPr>
          <w:rFonts w:ascii="Cambria" w:eastAsia="Times New Roman" w:hAnsi="Cambria" w:cs="Times New Roman"/>
          <w:color w:val="24292E"/>
        </w:rPr>
      </w:pPr>
      <w:r w:rsidRPr="004C12F4">
        <w:rPr>
          <w:rFonts w:ascii="Cambria" w:hAnsi="Cambria"/>
          <w:noProof/>
        </w:rPr>
        <w:drawing>
          <wp:inline distT="0" distB="0" distL="0" distR="0" wp14:anchorId="4FD39997" wp14:editId="03B822FE">
            <wp:extent cx="4686300" cy="29718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4C12F4">
        <w:rPr>
          <w:rFonts w:ascii="Cambria" w:eastAsia="Times New Roman" w:hAnsi="Cambria" w:cs="Times New Roman"/>
          <w:color w:val="24292E"/>
        </w:rPr>
        <w:t xml:space="preserve"> </w:t>
      </w:r>
    </w:p>
    <w:p w:rsidR="00251E57" w:rsidRPr="004C12F4" w:rsidRDefault="00251E57" w:rsidP="00251E57">
      <w:pPr>
        <w:pStyle w:val="ListParagraph"/>
        <w:numPr>
          <w:ilvl w:val="0"/>
          <w:numId w:val="2"/>
        </w:numPr>
        <w:shd w:val="clear" w:color="auto" w:fill="FFFFFF"/>
        <w:spacing w:before="60" w:after="100" w:afterAutospacing="1"/>
        <w:rPr>
          <w:rFonts w:ascii="Cambria" w:eastAsia="Times New Roman" w:hAnsi="Cambria" w:cs="Times New Roman"/>
          <w:color w:val="24292E"/>
        </w:rPr>
      </w:pPr>
      <w:r w:rsidRPr="004C12F4">
        <w:rPr>
          <w:rFonts w:ascii="Cambria" w:eastAsia="Times New Roman" w:hAnsi="Cambria" w:cs="Times New Roman"/>
          <w:color w:val="24292E"/>
        </w:rPr>
        <w:t xml:space="preserve">Some limitations of this dataset are that we are only supplied summary statistics such as number of donors, total amount raised, start data and end date. We are given no information as to how much each donor gave or the spread of donations. </w:t>
      </w:r>
    </w:p>
    <w:p w:rsidR="00251E57" w:rsidRPr="004C12F4" w:rsidRDefault="00251E57" w:rsidP="00251E57">
      <w:pPr>
        <w:pStyle w:val="ListParagraph"/>
        <w:shd w:val="clear" w:color="auto" w:fill="FFFFFF"/>
        <w:spacing w:before="60" w:after="100" w:afterAutospacing="1"/>
        <w:rPr>
          <w:rFonts w:ascii="Cambria" w:eastAsia="Times New Roman" w:hAnsi="Cambria" w:cs="Times New Roman"/>
          <w:color w:val="24292E"/>
        </w:rPr>
      </w:pPr>
    </w:p>
    <w:p w:rsidR="00C03D28" w:rsidRPr="004C12F4" w:rsidRDefault="00251E57" w:rsidP="00251E57">
      <w:pPr>
        <w:pStyle w:val="ListParagraph"/>
        <w:numPr>
          <w:ilvl w:val="0"/>
          <w:numId w:val="2"/>
        </w:numPr>
        <w:shd w:val="clear" w:color="auto" w:fill="FFFFFF"/>
        <w:spacing w:before="60" w:after="100" w:afterAutospacing="1"/>
        <w:rPr>
          <w:rFonts w:ascii="Cambria" w:eastAsia="Times New Roman" w:hAnsi="Cambria" w:cs="Times New Roman"/>
          <w:color w:val="24292E"/>
        </w:rPr>
      </w:pPr>
      <w:r w:rsidRPr="004C12F4">
        <w:rPr>
          <w:rFonts w:ascii="Cambria" w:eastAsia="Times New Roman" w:hAnsi="Cambria" w:cs="Times New Roman"/>
          <w:color w:val="24292E"/>
        </w:rPr>
        <w:t>From the data we are given, other graphs or tables we could create are amount raised by category. I actually did create this chart and found something surprising.</w:t>
      </w:r>
      <w:r w:rsidR="004C12F4" w:rsidRPr="004C12F4">
        <w:rPr>
          <w:rFonts w:ascii="Cambria" w:eastAsia="Times New Roman" w:hAnsi="Cambria" w:cs="Times New Roman"/>
          <w:color w:val="24292E"/>
        </w:rPr>
        <w:t xml:space="preserve"> The amount of money given to technology projects eclipses all of the other projects, despite the fact that there were fewer successful projects (See fig. 2)</w:t>
      </w:r>
    </w:p>
    <w:p w:rsidR="00251E57" w:rsidRPr="004C12F4" w:rsidRDefault="004C12F4" w:rsidP="004C12F4">
      <w:pPr>
        <w:shd w:val="clear" w:color="auto" w:fill="FFFFFF"/>
        <w:spacing w:before="60" w:after="100" w:afterAutospacing="1"/>
        <w:ind w:left="360"/>
        <w:rPr>
          <w:rFonts w:ascii="Cambria" w:eastAsia="Times New Roman" w:hAnsi="Cambria" w:cs="Times New Roman"/>
          <w:color w:val="24292E"/>
        </w:rPr>
      </w:pPr>
      <w:r w:rsidRPr="004C12F4">
        <w:rPr>
          <w:rFonts w:ascii="Cambria" w:hAnsi="Cambria"/>
          <w:noProof/>
        </w:rPr>
        <w:lastRenderedPageBreak/>
        <w:drawing>
          <wp:inline distT="0" distB="0" distL="0" distR="0" wp14:anchorId="4A232012" wp14:editId="40923C6A">
            <wp:extent cx="5486400" cy="1985010"/>
            <wp:effectExtent l="0" t="0" r="254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4273" w:rsidRPr="004C12F4" w:rsidRDefault="00C34273">
      <w:pPr>
        <w:rPr>
          <w:rFonts w:ascii="Cambria" w:hAnsi="Cambria"/>
        </w:rPr>
      </w:pPr>
    </w:p>
    <w:sectPr w:rsidR="00C34273" w:rsidRPr="004C12F4" w:rsidSect="00C34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FA9"/>
    <w:multiLevelType w:val="multilevel"/>
    <w:tmpl w:val="37C8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96A62"/>
    <w:multiLevelType w:val="hybridMultilevel"/>
    <w:tmpl w:val="719601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28"/>
    <w:rsid w:val="00251E57"/>
    <w:rsid w:val="004C12F4"/>
    <w:rsid w:val="00C03D28"/>
    <w:rsid w:val="00C34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14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D28"/>
    <w:rPr>
      <w:rFonts w:ascii="Lucida Grande" w:hAnsi="Lucida Grande"/>
      <w:sz w:val="18"/>
      <w:szCs w:val="18"/>
    </w:rPr>
  </w:style>
  <w:style w:type="character" w:customStyle="1" w:styleId="BalloonTextChar">
    <w:name w:val="Balloon Text Char"/>
    <w:basedOn w:val="DefaultParagraphFont"/>
    <w:link w:val="BalloonText"/>
    <w:uiPriority w:val="99"/>
    <w:semiHidden/>
    <w:rsid w:val="00C03D28"/>
    <w:rPr>
      <w:rFonts w:ascii="Lucida Grande" w:hAnsi="Lucida Grande"/>
      <w:sz w:val="18"/>
      <w:szCs w:val="18"/>
    </w:rPr>
  </w:style>
  <w:style w:type="paragraph" w:styleId="ListParagraph">
    <w:name w:val="List Paragraph"/>
    <w:basedOn w:val="Normal"/>
    <w:uiPriority w:val="34"/>
    <w:qFormat/>
    <w:rsid w:val="00251E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D28"/>
    <w:rPr>
      <w:rFonts w:ascii="Lucida Grande" w:hAnsi="Lucida Grande"/>
      <w:sz w:val="18"/>
      <w:szCs w:val="18"/>
    </w:rPr>
  </w:style>
  <w:style w:type="character" w:customStyle="1" w:styleId="BalloonTextChar">
    <w:name w:val="Balloon Text Char"/>
    <w:basedOn w:val="DefaultParagraphFont"/>
    <w:link w:val="BalloonText"/>
    <w:uiPriority w:val="99"/>
    <w:semiHidden/>
    <w:rsid w:val="00C03D28"/>
    <w:rPr>
      <w:rFonts w:ascii="Lucida Grande" w:hAnsi="Lucida Grande"/>
      <w:sz w:val="18"/>
      <w:szCs w:val="18"/>
    </w:rPr>
  </w:style>
  <w:style w:type="paragraph" w:styleId="ListParagraph">
    <w:name w:val="List Paragraph"/>
    <w:basedOn w:val="Normal"/>
    <w:uiPriority w:val="34"/>
    <w:qFormat/>
    <w:rsid w:val="00251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060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user:Downloads:StarterBook%20(2).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user:Downloads:StarterBook%20(2).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Fig. 1 - State</a:t>
            </a:r>
            <a:r>
              <a:rPr lang="en-US" sz="1200" baseline="0"/>
              <a:t> of Project by Parent Category</a:t>
            </a:r>
            <a:endParaRPr lang="en-US" sz="1200"/>
          </a:p>
        </c:rich>
      </c:tx>
      <c:layout/>
      <c:overlay val="0"/>
    </c:title>
    <c:autoTitleDeleted val="0"/>
    <c:plotArea>
      <c:layout/>
      <c:barChart>
        <c:barDir val="col"/>
        <c:grouping val="stacked"/>
        <c:varyColors val="0"/>
        <c:ser>
          <c:idx val="0"/>
          <c:order val="0"/>
          <c:tx>
            <c:strRef>
              <c:f>'Category Pivot Table'!$B$4</c:f>
              <c:strCache>
                <c:ptCount val="1"/>
                <c:pt idx="0">
                  <c:v>canceled</c:v>
                </c:pt>
              </c:strCache>
            </c:strRef>
          </c:tx>
          <c:invertIfNegative val="0"/>
          <c:cat>
            <c:strRef>
              <c:f>'Category Pivot Table'!$A$5:$A$13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Table'!$B$5:$B$13</c:f>
              <c:numCache>
                <c:formatCode>General</c:formatCode>
                <c:ptCount val="9"/>
                <c:pt idx="0">
                  <c:v>40.0</c:v>
                </c:pt>
                <c:pt idx="1">
                  <c:v>20.0</c:v>
                </c:pt>
                <c:pt idx="3">
                  <c:v>24.0</c:v>
                </c:pt>
                <c:pt idx="4">
                  <c:v>20.0</c:v>
                </c:pt>
                <c:pt idx="6">
                  <c:v>30.0</c:v>
                </c:pt>
                <c:pt idx="7">
                  <c:v>178.0</c:v>
                </c:pt>
                <c:pt idx="8">
                  <c:v>37.0</c:v>
                </c:pt>
              </c:numCache>
            </c:numRef>
          </c:val>
        </c:ser>
        <c:ser>
          <c:idx val="1"/>
          <c:order val="1"/>
          <c:tx>
            <c:strRef>
              <c:f>'Category Pivot Table'!$C$4</c:f>
              <c:strCache>
                <c:ptCount val="1"/>
                <c:pt idx="0">
                  <c:v>failed</c:v>
                </c:pt>
              </c:strCache>
            </c:strRef>
          </c:tx>
          <c:invertIfNegative val="0"/>
          <c:cat>
            <c:strRef>
              <c:f>'Category Pivot Table'!$A$5:$A$13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Table'!$C$5:$C$13</c:f>
              <c:numCache>
                <c:formatCode>General</c:formatCode>
                <c:ptCount val="9"/>
                <c:pt idx="0">
                  <c:v>180.0</c:v>
                </c:pt>
                <c:pt idx="1">
                  <c:v>140.0</c:v>
                </c:pt>
                <c:pt idx="2">
                  <c:v>140.0</c:v>
                </c:pt>
                <c:pt idx="4">
                  <c:v>120.0</c:v>
                </c:pt>
                <c:pt idx="5">
                  <c:v>117.0</c:v>
                </c:pt>
                <c:pt idx="6">
                  <c:v>127.0</c:v>
                </c:pt>
                <c:pt idx="7">
                  <c:v>213.0</c:v>
                </c:pt>
                <c:pt idx="8">
                  <c:v>493.0</c:v>
                </c:pt>
              </c:numCache>
            </c:numRef>
          </c:val>
        </c:ser>
        <c:ser>
          <c:idx val="2"/>
          <c:order val="2"/>
          <c:tx>
            <c:strRef>
              <c:f>'Category Pivot Table'!$D$4</c:f>
              <c:strCache>
                <c:ptCount val="1"/>
                <c:pt idx="0">
                  <c:v>live</c:v>
                </c:pt>
              </c:strCache>
            </c:strRef>
          </c:tx>
          <c:invertIfNegative val="0"/>
          <c:cat>
            <c:strRef>
              <c:f>'Category Pivot Table'!$A$5:$A$13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Table'!$D$5:$D$13</c:f>
              <c:numCache>
                <c:formatCode>General</c:formatCode>
                <c:ptCount val="9"/>
                <c:pt idx="1">
                  <c:v>6.0</c:v>
                </c:pt>
                <c:pt idx="4">
                  <c:v>20.0</c:v>
                </c:pt>
                <c:pt idx="8">
                  <c:v>24.0</c:v>
                </c:pt>
              </c:numCache>
            </c:numRef>
          </c:val>
        </c:ser>
        <c:ser>
          <c:idx val="3"/>
          <c:order val="3"/>
          <c:tx>
            <c:strRef>
              <c:f>'Category Pivot Table'!$E$4</c:f>
              <c:strCache>
                <c:ptCount val="1"/>
                <c:pt idx="0">
                  <c:v>successful</c:v>
                </c:pt>
              </c:strCache>
            </c:strRef>
          </c:tx>
          <c:invertIfNegative val="0"/>
          <c:cat>
            <c:strRef>
              <c:f>'Category Pivot Table'!$A$5:$A$13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Table'!$E$5:$E$13</c:f>
              <c:numCache>
                <c:formatCode>General</c:formatCode>
                <c:ptCount val="9"/>
                <c:pt idx="0">
                  <c:v>300.0</c:v>
                </c:pt>
                <c:pt idx="1">
                  <c:v>34.0</c:v>
                </c:pt>
                <c:pt idx="2">
                  <c:v>80.0</c:v>
                </c:pt>
                <c:pt idx="4">
                  <c:v>540.0</c:v>
                </c:pt>
                <c:pt idx="5">
                  <c:v>103.0</c:v>
                </c:pt>
                <c:pt idx="6">
                  <c:v>80.0</c:v>
                </c:pt>
                <c:pt idx="7">
                  <c:v>209.0</c:v>
                </c:pt>
                <c:pt idx="8">
                  <c:v>839.0</c:v>
                </c:pt>
              </c:numCache>
            </c:numRef>
          </c:val>
        </c:ser>
        <c:dLbls>
          <c:showLegendKey val="0"/>
          <c:showVal val="0"/>
          <c:showCatName val="0"/>
          <c:showSerName val="0"/>
          <c:showPercent val="0"/>
          <c:showBubbleSize val="0"/>
        </c:dLbls>
        <c:gapWidth val="150"/>
        <c:overlap val="100"/>
        <c:axId val="2084297976"/>
        <c:axId val="2084293048"/>
      </c:barChart>
      <c:catAx>
        <c:axId val="2084297976"/>
        <c:scaling>
          <c:orientation val="minMax"/>
        </c:scaling>
        <c:delete val="0"/>
        <c:axPos val="b"/>
        <c:title>
          <c:tx>
            <c:rich>
              <a:bodyPr/>
              <a:lstStyle/>
              <a:p>
                <a:pPr>
                  <a:defRPr/>
                </a:pPr>
                <a:r>
                  <a:rPr lang="en-US"/>
                  <a:t>Category</a:t>
                </a:r>
              </a:p>
              <a:p>
                <a:pPr>
                  <a:defRPr/>
                </a:pPr>
                <a:endParaRPr lang="en-US"/>
              </a:p>
            </c:rich>
          </c:tx>
          <c:layout/>
          <c:overlay val="0"/>
        </c:title>
        <c:majorTickMark val="out"/>
        <c:minorTickMark val="none"/>
        <c:tickLblPos val="nextTo"/>
        <c:crossAx val="2084293048"/>
        <c:crosses val="autoZero"/>
        <c:auto val="1"/>
        <c:lblAlgn val="ctr"/>
        <c:lblOffset val="100"/>
        <c:noMultiLvlLbl val="0"/>
      </c:catAx>
      <c:valAx>
        <c:axId val="2084293048"/>
        <c:scaling>
          <c:orientation val="minMax"/>
        </c:scaling>
        <c:delete val="0"/>
        <c:axPos val="l"/>
        <c:majorGridlines/>
        <c:title>
          <c:tx>
            <c:rich>
              <a:bodyPr rot="-5400000" vert="horz"/>
              <a:lstStyle/>
              <a:p>
                <a:pPr>
                  <a:defRPr/>
                </a:pPr>
                <a:r>
                  <a:rPr lang="en-US"/>
                  <a:t>Number</a:t>
                </a:r>
                <a:r>
                  <a:rPr lang="en-US" baseline="0"/>
                  <a:t> of Projects</a:t>
                </a:r>
                <a:endParaRPr lang="en-US"/>
              </a:p>
            </c:rich>
          </c:tx>
          <c:layout/>
          <c:overlay val="0"/>
        </c:title>
        <c:numFmt formatCode="General" sourceLinked="1"/>
        <c:majorTickMark val="out"/>
        <c:minorTickMark val="none"/>
        <c:tickLblPos val="nextTo"/>
        <c:crossAx val="2084297976"/>
        <c:crosses val="autoZero"/>
        <c:crossBetween val="between"/>
      </c:valAx>
    </c:plotArea>
    <c:legend>
      <c:legendPos val="r"/>
      <c:layout/>
      <c:overlay val="0"/>
      <c:spPr>
        <a:solidFill>
          <a:srgbClr val="FFFFFF"/>
        </a:solidFill>
        <a:ln>
          <a:solidFill>
            <a:srgbClr val="BFBFBF"/>
          </a:solidFill>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(Fig. 2) Amount pledged vs. Category</a:t>
            </a:r>
          </a:p>
        </c:rich>
      </c:tx>
      <c:layout/>
      <c:overlay val="0"/>
    </c:title>
    <c:autoTitleDeleted val="0"/>
    <c:plotArea>
      <c:layout/>
      <c:barChart>
        <c:barDir val="col"/>
        <c:grouping val="stacked"/>
        <c:varyColors val="0"/>
        <c:ser>
          <c:idx val="0"/>
          <c:order val="0"/>
          <c:tx>
            <c:strRef>
              <c:f>Sheet6!$B$4</c:f>
              <c:strCache>
                <c:ptCount val="1"/>
                <c:pt idx="0">
                  <c:v>canceled</c:v>
                </c:pt>
              </c:strCache>
            </c:strRef>
          </c:tx>
          <c:invertIfNegative val="0"/>
          <c:cat>
            <c:strRef>
              <c:f>Sheet6!$A$5:$A$13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Sheet6!$B$5:$B$13</c:f>
              <c:numCache>
                <c:formatCode>General</c:formatCode>
                <c:ptCount val="9"/>
                <c:pt idx="0">
                  <c:v>53469.0</c:v>
                </c:pt>
                <c:pt idx="1">
                  <c:v>1127.0</c:v>
                </c:pt>
                <c:pt idx="3">
                  <c:v>9537.0</c:v>
                </c:pt>
                <c:pt idx="4">
                  <c:v>9637.0</c:v>
                </c:pt>
                <c:pt idx="6">
                  <c:v>18781.0</c:v>
                </c:pt>
                <c:pt idx="7">
                  <c:v>2.35202151E6</c:v>
                </c:pt>
                <c:pt idx="8">
                  <c:v>98359.0</c:v>
                </c:pt>
              </c:numCache>
            </c:numRef>
          </c:val>
        </c:ser>
        <c:ser>
          <c:idx val="1"/>
          <c:order val="1"/>
          <c:tx>
            <c:strRef>
              <c:f>Sheet6!$C$4</c:f>
              <c:strCache>
                <c:ptCount val="1"/>
                <c:pt idx="0">
                  <c:v>failed</c:v>
                </c:pt>
              </c:strCache>
            </c:strRef>
          </c:tx>
          <c:invertIfNegative val="0"/>
          <c:cat>
            <c:strRef>
              <c:f>Sheet6!$A$5:$A$13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Sheet6!$C$5:$C$13</c:f>
              <c:numCache>
                <c:formatCode>General</c:formatCode>
                <c:ptCount val="9"/>
                <c:pt idx="0">
                  <c:v>337771.78</c:v>
                </c:pt>
                <c:pt idx="1">
                  <c:v>80300.51</c:v>
                </c:pt>
                <c:pt idx="2">
                  <c:v>260905.33</c:v>
                </c:pt>
                <c:pt idx="4">
                  <c:v>66175.32</c:v>
                </c:pt>
                <c:pt idx="5">
                  <c:v>223920.31</c:v>
                </c:pt>
                <c:pt idx="6">
                  <c:v>49591.25</c:v>
                </c:pt>
                <c:pt idx="7">
                  <c:v>1.38668201E6</c:v>
                </c:pt>
                <c:pt idx="8">
                  <c:v>433620.89</c:v>
                </c:pt>
              </c:numCache>
            </c:numRef>
          </c:val>
        </c:ser>
        <c:ser>
          <c:idx val="2"/>
          <c:order val="2"/>
          <c:tx>
            <c:strRef>
              <c:f>Sheet6!$D$4</c:f>
              <c:strCache>
                <c:ptCount val="1"/>
                <c:pt idx="0">
                  <c:v>live</c:v>
                </c:pt>
              </c:strCache>
            </c:strRef>
          </c:tx>
          <c:invertIfNegative val="0"/>
          <c:cat>
            <c:strRef>
              <c:f>Sheet6!$A$5:$A$13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Sheet6!$D$5:$D$13</c:f>
              <c:numCache>
                <c:formatCode>General</c:formatCode>
                <c:ptCount val="9"/>
                <c:pt idx="1">
                  <c:v>6078.0</c:v>
                </c:pt>
                <c:pt idx="4">
                  <c:v>105800.38</c:v>
                </c:pt>
                <c:pt idx="8">
                  <c:v>84231.0</c:v>
                </c:pt>
              </c:numCache>
            </c:numRef>
          </c:val>
        </c:ser>
        <c:ser>
          <c:idx val="3"/>
          <c:order val="3"/>
          <c:tx>
            <c:strRef>
              <c:f>Sheet6!$E$4</c:f>
              <c:strCache>
                <c:ptCount val="1"/>
                <c:pt idx="0">
                  <c:v>successful</c:v>
                </c:pt>
              </c:strCache>
            </c:strRef>
          </c:tx>
          <c:invertIfNegative val="0"/>
          <c:cat>
            <c:strRef>
              <c:f>Sheet6!$A$5:$A$13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Sheet6!$E$5:$E$13</c:f>
              <c:numCache>
                <c:formatCode>General</c:formatCode>
                <c:ptCount val="9"/>
                <c:pt idx="0">
                  <c:v>5.31357617E6</c:v>
                </c:pt>
                <c:pt idx="1">
                  <c:v>849487.14</c:v>
                </c:pt>
                <c:pt idx="2">
                  <c:v>2.79140856E6</c:v>
                </c:pt>
                <c:pt idx="4">
                  <c:v>3.14761164E6</c:v>
                </c:pt>
                <c:pt idx="5">
                  <c:v>2.17769342E6</c:v>
                </c:pt>
                <c:pt idx="6">
                  <c:v>1.5353509E6</c:v>
                </c:pt>
                <c:pt idx="7">
                  <c:v>1.966502016E7</c:v>
                </c:pt>
                <c:pt idx="8">
                  <c:v>5.11558538E6</c:v>
                </c:pt>
              </c:numCache>
            </c:numRef>
          </c:val>
        </c:ser>
        <c:dLbls>
          <c:showLegendKey val="0"/>
          <c:showVal val="0"/>
          <c:showCatName val="0"/>
          <c:showSerName val="0"/>
          <c:showPercent val="0"/>
          <c:showBubbleSize val="0"/>
        </c:dLbls>
        <c:gapWidth val="150"/>
        <c:overlap val="100"/>
        <c:axId val="2086069704"/>
        <c:axId val="2086072824"/>
      </c:barChart>
      <c:catAx>
        <c:axId val="2086069704"/>
        <c:scaling>
          <c:orientation val="minMax"/>
        </c:scaling>
        <c:delete val="0"/>
        <c:axPos val="b"/>
        <c:majorTickMark val="out"/>
        <c:minorTickMark val="none"/>
        <c:tickLblPos val="nextTo"/>
        <c:crossAx val="2086072824"/>
        <c:crosses val="autoZero"/>
        <c:auto val="1"/>
        <c:lblAlgn val="ctr"/>
        <c:lblOffset val="100"/>
        <c:noMultiLvlLbl val="0"/>
      </c:catAx>
      <c:valAx>
        <c:axId val="2086072824"/>
        <c:scaling>
          <c:orientation val="minMax"/>
        </c:scaling>
        <c:delete val="0"/>
        <c:axPos val="l"/>
        <c:majorGridlines/>
        <c:numFmt formatCode="General" sourceLinked="1"/>
        <c:majorTickMark val="out"/>
        <c:minorTickMark val="none"/>
        <c:tickLblPos val="nextTo"/>
        <c:crossAx val="20860697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186</Words>
  <Characters>1061</Characters>
  <Application>Microsoft Macintosh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2019-08-18T03:26:00Z</dcterms:created>
  <dcterms:modified xsi:type="dcterms:W3CDTF">2019-08-18T03:51:00Z</dcterms:modified>
</cp:coreProperties>
</file>