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B4A" w:rsidRDefault="00EE5B4A">
      <w:pPr>
        <w:pStyle w:val="Title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Akshat Tilak (220122006)</w:t>
      </w:r>
    </w:p>
    <w:p w:rsidR="00EE5B4A" w:rsidRPr="00EE5B4A" w:rsidRDefault="00EE5B4A" w:rsidP="00EE5B4A"/>
    <w:p w:rsidR="008D4C03" w:rsidRPr="00EE5B4A" w:rsidRDefault="00700742">
      <w:pPr>
        <w:pStyle w:val="Title"/>
        <w:rPr>
          <w:rFonts w:ascii="Times New Roman" w:hAnsi="Times New Roman" w:cs="Times New Roman"/>
          <w:sz w:val="32"/>
          <w:szCs w:val="32"/>
        </w:rPr>
      </w:pPr>
      <w:r w:rsidRPr="00EE5B4A">
        <w:rPr>
          <w:rFonts w:ascii="Times New Roman" w:hAnsi="Times New Roman" w:cs="Times New Roman"/>
          <w:sz w:val="32"/>
          <w:szCs w:val="32"/>
        </w:rPr>
        <w:t>Machine Learning</w:t>
      </w:r>
      <w:r w:rsidR="00EE5B4A">
        <w:rPr>
          <w:rFonts w:ascii="Times New Roman" w:hAnsi="Times New Roman" w:cs="Times New Roman"/>
          <w:sz w:val="32"/>
          <w:szCs w:val="32"/>
        </w:rPr>
        <w:t>:</w:t>
      </w:r>
      <w:r w:rsidRPr="00EE5B4A">
        <w:rPr>
          <w:rFonts w:ascii="Times New Roman" w:hAnsi="Times New Roman" w:cs="Times New Roman"/>
          <w:sz w:val="32"/>
          <w:szCs w:val="32"/>
        </w:rPr>
        <w:t xml:space="preserve"> Prediction of HOMO–LUMO Ga</w:t>
      </w:r>
      <w:r w:rsidR="000377C5" w:rsidRPr="00EE5B4A">
        <w:rPr>
          <w:rFonts w:ascii="Times New Roman" w:hAnsi="Times New Roman" w:cs="Times New Roman"/>
          <w:sz w:val="32"/>
          <w:szCs w:val="32"/>
        </w:rPr>
        <w:t>ps Using GNNs and Δ-</w:t>
      </w:r>
      <w:r w:rsidRPr="00EE5B4A">
        <w:rPr>
          <w:rFonts w:ascii="Times New Roman" w:hAnsi="Times New Roman" w:cs="Times New Roman"/>
          <w:sz w:val="32"/>
          <w:szCs w:val="32"/>
        </w:rPr>
        <w:t>Learning</w:t>
      </w:r>
      <w:r w:rsidR="00EE5B4A">
        <w:rPr>
          <w:rFonts w:ascii="Times New Roman" w:hAnsi="Times New Roman" w:cs="Times New Roman"/>
          <w:sz w:val="32"/>
          <w:szCs w:val="32"/>
        </w:rPr>
        <w:t xml:space="preserve"> models.</w:t>
      </w:r>
    </w:p>
    <w:p w:rsidR="008D4C03" w:rsidRDefault="00700742">
      <w:pPr>
        <w:pStyle w:val="Heading1"/>
      </w:pPr>
      <w:r>
        <w:t>1. Introduction</w:t>
      </w:r>
    </w:p>
    <w:p w:rsidR="008D4C03" w:rsidRDefault="00700742">
      <w:r>
        <w:t>The HOMO–LU</w:t>
      </w:r>
      <w:r>
        <w:t>MO energy gap is a fundamental descriptor of molecular reactivity and electronic behavior. High-fidelity DFT methods such as PBE0 provide accurate orbital energies but are computationally expensive. Machine learning models trained on molecular geometries a</w:t>
      </w:r>
      <w:r>
        <w:t>nd quantum labels offer an alternative that scales efficiently to large datasets. This project uses a 10k subset of QCML to build two predictive models for PBE0-level gaps.</w:t>
      </w:r>
    </w:p>
    <w:p w:rsidR="008D4C03" w:rsidRDefault="00700742">
      <w:pPr>
        <w:pStyle w:val="Heading1"/>
      </w:pPr>
      <w:r>
        <w:t>2. Dataset and Label Construction</w:t>
      </w:r>
    </w:p>
    <w:p w:rsidR="008D4C03" w:rsidRDefault="00700742">
      <w:r>
        <w:t>The QCML dataset was accessed using TensorFlow Da</w:t>
      </w:r>
      <w:r>
        <w:t>tasets (TFDS). Individual components—atomic numbers, positions, orbital energies (α/β), occupations (α/β), Mulliken charges, and outlier flags—were loaded separately and zipped. Only non‑outlier samples were retained.</w:t>
      </w:r>
    </w:p>
    <w:p w:rsidR="00E620AD" w:rsidRPr="00BF27F2" w:rsidRDefault="00E620AD" w:rsidP="00E620AD">
      <w:pPr>
        <w:pStyle w:val="NormalWeb"/>
        <w:numPr>
          <w:ilvl w:val="0"/>
          <w:numId w:val="10"/>
        </w:numPr>
      </w:pPr>
      <w:r w:rsidRPr="00BF27F2">
        <w:rPr>
          <w:rStyle w:val="Strong"/>
        </w:rPr>
        <w:t>Atomic numbers</w:t>
      </w:r>
      <w:r w:rsidRPr="00BF27F2">
        <w:t xml:space="preserve"> (Z) ‘dft_atomic_numbers’</w:t>
      </w:r>
    </w:p>
    <w:p w:rsidR="00E620AD" w:rsidRPr="00BF27F2" w:rsidRDefault="00E620AD" w:rsidP="00E620AD">
      <w:pPr>
        <w:pStyle w:val="NormalWeb"/>
        <w:numPr>
          <w:ilvl w:val="0"/>
          <w:numId w:val="10"/>
        </w:numPr>
      </w:pPr>
      <w:r w:rsidRPr="00BF27F2">
        <w:rPr>
          <w:rStyle w:val="Strong"/>
        </w:rPr>
        <w:t>Cartesian positions</w:t>
      </w:r>
      <w:r w:rsidRPr="00BF27F2">
        <w:t xml:space="preserve"> (R)</w:t>
      </w:r>
      <w:r w:rsidRPr="00BF27F2">
        <w:rPr>
          <w:sz w:val="21"/>
          <w:szCs w:val="21"/>
        </w:rPr>
        <w:t xml:space="preserve"> 'dft_positions'</w:t>
      </w:r>
    </w:p>
    <w:p w:rsidR="00E620AD" w:rsidRPr="00BF27F2" w:rsidRDefault="00E620AD" w:rsidP="00E620AD">
      <w:pPr>
        <w:pStyle w:val="NormalWeb"/>
        <w:numPr>
          <w:ilvl w:val="0"/>
          <w:numId w:val="10"/>
        </w:numPr>
      </w:pPr>
      <w:r w:rsidRPr="00BF27F2">
        <w:rPr>
          <w:rStyle w:val="Strong"/>
        </w:rPr>
        <w:t xml:space="preserve">Global charge (Q) </w:t>
      </w:r>
      <w:r w:rsidRPr="00BF27F2">
        <w:rPr>
          <w:sz w:val="21"/>
          <w:szCs w:val="21"/>
        </w:rPr>
        <w:t>'dft_pbe0_mulliken_charges'</w:t>
      </w:r>
    </w:p>
    <w:p w:rsidR="00E620AD" w:rsidRPr="00BF27F2" w:rsidRDefault="00E620AD" w:rsidP="00E620AD">
      <w:pPr>
        <w:pStyle w:val="NormalWeb"/>
        <w:numPr>
          <w:ilvl w:val="0"/>
          <w:numId w:val="10"/>
        </w:numPr>
      </w:pPr>
      <w:r w:rsidRPr="00BF27F2">
        <w:rPr>
          <w:rStyle w:val="Strong"/>
        </w:rPr>
        <w:t>Multiplicity (M) ‘It is taken as 1’</w:t>
      </w:r>
    </w:p>
    <w:p w:rsidR="00E620AD" w:rsidRPr="00BF27F2" w:rsidRDefault="00E620AD" w:rsidP="00E620AD">
      <w:pPr>
        <w:pStyle w:val="NormalWeb"/>
        <w:numPr>
          <w:ilvl w:val="0"/>
          <w:numId w:val="10"/>
        </w:numPr>
      </w:pPr>
      <w:r w:rsidRPr="00BF27F2">
        <w:rPr>
          <w:rStyle w:val="Strong"/>
        </w:rPr>
        <w:t>Orbital energies and occupations</w:t>
      </w:r>
      <w:r w:rsidRPr="00BF27F2">
        <w:t xml:space="preserve"> (α and β channels) ‘</w:t>
      </w:r>
      <w:r w:rsidRPr="00BF27F2">
        <w:rPr>
          <w:sz w:val="21"/>
          <w:szCs w:val="21"/>
        </w:rPr>
        <w:t>dft_pbe0_orbital_energies_a', ‘dft_pbe0_orbital_energies_b' dft_pbe0_orbital_occupations_a' dft_pbe0_orbital_occupations _b'</w:t>
      </w:r>
    </w:p>
    <w:p w:rsidR="00E620AD" w:rsidRDefault="00E620AD" w:rsidP="00E620AD">
      <w:pPr>
        <w:pStyle w:val="NormalWeb"/>
        <w:numPr>
          <w:ilvl w:val="0"/>
          <w:numId w:val="10"/>
        </w:numPr>
      </w:pPr>
      <w:r w:rsidRPr="00BF27F2">
        <w:rPr>
          <w:rStyle w:val="Strong"/>
        </w:rPr>
        <w:t xml:space="preserve">Flags indicating outliers  </w:t>
      </w:r>
      <w:r w:rsidRPr="00BF27F2">
        <w:rPr>
          <w:rStyle w:val="Strong"/>
          <w:b w:val="0"/>
        </w:rPr>
        <w:t>‘dft_is_outliers’</w:t>
      </w:r>
      <w:r>
        <w:rPr>
          <w:rStyle w:val="Strong"/>
          <w:b w:val="0"/>
        </w:rPr>
        <w:t xml:space="preserve"> </w:t>
      </w:r>
    </w:p>
    <w:p w:rsidR="00E620AD" w:rsidRDefault="00E620AD"/>
    <w:p w:rsidR="008D4C03" w:rsidRDefault="00700742">
      <w:r>
        <w:t>The PBE0 HOMO–LUMO gap was computed us</w:t>
      </w:r>
      <w:r>
        <w:t>ing the provided orbital energy arrays. A HOMO is defined as the highest orbital with occupation &gt; 0.5, and the LUMO as the lowest with occupation ≤ 0.5, across both spin channels. The resulting gap in Hartree was converted to electron-volts using the cons</w:t>
      </w:r>
      <w:r>
        <w:t>tant 27.211386 eV.</w:t>
      </w:r>
    </w:p>
    <w:p w:rsidR="008D4C03" w:rsidRDefault="00700742">
      <w:pPr>
        <w:pStyle w:val="Heading1"/>
      </w:pPr>
      <w:r>
        <w:t>3. Model Architectures</w:t>
      </w:r>
    </w:p>
    <w:p w:rsidR="008D4C03" w:rsidRDefault="00700742">
      <w:pPr>
        <w:pStyle w:val="Heading2"/>
      </w:pPr>
      <w:r>
        <w:t>3.1 Baseline GraphModel</w:t>
      </w:r>
    </w:p>
    <w:p w:rsidR="008D4C03" w:rsidRDefault="00700742">
      <w:r>
        <w:t xml:space="preserve">The baseline model is a lightweight PyTorch GNN consisting of: (1) an atomic-number embedding layer, (2) an MLP node update network, (3) mean pooling, and (4) a readout </w:t>
      </w:r>
      <w:r>
        <w:lastRenderedPageBreak/>
        <w:t>MLP incorporating glo</w:t>
      </w:r>
      <w:r>
        <w:t>bal charge and multiplicity. No explicit message‑passing or edge features were used, which keeps the model simple but limits expressiveness.</w:t>
      </w:r>
    </w:p>
    <w:p w:rsidR="008D4C03" w:rsidRDefault="00700742">
      <w:pPr>
        <w:pStyle w:val="Heading2"/>
      </w:pPr>
      <w:r>
        <w:t>3.2 DeltaGraphModel (Δ‑Learning)</w:t>
      </w:r>
    </w:p>
    <w:p w:rsidR="008D4C03" w:rsidRDefault="00700742">
      <w:r>
        <w:t xml:space="preserve">The Δ‑learning architecture extends the baseline with PyTorch Geometric's GINConv </w:t>
      </w:r>
      <w:r>
        <w:t>and radius-graph edge construction. This model predicts Δ = PBE0_gap − baseline_gap, where baseline_gap is intended to be a low-fidelity value. Since the 10k dataset subset used does not include GFN2 gaps, the baseline placeholder is set to zero, effective</w:t>
      </w:r>
      <w:r>
        <w:t>ly reducing the model to direct regression but with a more expressive GNN backbone.</w:t>
      </w:r>
    </w:p>
    <w:p w:rsidR="00411277" w:rsidRDefault="00411277" w:rsidP="00411277">
      <w:pPr>
        <w:pStyle w:val="Heading2"/>
      </w:pPr>
      <w:r>
        <w:t xml:space="preserve">3.2 </w:t>
      </w:r>
      <w:r>
        <w:t>Ablated model using feature Ablation (No Q and M)</w:t>
      </w:r>
    </w:p>
    <w:p w:rsidR="00411277" w:rsidRDefault="00411277">
      <w:r>
        <w:t xml:space="preserve">The </w:t>
      </w:r>
      <w:r>
        <w:rPr>
          <w:rStyle w:val="Strong"/>
        </w:rPr>
        <w:t>Ablation Model</w:t>
      </w:r>
      <w:r>
        <w:t xml:space="preserve"> is a simplified version of the </w:t>
      </w:r>
      <w:r>
        <w:t>baseline Graph</w:t>
      </w:r>
      <w:r>
        <w:t xml:space="preserve"> </w:t>
      </w:r>
      <w:r>
        <w:t xml:space="preserve">Model designed to measure the importance of global molecular features (Q and M). In the baseline, </w:t>
      </w:r>
      <w:r>
        <w:rPr>
          <w:rStyle w:val="Strong"/>
        </w:rPr>
        <w:t>Q</w:t>
      </w:r>
      <w:r>
        <w:t xml:space="preserve"> represents the total Mulliken charge, and </w:t>
      </w:r>
      <w:r>
        <w:rPr>
          <w:rStyle w:val="Strong"/>
        </w:rPr>
        <w:t>M</w:t>
      </w:r>
      <w:r>
        <w:t xml:space="preserve"> represents molecular multiplicity. These tokens provide global electronic information that is not captured by atom-level features alone.</w:t>
      </w:r>
      <w:r w:rsidRPr="00411277">
        <w:t xml:space="preserve"> </w:t>
      </w:r>
      <w:r>
        <w:t xml:space="preserve">The ablation model </w:t>
      </w:r>
      <w:r>
        <w:rPr>
          <w:rStyle w:val="Strong"/>
        </w:rPr>
        <w:t>removes both global tokens</w:t>
      </w:r>
      <w:r>
        <w:t xml:space="preserve"> and relies solely on</w:t>
      </w:r>
      <w:r>
        <w:t xml:space="preserve"> Atomic Numbers (Z), 3D Coordinates (R) and Local node embeddings and pulling.</w:t>
      </w:r>
    </w:p>
    <w:p w:rsidR="008D4C03" w:rsidRDefault="00700742">
      <w:pPr>
        <w:pStyle w:val="Heading1"/>
      </w:pPr>
      <w:r>
        <w:t>4. Training Procedure</w:t>
      </w:r>
    </w:p>
    <w:p w:rsidR="00EE5B4A" w:rsidRPr="00EE5B4A" w:rsidRDefault="00411277" w:rsidP="00EE5B4A">
      <w:r>
        <w:t>All three</w:t>
      </w:r>
      <w:r w:rsidR="00700742">
        <w:t xml:space="preserve"> models were trained for 100 epochs using the Adam optimizer (lr = 1e−3) and MAE (L1) loss. Batches consisted of variable-sized molecules. Trainin</w:t>
      </w:r>
      <w:r w:rsidR="00700742">
        <w:t>g loss values were logged each epoch to CSV files, enabling later plotting of learning curves.</w:t>
      </w:r>
    </w:p>
    <w:p w:rsidR="008D4C03" w:rsidRDefault="00700742">
      <w:pPr>
        <w:pStyle w:val="Heading1"/>
      </w:pPr>
      <w:r>
        <w:t>5</w:t>
      </w:r>
      <w:r>
        <w:t>. Results and Metrics</w:t>
      </w:r>
    </w:p>
    <w:p w:rsidR="008D4C03" w:rsidRDefault="00700742">
      <w:r>
        <w:t>After training for 100 epochs on the 10k subset, the following results were obtained:</w:t>
      </w:r>
    </w:p>
    <w:p w:rsidR="00F23AFB" w:rsidRDefault="00700742">
      <w:r>
        <w:t>• Baseline GraphModel:</w:t>
      </w:r>
      <w:r>
        <w:br/>
        <w:t xml:space="preserve">    – Final training MAE: </w:t>
      </w:r>
      <w:r>
        <w:br/>
        <w:t xml:space="preserve">    – RMSE and R² values </w:t>
      </w:r>
      <w:r w:rsidR="00F23AFB">
        <w:t>:</w:t>
      </w:r>
      <w:r>
        <w:br/>
        <w:t xml:space="preserve">• </w:t>
      </w:r>
      <w:r>
        <w:t>Delta</w:t>
      </w:r>
      <w:r w:rsidR="00D310A6">
        <w:t>-</w:t>
      </w:r>
      <w:r>
        <w:t>Graph</w:t>
      </w:r>
      <w:r w:rsidR="00F83274">
        <w:t xml:space="preserve"> </w:t>
      </w:r>
      <w:r>
        <w:t>Model:</w:t>
      </w:r>
      <w:r>
        <w:br/>
        <w:t xml:space="preserve">    – Consistently lower MAE and RMSE than the baseline model.</w:t>
      </w:r>
      <w:r>
        <w:br/>
        <w:t xml:space="preserve">    – Higher R², ind</w:t>
      </w:r>
      <w:r w:rsidR="00F23AFB">
        <w:t>icating superior generalization.</w:t>
      </w:r>
    </w:p>
    <w:p w:rsidR="00D310A6" w:rsidRDefault="00F23AFB">
      <w:r>
        <w:t xml:space="preserve">• Ablation Model </w:t>
      </w:r>
      <w:r>
        <w:t>:</w:t>
      </w:r>
      <w:r>
        <w:br/>
      </w:r>
      <w:r w:rsidR="00D310A6">
        <w:t>– Consistently higher</w:t>
      </w:r>
      <w:r>
        <w:t xml:space="preserve"> MAE and RMSE than </w:t>
      </w:r>
      <w:r w:rsidR="00D310A6">
        <w:t xml:space="preserve">both </w:t>
      </w:r>
      <w:r>
        <w:t>the baseline model</w:t>
      </w:r>
      <w:r w:rsidR="00D310A6">
        <w:t xml:space="preserve"> and Delta-Graph Model</w:t>
      </w:r>
      <w:r>
        <w:t>.</w:t>
      </w:r>
      <w:r w:rsidR="00D310A6">
        <w:t xml:space="preserve"> – Lower</w:t>
      </w:r>
      <w:r>
        <w:t xml:space="preserve"> R², indicating </w:t>
      </w:r>
      <w:r w:rsidR="00D310A6">
        <w:t xml:space="preserve">inferior </w:t>
      </w:r>
      <w:r>
        <w:t>generalization.</w:t>
      </w:r>
      <w:r w:rsidR="00D310A6" w:rsidRPr="00D310A6">
        <w:t xml:space="preserve"> </w:t>
      </w:r>
      <w:r w:rsidR="00D310A6">
        <w:t xml:space="preserve">                                                                                       </w:t>
      </w:r>
      <w:r w:rsidR="00411277">
        <w:t>– This indicates that the global tokens are important for the smooth operations and superior generalization.</w:t>
      </w:r>
    </w:p>
    <w:p w:rsidR="00F23AFB" w:rsidRDefault="00F83274">
      <w:r>
        <w:t xml:space="preserve">Current models trained on </w:t>
      </w:r>
      <w:r>
        <w:t>10k</w:t>
      </w:r>
      <w:r>
        <w:t xml:space="preserve"> samples; scaling to larger datasets (100k to 1M) could improve</w:t>
      </w:r>
      <w:r>
        <w:t xml:space="preserve"> the results</w:t>
      </w:r>
      <w:r>
        <w:t>.</w:t>
      </w:r>
      <w:r>
        <w:t xml:space="preserve"> </w:t>
      </w:r>
      <w:r>
        <w:t>Implementation of more sophisticated pooling and attention mechanisms.</w:t>
      </w:r>
      <w:r>
        <w:t xml:space="preserve"> </w:t>
      </w:r>
      <w:r>
        <w:t>Improved handling of spin-polarized cases and outlier detection.</w:t>
      </w:r>
      <w:bookmarkStart w:id="0" w:name="_GoBack"/>
      <w:bookmarkEnd w:id="0"/>
    </w:p>
    <w:p w:rsidR="00F23AFB" w:rsidRDefault="00F23A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4"/>
        <w:gridCol w:w="2214"/>
        <w:gridCol w:w="2214"/>
        <w:gridCol w:w="2214"/>
      </w:tblGrid>
      <w:tr w:rsidR="000377C5" w:rsidTr="000377C5">
        <w:tc>
          <w:tcPr>
            <w:tcW w:w="2214" w:type="dxa"/>
          </w:tcPr>
          <w:p w:rsidR="000377C5" w:rsidRDefault="000377C5">
            <w:r>
              <w:t xml:space="preserve">Model / Metric Value </w:t>
            </w:r>
          </w:p>
        </w:tc>
        <w:tc>
          <w:tcPr>
            <w:tcW w:w="2214" w:type="dxa"/>
          </w:tcPr>
          <w:p w:rsidR="000377C5" w:rsidRDefault="000377C5">
            <w:r>
              <w:t>MAE</w:t>
            </w:r>
          </w:p>
        </w:tc>
        <w:tc>
          <w:tcPr>
            <w:tcW w:w="2214" w:type="dxa"/>
          </w:tcPr>
          <w:p w:rsidR="000377C5" w:rsidRDefault="000377C5">
            <w:r>
              <w:t>RMSE</w:t>
            </w:r>
          </w:p>
        </w:tc>
        <w:tc>
          <w:tcPr>
            <w:tcW w:w="2214" w:type="dxa"/>
          </w:tcPr>
          <w:p w:rsidR="000377C5" w:rsidRDefault="000377C5">
            <w:r>
              <w:t>r_square</w:t>
            </w:r>
          </w:p>
        </w:tc>
      </w:tr>
      <w:tr w:rsidR="000377C5" w:rsidTr="000377C5">
        <w:tc>
          <w:tcPr>
            <w:tcW w:w="2214" w:type="dxa"/>
          </w:tcPr>
          <w:p w:rsidR="000377C5" w:rsidRDefault="000377C5">
            <w:r>
              <w:t>Baseline Model</w:t>
            </w:r>
          </w:p>
        </w:tc>
        <w:tc>
          <w:tcPr>
            <w:tcW w:w="2214" w:type="dxa"/>
          </w:tcPr>
          <w:p w:rsidR="000377C5" w:rsidRDefault="00F23AFB">
            <w:r>
              <w:t>0.9609 eV</w:t>
            </w:r>
          </w:p>
        </w:tc>
        <w:tc>
          <w:tcPr>
            <w:tcW w:w="2214" w:type="dxa"/>
          </w:tcPr>
          <w:p w:rsidR="000377C5" w:rsidRDefault="00F23AFB">
            <w:r>
              <w:t>1.2460 eV</w:t>
            </w:r>
          </w:p>
        </w:tc>
        <w:tc>
          <w:tcPr>
            <w:tcW w:w="2214" w:type="dxa"/>
          </w:tcPr>
          <w:p w:rsidR="000377C5" w:rsidRDefault="00F23AFB">
            <w:r>
              <w:t>0.4095</w:t>
            </w:r>
          </w:p>
        </w:tc>
      </w:tr>
      <w:tr w:rsidR="000377C5" w:rsidTr="000377C5">
        <w:tc>
          <w:tcPr>
            <w:tcW w:w="2214" w:type="dxa"/>
          </w:tcPr>
          <w:p w:rsidR="000377C5" w:rsidRDefault="000377C5">
            <w:r>
              <w:t>Delta-graph Model</w:t>
            </w:r>
          </w:p>
        </w:tc>
        <w:tc>
          <w:tcPr>
            <w:tcW w:w="2214" w:type="dxa"/>
          </w:tcPr>
          <w:p w:rsidR="000377C5" w:rsidRDefault="00F23AFB">
            <w:r>
              <w:t xml:space="preserve">0.8553 eV </w:t>
            </w:r>
          </w:p>
        </w:tc>
        <w:tc>
          <w:tcPr>
            <w:tcW w:w="2214" w:type="dxa"/>
          </w:tcPr>
          <w:p w:rsidR="000377C5" w:rsidRDefault="00F23AFB">
            <w:r>
              <w:t xml:space="preserve">1.14636 eV </w:t>
            </w:r>
          </w:p>
        </w:tc>
        <w:tc>
          <w:tcPr>
            <w:tcW w:w="2214" w:type="dxa"/>
          </w:tcPr>
          <w:p w:rsidR="000377C5" w:rsidRDefault="00F23AFB">
            <w:r>
              <w:t>0.5026</w:t>
            </w:r>
          </w:p>
        </w:tc>
      </w:tr>
      <w:tr w:rsidR="000377C5" w:rsidTr="000377C5">
        <w:tc>
          <w:tcPr>
            <w:tcW w:w="2214" w:type="dxa"/>
          </w:tcPr>
          <w:p w:rsidR="000377C5" w:rsidRDefault="000377C5">
            <w:r>
              <w:t xml:space="preserve">Ablation model </w:t>
            </w:r>
          </w:p>
        </w:tc>
        <w:tc>
          <w:tcPr>
            <w:tcW w:w="2214" w:type="dxa"/>
          </w:tcPr>
          <w:p w:rsidR="000377C5" w:rsidRDefault="00D310A6">
            <w:r>
              <w:t xml:space="preserve">1.0940 eV </w:t>
            </w:r>
          </w:p>
        </w:tc>
        <w:tc>
          <w:tcPr>
            <w:tcW w:w="2214" w:type="dxa"/>
          </w:tcPr>
          <w:p w:rsidR="000377C5" w:rsidRDefault="00D310A6">
            <w:r>
              <w:t xml:space="preserve">1.4156 eV </w:t>
            </w:r>
          </w:p>
        </w:tc>
        <w:tc>
          <w:tcPr>
            <w:tcW w:w="2214" w:type="dxa"/>
          </w:tcPr>
          <w:p w:rsidR="000377C5" w:rsidRDefault="00D310A6">
            <w:r>
              <w:t>0.2379</w:t>
            </w:r>
          </w:p>
        </w:tc>
      </w:tr>
    </w:tbl>
    <w:p w:rsidR="00411277" w:rsidRPr="00411277" w:rsidRDefault="00411277" w:rsidP="00411277"/>
    <w:p w:rsidR="008D4C03" w:rsidRDefault="00700742">
      <w:pPr>
        <w:pStyle w:val="Heading1"/>
      </w:pPr>
      <w:r>
        <w:t xml:space="preserve">6. Parity Plot </w:t>
      </w:r>
      <w:r w:rsidR="00F23AFB">
        <w:t xml:space="preserve">and Error Histogram </w:t>
      </w:r>
      <w:r>
        <w:t>Analysis</w:t>
      </w:r>
    </w:p>
    <w:p w:rsidR="00411277" w:rsidRDefault="00700742" w:rsidP="00F23AFB">
      <w:r>
        <w:t>Pari</w:t>
      </w:r>
      <w:r w:rsidR="00F23AFB">
        <w:t>ty plots were generated for</w:t>
      </w:r>
      <w:r>
        <w:t xml:space="preserve"> the</w:t>
      </w:r>
      <w:r w:rsidR="00F23AFB">
        <w:t xml:space="preserve"> baseline, Δ‑learning and Ablation models.</w:t>
      </w:r>
      <w:r>
        <w:t xml:space="preserve"> The baseline model showed wider scatter around t</w:t>
      </w:r>
      <w:r>
        <w:t>he diagonal, while the Δ‑learning model demonstrated tighter clustering, indicating reduced bias and improved accuracy. These plots reinforce the quantitative results obtained from</w:t>
      </w:r>
      <w:r>
        <w:t xml:space="preserve"> MAE, RMSE, and R² metrics.</w:t>
      </w:r>
      <w:r w:rsidR="00F23AFB">
        <w:t xml:space="preserve">   </w:t>
      </w:r>
      <w:r w:rsidR="000377C5">
        <w:t xml:space="preserve">   </w:t>
      </w:r>
      <w:r w:rsidR="008F43B1">
        <w:rPr>
          <w:noProof/>
        </w:rPr>
        <w:drawing>
          <wp:inline distT="0" distB="0" distL="0" distR="0" wp14:anchorId="6818E1C9" wp14:editId="1D9ADC13">
            <wp:extent cx="5190126" cy="40157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isto_combined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11" cy="405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3B1" w:rsidRDefault="008F43B1" w:rsidP="00F23AFB">
      <w:r>
        <w:rPr>
          <w:noProof/>
        </w:rPr>
        <w:lastRenderedPageBreak/>
        <w:drawing>
          <wp:inline distT="0" distB="0" distL="0" distR="0">
            <wp:extent cx="5486400" cy="42627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istogram delta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86400" cy="42932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istogram baselin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86400" cy="55848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mbined parity plo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8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86400" cy="55848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arity_plot_for_10k_delta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8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86400" cy="56032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arity_plot_for_10k_baseline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0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3B1" w:rsidRDefault="008F43B1"/>
    <w:p w:rsidR="008F43B1" w:rsidRDefault="008F43B1"/>
    <w:p w:rsidR="008F43B1" w:rsidRDefault="008F43B1"/>
    <w:p w:rsidR="008F43B1" w:rsidRDefault="008F43B1">
      <w:r>
        <w:t xml:space="preserve">     </w:t>
      </w:r>
    </w:p>
    <w:p w:rsidR="008F43B1" w:rsidRDefault="008F43B1"/>
    <w:p w:rsidR="008F43B1" w:rsidRDefault="008F43B1"/>
    <w:p w:rsidR="008F43B1" w:rsidRDefault="008F43B1"/>
    <w:p w:rsidR="00EE5B4A" w:rsidRDefault="008F43B1">
      <w:r>
        <w:rPr>
          <w:noProof/>
        </w:rPr>
        <w:lastRenderedPageBreak/>
        <w:drawing>
          <wp:inline distT="0" distB="0" distL="0" distR="0">
            <wp:extent cx="5486400" cy="35471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rainloss_delta 10k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3B1" w:rsidRDefault="00EE5B4A" w:rsidP="00EE5B4A">
      <w:pPr>
        <w:jc w:val="center"/>
      </w:pPr>
      <w:r>
        <w:t>Fig. Training  Loss Over Epochs parity Plot (for the Delta learning Model)</w:t>
      </w:r>
      <w:r w:rsidR="008F43B1">
        <w:rPr>
          <w:noProof/>
        </w:rPr>
        <w:drawing>
          <wp:inline distT="0" distB="0" distL="0" distR="0">
            <wp:extent cx="5486400" cy="347726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rainloss_baseline 10k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5B4A">
        <w:t xml:space="preserve"> </w:t>
      </w:r>
      <w:r>
        <w:t xml:space="preserve">Fig. Training  Loss Over Epochs parity Plot (for the </w:t>
      </w:r>
      <w:r>
        <w:t xml:space="preserve">Baseline </w:t>
      </w:r>
      <w:r>
        <w:t>Model)</w:t>
      </w:r>
    </w:p>
    <w:p w:rsidR="008F43B1" w:rsidRDefault="00F23AFB">
      <w:r>
        <w:rPr>
          <w:noProof/>
        </w:rPr>
        <w:lastRenderedPageBreak/>
        <w:drawing>
          <wp:inline distT="0" distB="0" distL="0" distR="0">
            <wp:extent cx="5486400" cy="55943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blatioinmodel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9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277" w:rsidRDefault="00411277">
      <w:pPr>
        <w:pStyle w:val="Heading1"/>
      </w:pPr>
    </w:p>
    <w:p w:rsidR="008D4C03" w:rsidRDefault="00700742">
      <w:pPr>
        <w:pStyle w:val="Heading1"/>
      </w:pPr>
      <w:r>
        <w:t>7. Limitations</w:t>
      </w:r>
    </w:p>
    <w:p w:rsidR="008D4C03" w:rsidRDefault="00700742">
      <w:r>
        <w:t xml:space="preserve">• The 10k subset size limits the </w:t>
      </w:r>
      <w:r>
        <w:t>expressiveness of deep GNN models.</w:t>
      </w:r>
      <w:r>
        <w:br/>
        <w:t>• Δ‑learning could not use true GFN2 baseline values since they were not part of this subset.</w:t>
      </w:r>
      <w:r>
        <w:br/>
        <w:t>• Representations did not include full equivariant message passing, which could further improve model accuracy.</w:t>
      </w:r>
      <w:r>
        <w:br/>
        <w:t xml:space="preserve">• Training was </w:t>
      </w:r>
      <w:r>
        <w:t>performed only on PBE0 HOMO–LUMO gaps; additional properties could help via multitask learning.</w:t>
      </w:r>
    </w:p>
    <w:p w:rsidR="00F23AFB" w:rsidRDefault="00F23AFB">
      <w:pPr>
        <w:pStyle w:val="Heading1"/>
      </w:pPr>
    </w:p>
    <w:p w:rsidR="008D4C03" w:rsidRDefault="00700742">
      <w:pPr>
        <w:pStyle w:val="Heading1"/>
      </w:pPr>
      <w:r>
        <w:t>8. Conclusion</w:t>
      </w:r>
    </w:p>
    <w:p w:rsidR="008D4C03" w:rsidRDefault="00700742">
      <w:r>
        <w:t>The conducted experiments demonstrate that even simple GNN architectures can learn meaningful structure–property relationships for quantum chemist</w:t>
      </w:r>
      <w:r>
        <w:t>ry datasets. The Δ‑learning model outperformed the baseline, confirming insights from the quantum ML literature. Future work should incorporate multi-fidelity labels, larger datasets, and stronger equivariant architectures such as MACE or NequIP.</w:t>
      </w:r>
    </w:p>
    <w:p w:rsidR="008D4C03" w:rsidRDefault="008D4C03"/>
    <w:sectPr w:rsidR="008D4C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CF460A"/>
    <w:multiLevelType w:val="multilevel"/>
    <w:tmpl w:val="818C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377C5"/>
    <w:rsid w:val="0006063C"/>
    <w:rsid w:val="0015074B"/>
    <w:rsid w:val="0029639D"/>
    <w:rsid w:val="00326F90"/>
    <w:rsid w:val="00411277"/>
    <w:rsid w:val="00700742"/>
    <w:rsid w:val="008D4C03"/>
    <w:rsid w:val="008F43B1"/>
    <w:rsid w:val="00AA1D8D"/>
    <w:rsid w:val="00B47730"/>
    <w:rsid w:val="00CB0664"/>
    <w:rsid w:val="00D310A6"/>
    <w:rsid w:val="00E620AD"/>
    <w:rsid w:val="00EE5B4A"/>
    <w:rsid w:val="00F23AFB"/>
    <w:rsid w:val="00F832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4EDAD1"/>
  <w14:defaultImageDpi w14:val="300"/>
  <w15:docId w15:val="{222B77E3-E508-4C63-BCB4-5631EE016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620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32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327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562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C604993-B5DE-42FA-AEFF-EE803D0CD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846</Words>
  <Characters>4826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AKSHAT TILAK</cp:lastModifiedBy>
  <cp:revision>4</cp:revision>
  <cp:lastPrinted>2025-11-16T20:13:00Z</cp:lastPrinted>
  <dcterms:created xsi:type="dcterms:W3CDTF">2013-12-23T23:15:00Z</dcterms:created>
  <dcterms:modified xsi:type="dcterms:W3CDTF">2025-11-18T17:29:00Z</dcterms:modified>
  <cp:category/>
</cp:coreProperties>
</file>