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Arial" w:hAnsi="Arial"/>
          <w:color w:val="1E3A5F"/>
          <w:sz w:val="50"/>
        </w:rPr>
        <w:t>EAST AFO Supervisor Meeting Record</w:t>
      </w:r>
    </w:p>
    <w:p>
      <w:pPr>
        <w:spacing w:after="320"/>
        <w:jc w:val="center"/>
      </w:pPr>
      <w:r>
        <w:rPr>
          <w:color w:val="555F6E"/>
          <w:sz w:val="20"/>
        </w:rPr>
        <w:t>Meeting date: 24 August 2026 | Record prepared: 31 August 2026</w:t>
      </w:r>
    </w:p>
    <w:p>
      <w:pPr>
        <w:pStyle w:val="Heading1"/>
      </w:pPr>
      <w:r>
        <w:t>1. Meeting purpose and principal outcome</w:t>
      </w:r>
    </w:p>
    <w:p>
      <w:r>
        <w:t>The meeting reviewed the EAST interface, the meaning of commanded speed and acceleration, the intended quasi-static and walking-related test conditions, and the verification work needed before formal AFO stiffness testing. The principal requirement from JZW was that GUI speed must represent the real physical angular speed of the mounted AFO, verified independently rather than assumed from the software conversion.</w:t>
      </w:r>
    </w:p>
    <w:p>
      <w:pPr>
        <w:spacing w:before="100" w:after="140"/>
        <w:ind w:left="259"/>
        <w:shd w:fill="FFF7ED"/>
      </w:pPr>
      <w:r>
        <w:rPr>
          <w:b/>
          <w:color w:val="B45309"/>
        </w:rPr>
        <w:t xml:space="preserve">Current status: </w:t>
      </w:r>
      <w:r>
        <w:t>Formal stiffness testing remains on hold while physical speed, 90-degree neutral, load/torque calibration, analysis-window validity and acceptance criteria are verified.</w:t>
      </w:r>
    </w:p>
    <w:p>
      <w:pPr>
        <w:pStyle w:val="Heading1"/>
      </w:pPr>
      <w:r>
        <w:t>2. Interface and control direction</w:t>
      </w:r>
    </w:p>
    <w:p>
      <w:pPr>
        <w:pStyle w:val="ListBullet"/>
        <w:spacing w:after="40"/>
      </w:pPr>
      <w:r>
        <w:t>Provide an accessible Return to 90 degrees control outside manual mode. Its target must be tied to a physically verified 90-degree position, not only an assumed relative encoder zero.</w:t>
      </w:r>
    </w:p>
    <w:p>
      <w:pPr>
        <w:pStyle w:val="ListBullet"/>
        <w:spacing w:after="40"/>
      </w:pPr>
      <w:r>
        <w:t>Retain manual entry of ankle range of motion, speed and cycle count as protocol variables.</w:t>
      </w:r>
    </w:p>
    <w:p>
      <w:pPr>
        <w:pStyle w:val="ListBullet"/>
        <w:spacing w:after="40"/>
      </w:pPr>
      <w:r>
        <w:t>Add a Quasi-static testing preset that loads an approved standard combination of settings.</w:t>
      </w:r>
    </w:p>
    <w:p>
      <w:pPr>
        <w:pStyle w:val="ListBullet"/>
        <w:spacing w:after="40"/>
      </w:pPr>
      <w:r>
        <w:t>Acceleration may be removed from routine operator entry if a validated protocol-specific value is applied automatically. Speed and acceleration must not be combined mathematically because they have different units and functions.</w:t>
      </w:r>
    </w:p>
    <w:p>
      <w:pPr>
        <w:pStyle w:val="ListBullet"/>
        <w:spacing w:after="40"/>
      </w:pPr>
      <w:r>
        <w:t>Rename the operator field to Operator initials.</w:t>
      </w:r>
    </w:p>
    <w:p>
      <w:pPr>
        <w:pStyle w:val="ListBullet"/>
        <w:spacing w:after="40"/>
      </w:pPr>
      <w:r>
        <w:t>Consider automatic filenames generated from run metadata instead of a separate filename-prefix field.</w:t>
      </w:r>
    </w:p>
    <w:p>
      <w:pPr>
        <w:pStyle w:val="ListBullet"/>
        <w:spacing w:after="40"/>
      </w:pPr>
      <w:r>
        <w:t>Review whether Fixture ID should be operator-entered. If fixture identity is fixed for each AFO, store that relationship in controlled specimen/configuration metadata.</w:t>
      </w:r>
    </w:p>
    <w:p>
      <w:pPr>
        <w:pStyle w:val="Heading1"/>
      </w:pPr>
      <w:r>
        <w:t>3. Speed, acceleration and analysis range</w:t>
      </w:r>
    </w:p>
    <w:p>
      <w:pPr>
        <w:spacing w:after="100"/>
      </w:pPr>
      <w:r>
        <w:rPr>
          <w:b/>
        </w:rPr>
        <w:t xml:space="preserve">Observed concern: </w:t>
      </w:r>
      <w:r>
        <w:t>Changing the GUI speed has not produced a sufficiently clear change in machine behaviour. The effect of acceleration on the achieved speed must be investigated.</w:t>
      </w:r>
    </w:p>
    <w:p>
      <w:pPr>
        <w:pStyle w:val="ListBullet"/>
        <w:spacing w:after="40"/>
      </w:pPr>
      <w:r>
        <w:t>Verify at multiple GUI speeds using independent physical angle-time measurement; analyse leftward and rightward movement separately.</w:t>
      </w:r>
    </w:p>
    <w:p>
      <w:pPr>
        <w:pStyle w:val="ListBullet"/>
        <w:spacing w:after="40"/>
      </w:pPr>
      <w:r>
        <w:t>Investigate higher speeds up to approximately 20 deg/s if needed to represent walking-related loading, after low-speed safety checks.</w:t>
      </w:r>
    </w:p>
    <w:p>
      <w:pPr>
        <w:pStyle w:val="ListBullet"/>
        <w:spacing w:after="40"/>
      </w:pPr>
      <w:r>
        <w:t>Treat quasi-static and walking-related conditions as separate verified protocols rather than assuming one setup represents both.</w:t>
      </w:r>
    </w:p>
    <w:p>
      <w:pPr>
        <w:spacing w:after="100"/>
      </w:pPr>
      <w:r>
        <w:rPr>
          <w:b/>
        </w:rPr>
        <w:t xml:space="preserve">Proposed analysis approach: </w:t>
      </w:r>
      <w:r>
        <w:t>Command a wider movement than the final stiffness-analysis window so the acceleration and deceleration regions can be excluded. A desired interval such as -1 to +4 degrees may therefore sit inside wider command limits.</w:t>
      </w:r>
    </w:p>
    <w:p>
      <w:pPr>
        <w:spacing w:before="100" w:after="140"/>
        <w:ind w:left="259"/>
        <w:shd w:fill="FFF7ED"/>
      </w:pPr>
      <w:r>
        <w:rPr>
          <w:b/>
          <w:color w:val="B45309"/>
        </w:rPr>
        <w:t xml:space="preserve">Methodological caveat: </w:t>
      </w:r>
      <w:r>
        <w:t>Acceleration cannot be assumed to affect only the ends of every movement. At low acceleration or over a short angular excursion, the mechanism may never reach the selected speed. Logged and independent angle-time data must demonstrate a stable-speed region across the full analysis window.</w:t>
      </w:r>
    </w:p>
    <w:p>
      <w:pPr>
        <w:pStyle w:val="Heading1"/>
      </w:pPr>
      <w:r>
        <w:t>4. Proposed specimen and cycle protocol</w:t>
      </w:r>
    </w:p>
    <w:p>
      <w:pPr>
        <w:pStyle w:val="ListBullet"/>
        <w:spacing w:after="40"/>
      </w:pPr>
      <w:r>
        <w:t>Initial AFO categories discussed: SAFO and PLS-AFO.</w:t>
      </w:r>
    </w:p>
    <w:p>
      <w:pPr>
        <w:pStyle w:val="ListBullet"/>
        <w:spacing w:after="40"/>
      </w:pPr>
      <w:r>
        <w:t>Acquire five cycles per run and use the middle three cycles (cycles 2-4) as the primary analysis set.</w:t>
      </w:r>
    </w:p>
    <w:p>
      <w:pPr>
        <w:pStyle w:val="ListBullet"/>
        <w:spacing w:after="40"/>
      </w:pPr>
      <w:r>
        <w:t>Treat cycle 1 as a conditioning or warm-up cycle because it has shown atypical behaviour.</w:t>
      </w:r>
    </w:p>
    <w:p>
      <w:pPr>
        <w:pStyle w:val="ListBullet"/>
        <w:spacing w:after="40"/>
      </w:pPr>
      <w:r>
        <w:t>Confirm why cycle 5 is excluded and perform a sensitivity analysis before fixing the final cycle-selection rule in the thesis protocol.</w:t>
      </w:r>
    </w:p>
    <w:p>
      <w:pPr>
        <w:pStyle w:val="ListBullet"/>
        <w:spacing w:after="40"/>
      </w:pPr>
      <w:r>
        <w:t>Preserve all five cycles in the raw CSV regardless of the cycles selected for stiffness analysis.</w:t>
      </w:r>
    </w:p>
    <w:p>
      <w:pPr>
        <w:pStyle w:val="Heading1"/>
      </w:pPr>
      <w:r>
        <w:t>5. Reliability and calibration programme</w:t>
      </w:r>
    </w:p>
    <w:p>
      <w:pPr>
        <w:pStyle w:val="ListBullet"/>
        <w:spacing w:after="40"/>
      </w:pPr>
      <w:r>
        <w:t>Empty-machine baseline: test without an AFO to characterise machine resistance, zero response and repeatability.</w:t>
      </w:r>
    </w:p>
    <w:p>
      <w:pPr>
        <w:pStyle w:val="ListBullet"/>
        <w:spacing w:after="40"/>
      </w:pPr>
      <w:r>
        <w:t>Repeat the verification and reliability measurements on three separate days.</w:t>
      </w:r>
    </w:p>
    <w:p>
      <w:pPr>
        <w:pStyle w:val="ListBullet"/>
        <w:spacing w:after="40"/>
      </w:pPr>
      <w:r>
        <w:t>Immediate test-retest: repeat without changing specimen, fixture or settings to estimate short-term machine repeatability.</w:t>
      </w:r>
    </w:p>
    <w:p>
      <w:pPr>
        <w:pStyle w:val="ListBullet"/>
        <w:spacing w:after="40"/>
      </w:pPr>
      <w:r>
        <w:t>Delayed test-retest: repeat later the same day and/or the next day, recording whether the AFO was removed or repositioned.</w:t>
      </w:r>
    </w:p>
    <w:p>
      <w:pPr>
        <w:pStyle w:val="ListBullet"/>
        <w:spacing w:after="40"/>
      </w:pPr>
      <w:r>
        <w:t>Intra-rater reliability: the same operator repeats the complete setup and testing procedure, including any protocol-defined remounting.</w:t>
      </w:r>
    </w:p>
    <w:p>
      <w:pPr>
        <w:pStyle w:val="ListBullet"/>
        <w:spacing w:after="40"/>
      </w:pPr>
      <w:r>
        <w:t>Inter-rater reliability: different operators independently repeat the defined setup and testing procedure.</w:t>
      </w:r>
    </w:p>
    <w:p>
      <w:pPr>
        <w:pStyle w:val="Heading1"/>
      </w:pPr>
      <w:r>
        <w:t>6. Actions arising</w:t>
      </w:r>
    </w:p>
    <w:tbl>
      <w:tblPr>
        <w:tblStyle w:val="TableGrid"/>
        <w:tblW w:type="dxa" w:w="10080"/>
        <w:jc w:val="left"/>
        <w:tblLayout w:type="fixed"/>
        <w:tblLook w:firstColumn="1" w:firstRow="1" w:lastColumn="0" w:lastRow="0" w:noHBand="0" w:noVBand="1" w:val="04A0"/>
      </w:tblPr>
      <w:tblGrid>
        <w:gridCol w:w="1152"/>
        <w:gridCol w:w="3240"/>
        <w:gridCol w:w="5688"/>
      </w:tblGrid>
      <w:tr>
        <w:trPr>
          <w:tblHeader/>
          <w:cantSplit/>
        </w:trPr>
        <w:tc>
          <w:tcPr>
            <w:tcW w:type="dxa" w:w="1152"/>
            <w:shd w:fill="1E3A5F"/>
            <w:vAlign w:val="center"/>
            <w:tcMar>
              <w:top w:w="55" w:type="dxa"/>
              <w:start w:w="100" w:type="dxa"/>
              <w:bottom w:w="55" w:type="dxa"/>
              <w:end w:w="100" w:type="dxa"/>
            </w:tcMar>
          </w:tcPr>
          <w:p>
            <w:r>
              <w:rPr>
                <w:b/>
                <w:color w:val="FFFFFF"/>
                <w:sz w:val="16"/>
              </w:rPr>
              <w:t>Priority</w:t>
            </w:r>
          </w:p>
        </w:tc>
        <w:tc>
          <w:tcPr>
            <w:tcW w:type="dxa" w:w="3240"/>
            <w:shd w:fill="1E3A5F"/>
            <w:vAlign w:val="center"/>
            <w:tcMar>
              <w:top w:w="55" w:type="dxa"/>
              <w:start w:w="100" w:type="dxa"/>
              <w:bottom w:w="55" w:type="dxa"/>
              <w:end w:w="100" w:type="dxa"/>
            </w:tcMar>
          </w:tcPr>
          <w:p>
            <w:r>
              <w:rPr>
                <w:b/>
                <w:color w:val="FFFFFF"/>
                <w:sz w:val="16"/>
              </w:rPr>
              <w:t>Action</w:t>
            </w:r>
          </w:p>
        </w:tc>
        <w:tc>
          <w:tcPr>
            <w:tcW w:type="dxa" w:w="5688"/>
            <w:shd w:fill="1E3A5F"/>
            <w:vAlign w:val="center"/>
            <w:tcMar>
              <w:top w:w="55" w:type="dxa"/>
              <w:start w:w="100" w:type="dxa"/>
              <w:bottom w:w="55" w:type="dxa"/>
              <w:end w:w="100" w:type="dxa"/>
            </w:tcMar>
          </w:tcPr>
          <w:p>
            <w:r>
              <w:rPr>
                <w:b/>
                <w:color w:val="FFFFFF"/>
                <w:sz w:val="16"/>
              </w:rPr>
              <w:t>Required evidence/output</w:t>
            </w:r>
          </w:p>
        </w:tc>
      </w:tr>
      <w:tr>
        <w:trPr>
          <w:cantSplit/>
        </w:trPr>
        <w:tc>
          <w:tcPr>
            <w:tcW w:type="dxa" w:w="1152"/>
            <w:vAlign w:val="center"/>
            <w:tcMar>
              <w:top w:w="55" w:type="dxa"/>
              <w:start w:w="100" w:type="dxa"/>
              <w:bottom w:w="55" w:type="dxa"/>
              <w:end w:w="100" w:type="dxa"/>
            </w:tcMar>
          </w:tcPr>
          <w:p>
            <w:pPr>
              <w:spacing w:after="0"/>
            </w:pPr>
            <w:r>
              <w:rPr>
                <w:sz w:val="16"/>
              </w:rPr>
              <w:t>Critical</w:t>
            </w:r>
          </w:p>
        </w:tc>
        <w:tc>
          <w:tcPr>
            <w:tcW w:type="dxa" w:w="3240"/>
            <w:vAlign w:val="center"/>
            <w:tcMar>
              <w:top w:w="55" w:type="dxa"/>
              <w:start w:w="100" w:type="dxa"/>
              <w:bottom w:w="55" w:type="dxa"/>
              <w:end w:w="100" w:type="dxa"/>
            </w:tcMar>
          </w:tcPr>
          <w:p>
            <w:pPr>
              <w:spacing w:after="0"/>
            </w:pPr>
            <w:r>
              <w:rPr>
                <w:sz w:val="16"/>
              </w:rPr>
              <w:t>Verify physical speed response</w:t>
            </w:r>
          </w:p>
        </w:tc>
        <w:tc>
          <w:tcPr>
            <w:tcW w:type="dxa" w:w="5688"/>
            <w:vAlign w:val="center"/>
            <w:tcMar>
              <w:top w:w="55" w:type="dxa"/>
              <w:start w:w="100" w:type="dxa"/>
              <w:bottom w:w="55" w:type="dxa"/>
              <w:end w:w="100" w:type="dxa"/>
            </w:tcMar>
          </w:tcPr>
          <w:p>
            <w:pPr>
              <w:spacing w:after="0"/>
            </w:pPr>
            <w:r>
              <w:rPr>
                <w:sz w:val="16"/>
              </w:rPr>
              <w:t>Independent angle-time results at multiple GUI speeds</w:t>
            </w:r>
          </w:p>
        </w:tc>
      </w:tr>
      <w:tr>
        <w:trPr>
          <w:cantSplit/>
        </w:trPr>
        <w:tc>
          <w:tcPr>
            <w:tcW w:type="dxa" w:w="1152"/>
            <w:shd w:fill="EAF2F8"/>
            <w:vAlign w:val="center"/>
            <w:tcMar>
              <w:top w:w="55" w:type="dxa"/>
              <w:start w:w="100" w:type="dxa"/>
              <w:bottom w:w="55" w:type="dxa"/>
              <w:end w:w="100" w:type="dxa"/>
            </w:tcMar>
          </w:tcPr>
          <w:p>
            <w:pPr>
              <w:spacing w:after="0"/>
            </w:pPr>
            <w:r>
              <w:rPr>
                <w:sz w:val="16"/>
              </w:rPr>
              <w:t>Critical</w:t>
            </w:r>
          </w:p>
        </w:tc>
        <w:tc>
          <w:tcPr>
            <w:tcW w:type="dxa" w:w="3240"/>
            <w:shd w:fill="EAF2F8"/>
            <w:vAlign w:val="center"/>
            <w:tcMar>
              <w:top w:w="55" w:type="dxa"/>
              <w:start w:w="100" w:type="dxa"/>
              <w:bottom w:w="55" w:type="dxa"/>
              <w:end w:w="100" w:type="dxa"/>
            </w:tcMar>
          </w:tcPr>
          <w:p>
            <w:pPr>
              <w:spacing w:after="0"/>
            </w:pPr>
            <w:r>
              <w:rPr>
                <w:sz w:val="16"/>
              </w:rPr>
              <w:t>Verify physical 90-degree reset</w:t>
            </w:r>
          </w:p>
        </w:tc>
        <w:tc>
          <w:tcPr>
            <w:tcW w:type="dxa" w:w="5688"/>
            <w:shd w:fill="EAF2F8"/>
            <w:vAlign w:val="center"/>
            <w:tcMar>
              <w:top w:w="55" w:type="dxa"/>
              <w:start w:w="100" w:type="dxa"/>
              <w:bottom w:w="55" w:type="dxa"/>
              <w:end w:w="100" w:type="dxa"/>
            </w:tcMar>
          </w:tcPr>
          <w:p>
            <w:pPr>
              <w:spacing w:after="0"/>
            </w:pPr>
            <w:r>
              <w:rPr>
                <w:sz w:val="16"/>
              </w:rPr>
              <w:t>Repeatable physical-angle check before/after reset and power cycle</w:t>
            </w:r>
          </w:p>
        </w:tc>
      </w:tr>
      <w:tr>
        <w:trPr>
          <w:cantSplit/>
        </w:trPr>
        <w:tc>
          <w:tcPr>
            <w:tcW w:type="dxa" w:w="1152"/>
            <w:vAlign w:val="center"/>
            <w:tcMar>
              <w:top w:w="55" w:type="dxa"/>
              <w:start w:w="100" w:type="dxa"/>
              <w:bottom w:w="55" w:type="dxa"/>
              <w:end w:w="100" w:type="dxa"/>
            </w:tcMar>
          </w:tcPr>
          <w:p>
            <w:pPr>
              <w:spacing w:after="0"/>
            </w:pPr>
            <w:r>
              <w:rPr>
                <w:sz w:val="16"/>
              </w:rPr>
              <w:t>High</w:t>
            </w:r>
          </w:p>
        </w:tc>
        <w:tc>
          <w:tcPr>
            <w:tcW w:type="dxa" w:w="3240"/>
            <w:vAlign w:val="center"/>
            <w:tcMar>
              <w:top w:w="55" w:type="dxa"/>
              <w:start w:w="100" w:type="dxa"/>
              <w:bottom w:w="55" w:type="dxa"/>
              <w:end w:w="100" w:type="dxa"/>
            </w:tcMar>
          </w:tcPr>
          <w:p>
            <w:pPr>
              <w:spacing w:after="0"/>
            </w:pPr>
            <w:r>
              <w:rPr>
                <w:sz w:val="16"/>
              </w:rPr>
              <w:t>Characterise acceleration effects</w:t>
            </w:r>
          </w:p>
        </w:tc>
        <w:tc>
          <w:tcPr>
            <w:tcW w:type="dxa" w:w="5688"/>
            <w:vAlign w:val="center"/>
            <w:tcMar>
              <w:top w:w="55" w:type="dxa"/>
              <w:start w:w="100" w:type="dxa"/>
              <w:bottom w:w="55" w:type="dxa"/>
              <w:end w:w="100" w:type="dxa"/>
            </w:tcMar>
          </w:tcPr>
          <w:p>
            <w:pPr>
              <w:spacing w:after="0"/>
            </w:pPr>
            <w:r>
              <w:rPr>
                <w:sz w:val="16"/>
              </w:rPr>
              <w:t>Evidence of a stable-speed analysis interval</w:t>
            </w:r>
          </w:p>
        </w:tc>
      </w:tr>
      <w:tr>
        <w:trPr>
          <w:cantSplit/>
        </w:trPr>
        <w:tc>
          <w:tcPr>
            <w:tcW w:type="dxa" w:w="1152"/>
            <w:shd w:fill="EAF2F8"/>
            <w:vAlign w:val="center"/>
            <w:tcMar>
              <w:top w:w="55" w:type="dxa"/>
              <w:start w:w="100" w:type="dxa"/>
              <w:bottom w:w="55" w:type="dxa"/>
              <w:end w:w="100" w:type="dxa"/>
            </w:tcMar>
          </w:tcPr>
          <w:p>
            <w:pPr>
              <w:spacing w:after="0"/>
            </w:pPr>
            <w:r>
              <w:rPr>
                <w:sz w:val="16"/>
              </w:rPr>
              <w:t>High</w:t>
            </w:r>
          </w:p>
        </w:tc>
        <w:tc>
          <w:tcPr>
            <w:tcW w:type="dxa" w:w="3240"/>
            <w:shd w:fill="EAF2F8"/>
            <w:vAlign w:val="center"/>
            <w:tcMar>
              <w:top w:w="55" w:type="dxa"/>
              <w:start w:w="100" w:type="dxa"/>
              <w:bottom w:w="55" w:type="dxa"/>
              <w:end w:w="100" w:type="dxa"/>
            </w:tcMar>
          </w:tcPr>
          <w:p>
            <w:pPr>
              <w:spacing w:after="0"/>
            </w:pPr>
            <w:r>
              <w:rPr>
                <w:sz w:val="16"/>
              </w:rPr>
              <w:t>Define quasi-static preset</w:t>
            </w:r>
          </w:p>
        </w:tc>
        <w:tc>
          <w:tcPr>
            <w:tcW w:type="dxa" w:w="5688"/>
            <w:shd w:fill="EAF2F8"/>
            <w:vAlign w:val="center"/>
            <w:tcMar>
              <w:top w:w="55" w:type="dxa"/>
              <w:start w:w="100" w:type="dxa"/>
              <w:bottom w:w="55" w:type="dxa"/>
              <w:end w:w="100" w:type="dxa"/>
            </w:tcMar>
          </w:tcPr>
          <w:p>
            <w:pPr>
              <w:spacing w:after="0"/>
            </w:pPr>
            <w:r>
              <w:rPr>
                <w:sz w:val="16"/>
              </w:rPr>
              <w:t>Approved speed, acceleration, ROM and cycle settings</w:t>
            </w:r>
          </w:p>
        </w:tc>
      </w:tr>
      <w:tr>
        <w:trPr>
          <w:cantSplit/>
        </w:trPr>
        <w:tc>
          <w:tcPr>
            <w:tcW w:type="dxa" w:w="1152"/>
            <w:vAlign w:val="center"/>
            <w:tcMar>
              <w:top w:w="55" w:type="dxa"/>
              <w:start w:w="100" w:type="dxa"/>
              <w:bottom w:w="55" w:type="dxa"/>
              <w:end w:w="100" w:type="dxa"/>
            </w:tcMar>
          </w:tcPr>
          <w:p>
            <w:pPr>
              <w:spacing w:after="0"/>
            </w:pPr>
            <w:r>
              <w:rPr>
                <w:sz w:val="16"/>
              </w:rPr>
              <w:t>High</w:t>
            </w:r>
          </w:p>
        </w:tc>
        <w:tc>
          <w:tcPr>
            <w:tcW w:type="dxa" w:w="3240"/>
            <w:vAlign w:val="center"/>
            <w:tcMar>
              <w:top w:w="55" w:type="dxa"/>
              <w:start w:w="100" w:type="dxa"/>
              <w:bottom w:w="55" w:type="dxa"/>
              <w:end w:w="100" w:type="dxa"/>
            </w:tcMar>
          </w:tcPr>
          <w:p>
            <w:pPr>
              <w:spacing w:after="0"/>
            </w:pPr>
            <w:r>
              <w:rPr>
                <w:sz w:val="16"/>
              </w:rPr>
              <w:t>Define walking-speed condition</w:t>
            </w:r>
          </w:p>
        </w:tc>
        <w:tc>
          <w:tcPr>
            <w:tcW w:type="dxa" w:w="5688"/>
            <w:vAlign w:val="center"/>
            <w:tcMar>
              <w:top w:w="55" w:type="dxa"/>
              <w:start w:w="100" w:type="dxa"/>
              <w:bottom w:w="55" w:type="dxa"/>
              <w:end w:w="100" w:type="dxa"/>
            </w:tcMar>
          </w:tcPr>
          <w:p>
            <w:pPr>
              <w:spacing w:after="0"/>
            </w:pPr>
            <w:r>
              <w:rPr>
                <w:sz w:val="16"/>
              </w:rPr>
              <w:t>Safety-approved verification up to the required speed</w:t>
            </w:r>
          </w:p>
        </w:tc>
      </w:tr>
      <w:tr>
        <w:trPr>
          <w:cantSplit/>
        </w:trPr>
        <w:tc>
          <w:tcPr>
            <w:tcW w:type="dxa" w:w="1152"/>
            <w:shd w:fill="EAF2F8"/>
            <w:vAlign w:val="center"/>
            <w:tcMar>
              <w:top w:w="55" w:type="dxa"/>
              <w:start w:w="100" w:type="dxa"/>
              <w:bottom w:w="55" w:type="dxa"/>
              <w:end w:w="100" w:type="dxa"/>
            </w:tcMar>
          </w:tcPr>
          <w:p>
            <w:pPr>
              <w:spacing w:after="0"/>
            </w:pPr>
            <w:r>
              <w:rPr>
                <w:sz w:val="16"/>
              </w:rPr>
              <w:t>High</w:t>
            </w:r>
          </w:p>
        </w:tc>
        <w:tc>
          <w:tcPr>
            <w:tcW w:type="dxa" w:w="3240"/>
            <w:shd w:fill="EAF2F8"/>
            <w:vAlign w:val="center"/>
            <w:tcMar>
              <w:top w:w="55" w:type="dxa"/>
              <w:start w:w="100" w:type="dxa"/>
              <w:bottom w:w="55" w:type="dxa"/>
              <w:end w:w="100" w:type="dxa"/>
            </w:tcMar>
          </w:tcPr>
          <w:p>
            <w:pPr>
              <w:spacing w:after="0"/>
            </w:pPr>
            <w:r>
              <w:rPr>
                <w:sz w:val="16"/>
              </w:rPr>
              <w:t>Approve cycle exclusions</w:t>
            </w:r>
          </w:p>
        </w:tc>
        <w:tc>
          <w:tcPr>
            <w:tcW w:type="dxa" w:w="5688"/>
            <w:shd w:fill="EAF2F8"/>
            <w:vAlign w:val="center"/>
            <w:tcMar>
              <w:top w:w="55" w:type="dxa"/>
              <w:start w:w="100" w:type="dxa"/>
              <w:bottom w:w="55" w:type="dxa"/>
              <w:end w:w="100" w:type="dxa"/>
            </w:tcMar>
          </w:tcPr>
          <w:p>
            <w:pPr>
              <w:spacing w:after="0"/>
            </w:pPr>
            <w:r>
              <w:rPr>
                <w:sz w:val="16"/>
              </w:rPr>
              <w:t>Predefined five-cycle rule and sensitivity analysis</w:t>
            </w:r>
          </w:p>
        </w:tc>
      </w:tr>
      <w:tr>
        <w:trPr>
          <w:cantSplit/>
        </w:trPr>
        <w:tc>
          <w:tcPr>
            <w:tcW w:type="dxa" w:w="1152"/>
            <w:vAlign w:val="center"/>
            <w:tcMar>
              <w:top w:w="55" w:type="dxa"/>
              <w:start w:w="100" w:type="dxa"/>
              <w:bottom w:w="55" w:type="dxa"/>
              <w:end w:w="100" w:type="dxa"/>
            </w:tcMar>
          </w:tcPr>
          <w:p>
            <w:pPr>
              <w:spacing w:after="0"/>
            </w:pPr>
            <w:r>
              <w:rPr>
                <w:sz w:val="16"/>
              </w:rPr>
              <w:t>High</w:t>
            </w:r>
          </w:p>
        </w:tc>
        <w:tc>
          <w:tcPr>
            <w:tcW w:type="dxa" w:w="3240"/>
            <w:vAlign w:val="center"/>
            <w:tcMar>
              <w:top w:w="55" w:type="dxa"/>
              <w:start w:w="100" w:type="dxa"/>
              <w:bottom w:w="55" w:type="dxa"/>
              <w:end w:w="100" w:type="dxa"/>
            </w:tcMar>
          </w:tcPr>
          <w:p>
            <w:pPr>
              <w:spacing w:after="0"/>
            </w:pPr>
            <w:r>
              <w:rPr>
                <w:sz w:val="16"/>
              </w:rPr>
              <w:t>Run empty-machine baseline</w:t>
            </w:r>
          </w:p>
        </w:tc>
        <w:tc>
          <w:tcPr>
            <w:tcW w:type="dxa" w:w="5688"/>
            <w:vAlign w:val="center"/>
            <w:tcMar>
              <w:top w:w="55" w:type="dxa"/>
              <w:start w:w="100" w:type="dxa"/>
              <w:bottom w:w="55" w:type="dxa"/>
              <w:end w:w="100" w:type="dxa"/>
            </w:tcMar>
          </w:tcPr>
          <w:p>
            <w:pPr>
              <w:spacing w:after="0"/>
            </w:pPr>
            <w:r>
              <w:rPr>
                <w:sz w:val="16"/>
              </w:rPr>
              <w:t>Baseline torque-angle and repeatability results</w:t>
            </w:r>
          </w:p>
        </w:tc>
      </w:tr>
      <w:tr>
        <w:trPr>
          <w:cantSplit/>
        </w:trPr>
        <w:tc>
          <w:tcPr>
            <w:tcW w:type="dxa" w:w="1152"/>
            <w:shd w:fill="EAF2F8"/>
            <w:vAlign w:val="center"/>
            <w:tcMar>
              <w:top w:w="55" w:type="dxa"/>
              <w:start w:w="100" w:type="dxa"/>
              <w:bottom w:w="55" w:type="dxa"/>
              <w:end w:w="100" w:type="dxa"/>
            </w:tcMar>
          </w:tcPr>
          <w:p>
            <w:pPr>
              <w:spacing w:after="0"/>
            </w:pPr>
            <w:r>
              <w:rPr>
                <w:sz w:val="16"/>
              </w:rPr>
              <w:t>High</w:t>
            </w:r>
          </w:p>
        </w:tc>
        <w:tc>
          <w:tcPr>
            <w:tcW w:type="dxa" w:w="3240"/>
            <w:shd w:fill="EAF2F8"/>
            <w:vAlign w:val="center"/>
            <w:tcMar>
              <w:top w:w="55" w:type="dxa"/>
              <w:start w:w="100" w:type="dxa"/>
              <w:bottom w:w="55" w:type="dxa"/>
              <w:end w:w="100" w:type="dxa"/>
            </w:tcMar>
          </w:tcPr>
          <w:p>
            <w:pPr>
              <w:spacing w:after="0"/>
            </w:pPr>
            <w:r>
              <w:rPr>
                <w:sz w:val="16"/>
              </w:rPr>
              <w:t>Finalise reliability design</w:t>
            </w:r>
          </w:p>
        </w:tc>
        <w:tc>
          <w:tcPr>
            <w:tcW w:type="dxa" w:w="5688"/>
            <w:shd w:fill="EAF2F8"/>
            <w:vAlign w:val="center"/>
            <w:tcMar>
              <w:top w:w="55" w:type="dxa"/>
              <w:start w:w="100" w:type="dxa"/>
              <w:bottom w:w="55" w:type="dxa"/>
              <w:end w:w="100" w:type="dxa"/>
            </w:tcMar>
          </w:tcPr>
          <w:p>
            <w:pPr>
              <w:spacing w:after="0"/>
            </w:pPr>
            <w:r>
              <w:rPr>
                <w:sz w:val="16"/>
              </w:rPr>
              <w:t>Three-day test-retest and rater matrix</w:t>
            </w:r>
          </w:p>
        </w:tc>
      </w:tr>
      <w:tr>
        <w:trPr>
          <w:cantSplit/>
        </w:trPr>
        <w:tc>
          <w:tcPr>
            <w:tcW w:type="dxa" w:w="1152"/>
            <w:vAlign w:val="center"/>
            <w:tcMar>
              <w:top w:w="55" w:type="dxa"/>
              <w:start w:w="100" w:type="dxa"/>
              <w:bottom w:w="55" w:type="dxa"/>
              <w:end w:w="100" w:type="dxa"/>
            </w:tcMar>
          </w:tcPr>
          <w:p>
            <w:pPr>
              <w:spacing w:after="0"/>
            </w:pPr>
            <w:r>
              <w:rPr>
                <w:sz w:val="16"/>
              </w:rPr>
              <w:t>Medium</w:t>
            </w:r>
          </w:p>
        </w:tc>
        <w:tc>
          <w:tcPr>
            <w:tcW w:type="dxa" w:w="3240"/>
            <w:vAlign w:val="center"/>
            <w:tcMar>
              <w:top w:w="55" w:type="dxa"/>
              <w:start w:w="100" w:type="dxa"/>
              <w:bottom w:w="55" w:type="dxa"/>
              <w:end w:w="100" w:type="dxa"/>
            </w:tcMar>
          </w:tcPr>
          <w:p>
            <w:pPr>
              <w:spacing w:after="0"/>
            </w:pPr>
            <w:r>
              <w:rPr>
                <w:sz w:val="16"/>
              </w:rPr>
              <w:t>Simplify metadata entry</w:t>
            </w:r>
          </w:p>
        </w:tc>
        <w:tc>
          <w:tcPr>
            <w:tcW w:type="dxa" w:w="5688"/>
            <w:vAlign w:val="center"/>
            <w:tcMar>
              <w:top w:w="55" w:type="dxa"/>
              <w:start w:w="100" w:type="dxa"/>
              <w:bottom w:w="55" w:type="dxa"/>
              <w:end w:w="100" w:type="dxa"/>
            </w:tcMar>
          </w:tcPr>
          <w:p>
            <w:pPr>
              <w:spacing w:after="0"/>
            </w:pPr>
            <w:r>
              <w:rPr>
                <w:sz w:val="16"/>
              </w:rPr>
              <w:t>Decision on filename, operator initials and Fixture ID</w:t>
            </w:r>
          </w:p>
        </w:tc>
      </w:tr>
      <w:tr>
        <w:trPr>
          <w:cantSplit/>
        </w:trPr>
        <w:tc>
          <w:tcPr>
            <w:tcW w:type="dxa" w:w="1152"/>
            <w:shd w:fill="EAF2F8"/>
            <w:vAlign w:val="center"/>
            <w:tcMar>
              <w:top w:w="55" w:type="dxa"/>
              <w:start w:w="100" w:type="dxa"/>
              <w:bottom w:w="55" w:type="dxa"/>
              <w:end w:w="100" w:type="dxa"/>
            </w:tcMar>
          </w:tcPr>
          <w:p>
            <w:pPr>
              <w:spacing w:after="0"/>
            </w:pPr>
            <w:r>
              <w:rPr>
                <w:sz w:val="16"/>
              </w:rPr>
              <w:t>Medium</w:t>
            </w:r>
          </w:p>
        </w:tc>
        <w:tc>
          <w:tcPr>
            <w:tcW w:type="dxa" w:w="3240"/>
            <w:shd w:fill="EAF2F8"/>
            <w:vAlign w:val="center"/>
            <w:tcMar>
              <w:top w:w="55" w:type="dxa"/>
              <w:start w:w="100" w:type="dxa"/>
              <w:bottom w:w="55" w:type="dxa"/>
              <w:end w:w="100" w:type="dxa"/>
            </w:tcMar>
          </w:tcPr>
          <w:p>
            <w:pPr>
              <w:spacing w:after="0"/>
            </w:pPr>
            <w:r>
              <w:rPr>
                <w:sz w:val="16"/>
              </w:rPr>
              <w:t>Implement approved GUI changes</w:t>
            </w:r>
          </w:p>
        </w:tc>
        <w:tc>
          <w:tcPr>
            <w:tcW w:type="dxa" w:w="5688"/>
            <w:shd w:fill="EAF2F8"/>
            <w:vAlign w:val="center"/>
            <w:tcMar>
              <w:top w:w="55" w:type="dxa"/>
              <w:start w:w="100" w:type="dxa"/>
              <w:bottom w:w="55" w:type="dxa"/>
              <w:end w:w="100" w:type="dxa"/>
            </w:tcMar>
          </w:tcPr>
          <w:p>
            <w:pPr>
              <w:spacing w:after="0"/>
            </w:pPr>
            <w:r>
              <w:rPr>
                <w:sz w:val="16"/>
              </w:rPr>
              <w:t>Reviewed interface on the Windows lab computer</w:t>
            </w:r>
          </w:p>
        </w:tc>
      </w:tr>
    </w:tbl>
    <w:p>
      <w:pPr>
        <w:pStyle w:val="Heading1"/>
        <w:spacing w:before="160"/>
      </w:pPr>
      <w:r>
        <w:t>7. Items requiring confirmation</w:t>
      </w:r>
    </w:p>
    <w:p>
      <w:pPr>
        <w:pStyle w:val="ListBullet"/>
        <w:spacing w:after="0"/>
      </w:pPr>
      <w:r>
        <w:t>Approved quasi-static speed, acceleration, ROM and cycle settings.</w:t>
      </w:r>
    </w:p>
    <w:p>
      <w:pPr>
        <w:pStyle w:val="ListBullet"/>
        <w:spacing w:after="0"/>
      </w:pPr>
      <w:r>
        <w:t>Whether 20 deg/s is the required walking-related upper test speed.</w:t>
      </w:r>
    </w:p>
    <w:p>
      <w:pPr>
        <w:pStyle w:val="ListBullet"/>
        <w:spacing w:after="0"/>
      </w:pPr>
      <w:r>
        <w:t>Physical method for defining and checking the 90-degree neutral position.</w:t>
      </w:r>
    </w:p>
    <w:p>
      <w:pPr>
        <w:pStyle w:val="ListBullet"/>
        <w:spacing w:after="0"/>
      </w:pPr>
      <w:r>
        <w:t>Final treatment of cycle 5 and acceptance criteria for speed and reliability.</w:t>
      </w:r>
    </w:p>
    <w:p>
      <w:pPr>
        <w:pStyle w:val="ListBullet"/>
        <w:spacing w:after="0"/>
      </w:pPr>
      <w:r>
        <w:t>Whether filename prefix and Fixture ID should be removed, automated or retained in metadata.</w:t>
      </w:r>
    </w:p>
    <w:sectPr w:rsidR="00760C29" w:rsidSect="00034616">
      <w:footerReference w:type="default" r:id="rId8"/>
      <w:footerReference w:type="even" r:id="rId11"/>
      <w:footerReference w:type="firs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D67A0" w14:textId="77777777" w:rsidR="003358B7" w:rsidRDefault="003358B7">
      <w:pPr>
        <w:spacing w:after="0" w:line="240" w:lineRule="auto"/>
        <w:rPr>
          <w:rFonts w:hint="eastAsia"/>
        </w:rPr>
      </w:pPr>
      <w:r>
        <w:separator/>
      </w:r>
    </w:p>
  </w:endnote>
  <w:endnote w:type="continuationSeparator" w:id="0">
    <w:p w14:paraId="09733A21" w14:textId="77777777" w:rsidR="003358B7" w:rsidRDefault="003358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05C7" w14:textId="77777777" w:rsidR="00760C29" w:rsidRDefault="00000000">
    <w:pPr>
      <w:pStyle w:val="Footer"/>
      <w:jc w:val="center"/>
      <w:rPr>
        <w:rFonts w:hint="eastAsia"/>
      </w:rPr>
    </w:pPr>
    <w:r>
      <w:rPr>
        <w:rFonts w:ascii="Arial" w:hAnsi="Arial"/>
        <w:color w:val="0F172A"/>
        <w:sz w:val="18"/>
      </w:rPr>
      <w:t>EAST | Supervisor meeting 24 August 2026 | Post-meeting record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F172A"/>
        <w:sz w:val="18"/>
      </w:rPr>
      <w:t>EAST | Supervisor meeting 24 August 2026 | Post-meeting record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F172A"/>
        <w:sz w:val="18"/>
      </w:rPr>
      <w:t>EAST | Supervisor meeting 24 August 2026 | Post-meeting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D0CA" w14:textId="77777777" w:rsidR="003358B7" w:rsidRDefault="003358B7">
      <w:pPr>
        <w:spacing w:after="0" w:line="240" w:lineRule="auto"/>
        <w:rPr>
          <w:rFonts w:hint="eastAsia"/>
        </w:rPr>
      </w:pPr>
      <w:r>
        <w:separator/>
      </w:r>
    </w:p>
  </w:footnote>
  <w:footnote w:type="continuationSeparator" w:id="0">
    <w:p w14:paraId="12240A57" w14:textId="77777777" w:rsidR="003358B7" w:rsidRDefault="003358B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938002">
    <w:abstractNumId w:val="8"/>
  </w:num>
  <w:num w:numId="2" w16cid:durableId="910775859">
    <w:abstractNumId w:val="6"/>
  </w:num>
  <w:num w:numId="3" w16cid:durableId="1498502155">
    <w:abstractNumId w:val="5"/>
  </w:num>
  <w:num w:numId="4" w16cid:durableId="375395907">
    <w:abstractNumId w:val="4"/>
  </w:num>
  <w:num w:numId="5" w16cid:durableId="220218462">
    <w:abstractNumId w:val="7"/>
  </w:num>
  <w:num w:numId="6" w16cid:durableId="193079577">
    <w:abstractNumId w:val="3"/>
  </w:num>
  <w:num w:numId="7" w16cid:durableId="1480612224">
    <w:abstractNumId w:val="2"/>
  </w:num>
  <w:num w:numId="8" w16cid:durableId="1041781661">
    <w:abstractNumId w:val="1"/>
  </w:num>
  <w:num w:numId="9" w16cid:durableId="40333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8B7"/>
    <w:rsid w:val="0058690E"/>
    <w:rsid w:val="00760C29"/>
    <w:rsid w:val="00913990"/>
    <w:rsid w:val="009452D1"/>
    <w:rsid w:val="00AA1D8D"/>
    <w:rsid w:val="00B47730"/>
    <w:rsid w:val="00B60FCE"/>
    <w:rsid w:val="00BB03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EB93B"/>
  <w14:defaultImageDpi w14:val="300"/>
  <w15:docId w15:val="{0891ADE9-1D6F-4A4A-B0BF-CDB80DE0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74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27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Chidiac</dc:creator>
  <cp:keywords/>
  <dc:description>generated by python-docx</dc:description>
  <cp:lastModifiedBy>Salim Chidiac</cp:lastModifiedBy>
  <cp:revision>3</cp:revision>
  <dcterms:created xsi:type="dcterms:W3CDTF">2013-12-23T23:15:00Z</dcterms:created>
  <dcterms:modified xsi:type="dcterms:W3CDTF">2026-08-24T03:05:00Z</dcterms:modified>
  <cp:category/>
</cp:coreProperties>
</file>