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AI-Generated Text Sample</w:t>
      </w:r>
    </w:p>
    <w:p>
      <w:r>
        <w:br/>
        <w:t xml:space="preserve">This document represents a synthesized textual artifact generated through algorithmic processes designed to emulate structured human language production. </w:t>
        <w:br/>
        <w:t xml:space="preserve">The purpose of this text is not to convey novel insights but rather to demonstrate patterns commonly associated with machine-generated content, including </w:t>
        <w:br/>
        <w:t>repetition of conceptual framing, generalized statements, and neutral stylistic tone.</w:t>
        <w:br/>
        <w:br/>
        <w:t xml:space="preserve">In contemporary computational linguistics, artificial intelligence systems utilize probabilistic modeling and large-scale datasets to produce coherent text. </w:t>
        <w:br/>
        <w:t xml:space="preserve">Such systems do not possess intrinsic understanding; instead, they rely on statistical correlations between tokens. Consequently, the resulting text often </w:t>
        <w:br/>
        <w:t>exhibits a balance between syntactic correctness and semantic ambiguity.</w:t>
        <w:br/>
        <w:br/>
        <w:t xml:space="preserve">It is important to note that AI-generated text frequently demonstrates the following characteristics: consistency in tone, absence of strong personal opinion, </w:t>
        <w:br/>
        <w:t>structured paragraph transitions, and a tendency toward explanatory redundancy. These features can be leveraged when designing detection systems or evaluation frameworks.</w:t>
        <w:br/>
        <w:br/>
        <w:t xml:space="preserve">In conclusion, the present text is intentionally constructed to appear artificial, predictable, and analytically neutral, thereby serving as a suitable example </w:t>
        <w:br/>
        <w:t>for testing AI detection methodologies.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