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2BC6" w14:textId="77777777" w:rsidR="00EB0B6B" w:rsidRDefault="00000000">
      <w:pPr>
        <w:spacing w:before="480" w:after="440"/>
      </w:pPr>
      <w:r>
        <w:rPr>
          <w:rFonts w:eastAsia="Arial" w:cs="Arial"/>
          <w:b/>
          <w:color w:val="007D79"/>
          <w:sz w:val="20"/>
        </w:rPr>
        <w:t>TECHNICAL ENABLEMENT REFERENCE</w:t>
      </w:r>
    </w:p>
    <w:p w14:paraId="6102F929" w14:textId="77777777" w:rsidR="00EB0B6B" w:rsidRDefault="00000000">
      <w:pPr>
        <w:spacing w:after="300"/>
      </w:pPr>
      <w:r>
        <w:rPr>
          <w:rFonts w:eastAsia="Arial" w:cs="Arial"/>
          <w:b/>
          <w:color w:val="16324F"/>
          <w:sz w:val="68"/>
        </w:rPr>
        <w:t>IBM</w:t>
      </w:r>
      <w:r>
        <w:rPr>
          <w:rFonts w:eastAsia="Arial" w:cs="Arial"/>
          <w:b/>
          <w:color w:val="16324F"/>
          <w:sz w:val="68"/>
        </w:rPr>
        <w:br/>
        <w:t>Planning Analytics</w:t>
      </w:r>
    </w:p>
    <w:p w14:paraId="4A1D7681" w14:textId="77777777" w:rsidR="00EB0B6B" w:rsidRDefault="00000000">
      <w:pPr>
        <w:spacing w:after="440"/>
      </w:pPr>
      <w:r>
        <w:rPr>
          <w:rFonts w:eastAsia="Arial" w:cs="Arial"/>
          <w:color w:val="145EA8"/>
          <w:sz w:val="40"/>
        </w:rPr>
        <w:t>Comprehensive Implementation,</w:t>
      </w:r>
      <w:r>
        <w:rPr>
          <w:rFonts w:eastAsia="Arial" w:cs="Arial"/>
          <w:color w:val="145EA8"/>
          <w:sz w:val="40"/>
        </w:rPr>
        <w:br/>
        <w:t>Administration &amp; Knowledge Guide</w:t>
      </w:r>
    </w:p>
    <w:p w14:paraId="6758202E" w14:textId="77777777" w:rsidR="00EB0B6B" w:rsidRDefault="00000000">
      <w:pPr>
        <w:spacing w:after="440"/>
      </w:pPr>
      <w:r>
        <w:rPr>
          <w:rFonts w:eastAsia="Arial" w:cs="Arial"/>
          <w:color w:val="596C7B"/>
        </w:rPr>
        <w:t>Planning Analytics on Cloud  |  Planning Analytics as a Service</w:t>
      </w:r>
      <w:r>
        <w:rPr>
          <w:rFonts w:eastAsia="Arial" w:cs="Arial"/>
          <w:color w:val="596C7B"/>
        </w:rPr>
        <w:br/>
        <w:t>Planning Analytics Local  |  TM1 and Workspace</w:t>
      </w:r>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66AF8FD5" w14:textId="77777777">
        <w:trPr>
          <w:cantSplit/>
          <w:jc w:val="center"/>
        </w:trPr>
        <w:tc>
          <w:tcPr>
            <w:tcW w:w="9706" w:type="dxa"/>
            <w:shd w:val="clear" w:color="auto" w:fill="EDF4FA"/>
            <w:tcMar>
              <w:top w:w="115" w:type="dxa"/>
              <w:left w:w="150" w:type="dxa"/>
              <w:bottom w:w="115" w:type="dxa"/>
              <w:right w:w="150" w:type="dxa"/>
            </w:tcMar>
          </w:tcPr>
          <w:p w14:paraId="3AD78570" w14:textId="77777777" w:rsidR="00EB0B6B" w:rsidRDefault="00000000">
            <w:pPr>
              <w:keepNext/>
              <w:spacing w:after="80"/>
            </w:pPr>
            <w:r>
              <w:rPr>
                <w:rFonts w:eastAsia="Arial" w:cs="Arial"/>
                <w:b/>
                <w:color w:val="145EA8"/>
                <w:sz w:val="19"/>
              </w:rPr>
              <w:t>BUILD THE RIGHT PLATFORM. RUN A GOVERNED PLANNING SERVICE.</w:t>
            </w:r>
          </w:p>
          <w:p w14:paraId="7926F5C5" w14:textId="77777777" w:rsidR="00EB0B6B" w:rsidRDefault="00000000">
            <w:pPr>
              <w:spacing w:after="0" w:line="254" w:lineRule="auto"/>
            </w:pPr>
            <w:r>
              <w:rPr>
                <w:rFonts w:eastAsia="Arial" w:cs="Arial"/>
                <w:sz w:val="20"/>
              </w:rPr>
              <w:t>An implementation-oriented guide to deployment choices, installation, modeling, data integration, security, forecasting, operations and support. Includes a curated catalog of 90 official IBM reference URLs and the requested manual resources.</w:t>
            </w:r>
          </w:p>
        </w:tc>
      </w:tr>
    </w:tbl>
    <w:p w14:paraId="782DD596" w14:textId="77777777" w:rsidR="00EB0B6B" w:rsidRDefault="00EB0B6B">
      <w:pPr>
        <w:spacing w:after="0" w:line="120" w:lineRule="auto"/>
      </w:pP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3236"/>
        <w:gridCol w:w="3236"/>
        <w:gridCol w:w="3234"/>
      </w:tblGrid>
      <w:tr w:rsidR="00EB0B6B" w14:paraId="089CD8D9" w14:textId="77777777">
        <w:trPr>
          <w:cantSplit/>
          <w:tblHeader/>
          <w:jc w:val="center"/>
        </w:trPr>
        <w:tc>
          <w:tcPr>
            <w:tcW w:w="3236" w:type="dxa"/>
            <w:shd w:val="clear" w:color="auto" w:fill="16324F"/>
            <w:tcMar>
              <w:top w:w="100" w:type="dxa"/>
              <w:left w:w="110" w:type="dxa"/>
              <w:bottom w:w="100" w:type="dxa"/>
              <w:right w:w="110" w:type="dxa"/>
            </w:tcMar>
            <w:vAlign w:val="center"/>
          </w:tcPr>
          <w:p w14:paraId="1167DB53" w14:textId="77777777" w:rsidR="00EB0B6B" w:rsidRDefault="00000000">
            <w:pPr>
              <w:spacing w:after="0" w:line="252" w:lineRule="auto"/>
            </w:pPr>
            <w:r>
              <w:rPr>
                <w:rFonts w:eastAsia="Arial" w:cs="Arial"/>
                <w:b/>
                <w:color w:val="FFFFFF"/>
                <w:sz w:val="20"/>
              </w:rPr>
              <w:t>DEPLOY</w:t>
            </w:r>
          </w:p>
        </w:tc>
        <w:tc>
          <w:tcPr>
            <w:tcW w:w="3236" w:type="dxa"/>
            <w:shd w:val="clear" w:color="auto" w:fill="16324F"/>
            <w:tcMar>
              <w:top w:w="100" w:type="dxa"/>
              <w:left w:w="110" w:type="dxa"/>
              <w:bottom w:w="100" w:type="dxa"/>
              <w:right w:w="110" w:type="dxa"/>
            </w:tcMar>
            <w:vAlign w:val="center"/>
          </w:tcPr>
          <w:p w14:paraId="5855AE22" w14:textId="77777777" w:rsidR="00EB0B6B" w:rsidRDefault="00000000">
            <w:pPr>
              <w:spacing w:after="0" w:line="252" w:lineRule="auto"/>
            </w:pPr>
            <w:r>
              <w:rPr>
                <w:rFonts w:eastAsia="Arial" w:cs="Arial"/>
                <w:b/>
                <w:color w:val="FFFFFF"/>
                <w:sz w:val="20"/>
              </w:rPr>
              <w:t>BUILD</w:t>
            </w:r>
          </w:p>
        </w:tc>
        <w:tc>
          <w:tcPr>
            <w:tcW w:w="3234" w:type="dxa"/>
            <w:shd w:val="clear" w:color="auto" w:fill="16324F"/>
            <w:tcMar>
              <w:top w:w="100" w:type="dxa"/>
              <w:left w:w="110" w:type="dxa"/>
              <w:bottom w:w="100" w:type="dxa"/>
              <w:right w:w="110" w:type="dxa"/>
            </w:tcMar>
            <w:vAlign w:val="center"/>
          </w:tcPr>
          <w:p w14:paraId="6A0623EB" w14:textId="77777777" w:rsidR="00EB0B6B" w:rsidRDefault="00000000">
            <w:pPr>
              <w:spacing w:after="0" w:line="252" w:lineRule="auto"/>
            </w:pPr>
            <w:r>
              <w:rPr>
                <w:rFonts w:eastAsia="Arial" w:cs="Arial"/>
                <w:b/>
                <w:color w:val="FFFFFF"/>
                <w:sz w:val="20"/>
              </w:rPr>
              <w:t>OPERATE</w:t>
            </w:r>
          </w:p>
        </w:tc>
      </w:tr>
      <w:tr w:rsidR="00EB0B6B" w14:paraId="2E1C40B4" w14:textId="77777777">
        <w:trPr>
          <w:cantSplit/>
          <w:jc w:val="center"/>
        </w:trPr>
        <w:tc>
          <w:tcPr>
            <w:tcW w:w="3236" w:type="dxa"/>
            <w:tcMar>
              <w:top w:w="85" w:type="dxa"/>
              <w:left w:w="110" w:type="dxa"/>
              <w:bottom w:w="85" w:type="dxa"/>
              <w:right w:w="110" w:type="dxa"/>
            </w:tcMar>
            <w:vAlign w:val="center"/>
          </w:tcPr>
          <w:p w14:paraId="0437B495" w14:textId="77777777" w:rsidR="00EB0B6B" w:rsidRDefault="00000000">
            <w:pPr>
              <w:spacing w:after="0" w:line="252" w:lineRule="auto"/>
            </w:pPr>
            <w:r>
              <w:rPr>
                <w:rFonts w:eastAsia="Arial" w:cs="Arial"/>
                <w:b/>
                <w:color w:val="16324F"/>
                <w:sz w:val="20"/>
              </w:rPr>
              <w:t>Cloud onboarding</w:t>
            </w:r>
            <w:r>
              <w:rPr>
                <w:rFonts w:eastAsia="Arial" w:cs="Arial"/>
                <w:b/>
                <w:color w:val="16324F"/>
                <w:sz w:val="20"/>
              </w:rPr>
              <w:br/>
              <w:t>Local installation</w:t>
            </w:r>
            <w:r>
              <w:rPr>
                <w:rFonts w:eastAsia="Arial" w:cs="Arial"/>
                <w:b/>
                <w:color w:val="16324F"/>
                <w:sz w:val="20"/>
              </w:rPr>
              <w:br/>
              <w:t>Version and platform choices</w:t>
            </w:r>
          </w:p>
        </w:tc>
        <w:tc>
          <w:tcPr>
            <w:tcW w:w="3236" w:type="dxa"/>
            <w:tcMar>
              <w:top w:w="85" w:type="dxa"/>
              <w:left w:w="110" w:type="dxa"/>
              <w:bottom w:w="85" w:type="dxa"/>
              <w:right w:w="110" w:type="dxa"/>
            </w:tcMar>
            <w:vAlign w:val="center"/>
          </w:tcPr>
          <w:p w14:paraId="681770FF" w14:textId="77777777" w:rsidR="00EB0B6B" w:rsidRDefault="00000000">
            <w:pPr>
              <w:spacing w:after="0" w:line="252" w:lineRule="auto"/>
            </w:pPr>
            <w:r>
              <w:rPr>
                <w:rFonts w:eastAsia="Arial" w:cs="Arial"/>
                <w:sz w:val="20"/>
              </w:rPr>
              <w:t>Dimensions and cubes</w:t>
            </w:r>
            <w:r>
              <w:rPr>
                <w:rFonts w:eastAsia="Arial" w:cs="Arial"/>
                <w:sz w:val="20"/>
              </w:rPr>
              <w:br/>
              <w:t>TI, REST and reporting</w:t>
            </w:r>
            <w:r>
              <w:rPr>
                <w:rFonts w:eastAsia="Arial" w:cs="Arial"/>
                <w:sz w:val="20"/>
              </w:rPr>
              <w:br/>
              <w:t>Forecasting and AI</w:t>
            </w:r>
          </w:p>
        </w:tc>
        <w:tc>
          <w:tcPr>
            <w:tcW w:w="3234" w:type="dxa"/>
            <w:tcMar>
              <w:top w:w="85" w:type="dxa"/>
              <w:left w:w="110" w:type="dxa"/>
              <w:bottom w:w="85" w:type="dxa"/>
              <w:right w:w="110" w:type="dxa"/>
            </w:tcMar>
            <w:vAlign w:val="center"/>
          </w:tcPr>
          <w:p w14:paraId="6656E1AB" w14:textId="77777777" w:rsidR="00EB0B6B" w:rsidRDefault="00000000">
            <w:pPr>
              <w:spacing w:after="0" w:line="252" w:lineRule="auto"/>
            </w:pPr>
            <w:r>
              <w:rPr>
                <w:rFonts w:eastAsia="Arial" w:cs="Arial"/>
                <w:sz w:val="20"/>
              </w:rPr>
              <w:t>Security and recovery</w:t>
            </w:r>
            <w:r>
              <w:rPr>
                <w:rFonts w:eastAsia="Arial" w:cs="Arial"/>
                <w:sz w:val="20"/>
              </w:rPr>
              <w:br/>
              <w:t>Performance and troubleshooting</w:t>
            </w:r>
            <w:r>
              <w:rPr>
                <w:rFonts w:eastAsia="Arial" w:cs="Arial"/>
                <w:sz w:val="20"/>
              </w:rPr>
              <w:br/>
              <w:t>Support and knowledge resources</w:t>
            </w:r>
          </w:p>
        </w:tc>
      </w:tr>
    </w:tbl>
    <w:p w14:paraId="0CEAFC3B" w14:textId="77777777" w:rsidR="00EB0B6B" w:rsidRDefault="00EB0B6B">
      <w:pPr>
        <w:spacing w:after="0" w:line="120" w:lineRule="auto"/>
      </w:pPr>
    </w:p>
    <w:p w14:paraId="2DDB17CF" w14:textId="77777777" w:rsidR="00EB0B6B" w:rsidRDefault="00000000">
      <w:pPr>
        <w:spacing w:before="480"/>
      </w:pPr>
      <w:r>
        <w:rPr>
          <w:rFonts w:eastAsia="Arial" w:cs="Arial"/>
          <w:b/>
          <w:color w:val="007D79"/>
          <w:sz w:val="20"/>
        </w:rPr>
        <w:t>RESEARCH EDITION</w:t>
      </w:r>
      <w:r>
        <w:rPr>
          <w:rFonts w:eastAsia="Arial" w:cs="Arial"/>
          <w:b/>
          <w:color w:val="007D79"/>
          <w:sz w:val="20"/>
        </w:rPr>
        <w:br/>
        <w:t>8 October 2026</w:t>
      </w:r>
    </w:p>
    <w:p w14:paraId="492D38C4" w14:textId="77777777" w:rsidR="00EB0B6B" w:rsidRDefault="00000000">
      <w:pPr>
        <w:spacing w:before="200"/>
      </w:pPr>
      <w:r>
        <w:rPr>
          <w:rFonts w:eastAsia="Arial" w:cs="Arial"/>
          <w:color w:val="596C7B"/>
          <w:sz w:val="18"/>
        </w:rPr>
        <w:t>Based on public IBM documentation, support notices and IBM-authored product guidance. This independently assembled reference is not an IBM product manual, entitlement statement or support certification. IBM and TM1 are trademarks of International Business Machines Corporation.</w:t>
      </w:r>
    </w:p>
    <w:p w14:paraId="66E78580" w14:textId="77777777" w:rsidR="00EB0B6B" w:rsidRDefault="00000000">
      <w:pPr>
        <w:pStyle w:val="Heading1"/>
        <w:pageBreakBefore/>
      </w:pPr>
      <w:bookmarkStart w:id="0" w:name="contents"/>
      <w:r>
        <w:rPr>
          <w:rFonts w:ascii="Arial" w:eastAsia="Arial" w:hAnsi="Arial" w:cs="Arial"/>
        </w:rPr>
        <w:lastRenderedPageBreak/>
        <w:t>Contents</w:t>
      </w:r>
      <w:bookmarkEnd w:id="0"/>
    </w:p>
    <w:p w14:paraId="5AF97895" w14:textId="77777777" w:rsidR="00EB0B6B" w:rsidRDefault="00000000">
      <w:pPr>
        <w:keepNext/>
        <w:spacing w:after="240"/>
      </w:pPr>
      <w:r>
        <w:rPr>
          <w:rFonts w:eastAsia="Arial" w:cs="Arial"/>
          <w:color w:val="007D79"/>
          <w:sz w:val="20"/>
        </w:rPr>
        <w:t>Select a section or a reference to navigate within this document.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76"/>
        <w:gridCol w:w="8280"/>
        <w:gridCol w:w="850"/>
      </w:tblGrid>
      <w:tr w:rsidR="00EB0B6B" w14:paraId="0337109A" w14:textId="77777777">
        <w:trPr>
          <w:cantSplit/>
          <w:jc w:val="center"/>
        </w:trPr>
        <w:tc>
          <w:tcPr>
            <w:tcW w:w="576" w:type="dxa"/>
            <w:tcMar>
              <w:top w:w="32" w:type="dxa"/>
              <w:left w:w="30" w:type="dxa"/>
              <w:bottom w:w="32" w:type="dxa"/>
              <w:right w:w="30" w:type="dxa"/>
            </w:tcMar>
          </w:tcPr>
          <w:p w14:paraId="2F93DA5A" w14:textId="77777777" w:rsidR="00EB0B6B" w:rsidRDefault="00000000">
            <w:pPr>
              <w:spacing w:after="0" w:line="240" w:lineRule="auto"/>
            </w:pPr>
            <w:r>
              <w:rPr>
                <w:rFonts w:eastAsia="Arial" w:cs="Arial"/>
                <w:b/>
                <w:color w:val="007D79"/>
                <w:sz w:val="19"/>
              </w:rPr>
              <w:t>01</w:t>
            </w:r>
          </w:p>
        </w:tc>
        <w:tc>
          <w:tcPr>
            <w:tcW w:w="8280" w:type="dxa"/>
            <w:tcMar>
              <w:top w:w="32" w:type="dxa"/>
              <w:left w:w="30" w:type="dxa"/>
              <w:bottom w:w="32" w:type="dxa"/>
              <w:right w:w="30" w:type="dxa"/>
            </w:tcMar>
          </w:tcPr>
          <w:p w14:paraId="562C6997" w14:textId="77777777" w:rsidR="00EB0B6B" w:rsidRDefault="00000000">
            <w:pPr>
              <w:spacing w:after="0" w:line="240" w:lineRule="auto"/>
            </w:pPr>
            <w:hyperlink w:anchor="chapter_01" w:history="1">
              <w:r>
                <w:rPr>
                  <w:color w:val="16324F"/>
                  <w:sz w:val="20"/>
                  <w:szCs w:val="20"/>
                </w:rPr>
                <w:t>Product scope and deployment choices</w:t>
              </w:r>
            </w:hyperlink>
          </w:p>
        </w:tc>
        <w:tc>
          <w:tcPr>
            <w:tcW w:w="850" w:type="dxa"/>
            <w:tcMar>
              <w:top w:w="32" w:type="dxa"/>
              <w:left w:w="30" w:type="dxa"/>
              <w:bottom w:w="32" w:type="dxa"/>
              <w:right w:w="30" w:type="dxa"/>
            </w:tcMar>
          </w:tcPr>
          <w:p w14:paraId="00DB96DB" w14:textId="77777777" w:rsidR="00EB0B6B" w:rsidRDefault="00000000">
            <w:pPr>
              <w:spacing w:after="0" w:line="240" w:lineRule="auto"/>
              <w:jc w:val="right"/>
            </w:pPr>
            <w:r>
              <w:rPr>
                <w:rFonts w:eastAsia="Arial" w:cs="Arial"/>
                <w:color w:val="007D79"/>
                <w:sz w:val="19"/>
              </w:rPr>
              <w:t>3</w:t>
            </w:r>
          </w:p>
        </w:tc>
      </w:tr>
      <w:tr w:rsidR="00EB0B6B" w14:paraId="6B99038F" w14:textId="77777777">
        <w:trPr>
          <w:cantSplit/>
          <w:jc w:val="center"/>
        </w:trPr>
        <w:tc>
          <w:tcPr>
            <w:tcW w:w="576" w:type="dxa"/>
            <w:tcMar>
              <w:top w:w="32" w:type="dxa"/>
              <w:left w:w="30" w:type="dxa"/>
              <w:bottom w:w="32" w:type="dxa"/>
              <w:right w:w="30" w:type="dxa"/>
            </w:tcMar>
          </w:tcPr>
          <w:p w14:paraId="72848A88" w14:textId="77777777" w:rsidR="00EB0B6B" w:rsidRDefault="00000000">
            <w:pPr>
              <w:spacing w:after="0" w:line="240" w:lineRule="auto"/>
            </w:pPr>
            <w:r>
              <w:rPr>
                <w:rFonts w:eastAsia="Arial" w:cs="Arial"/>
                <w:b/>
                <w:color w:val="007D79"/>
                <w:sz w:val="19"/>
              </w:rPr>
              <w:t>02</w:t>
            </w:r>
          </w:p>
        </w:tc>
        <w:tc>
          <w:tcPr>
            <w:tcW w:w="8280" w:type="dxa"/>
            <w:tcMar>
              <w:top w:w="32" w:type="dxa"/>
              <w:left w:w="30" w:type="dxa"/>
              <w:bottom w:w="32" w:type="dxa"/>
              <w:right w:w="30" w:type="dxa"/>
            </w:tcMar>
          </w:tcPr>
          <w:p w14:paraId="61C37DA6" w14:textId="77777777" w:rsidR="00EB0B6B" w:rsidRDefault="00000000">
            <w:pPr>
              <w:spacing w:after="0" w:line="240" w:lineRule="auto"/>
            </w:pPr>
            <w:hyperlink w:anchor="chapter_02" w:history="1">
              <w:r>
                <w:rPr>
                  <w:color w:val="16324F"/>
                  <w:sz w:val="20"/>
                  <w:szCs w:val="20"/>
                </w:rPr>
                <w:t>Versions, release lines and evidence</w:t>
              </w:r>
            </w:hyperlink>
          </w:p>
        </w:tc>
        <w:tc>
          <w:tcPr>
            <w:tcW w:w="850" w:type="dxa"/>
            <w:tcMar>
              <w:top w:w="32" w:type="dxa"/>
              <w:left w:w="30" w:type="dxa"/>
              <w:bottom w:w="32" w:type="dxa"/>
              <w:right w:w="30" w:type="dxa"/>
            </w:tcMar>
          </w:tcPr>
          <w:p w14:paraId="23B82CBD" w14:textId="77777777" w:rsidR="00EB0B6B" w:rsidRDefault="00000000">
            <w:pPr>
              <w:spacing w:after="0" w:line="240" w:lineRule="auto"/>
              <w:jc w:val="right"/>
            </w:pPr>
            <w:r>
              <w:rPr>
                <w:rFonts w:eastAsia="Arial" w:cs="Arial"/>
                <w:color w:val="007D79"/>
                <w:sz w:val="19"/>
              </w:rPr>
              <w:t>4</w:t>
            </w:r>
          </w:p>
        </w:tc>
      </w:tr>
      <w:tr w:rsidR="00EB0B6B" w14:paraId="1231882D" w14:textId="77777777">
        <w:trPr>
          <w:cantSplit/>
          <w:jc w:val="center"/>
        </w:trPr>
        <w:tc>
          <w:tcPr>
            <w:tcW w:w="576" w:type="dxa"/>
            <w:tcMar>
              <w:top w:w="32" w:type="dxa"/>
              <w:left w:w="30" w:type="dxa"/>
              <w:bottom w:w="32" w:type="dxa"/>
              <w:right w:w="30" w:type="dxa"/>
            </w:tcMar>
          </w:tcPr>
          <w:p w14:paraId="682A67ED" w14:textId="77777777" w:rsidR="00EB0B6B" w:rsidRDefault="00000000">
            <w:pPr>
              <w:spacing w:after="0" w:line="240" w:lineRule="auto"/>
            </w:pPr>
            <w:r>
              <w:rPr>
                <w:rFonts w:eastAsia="Arial" w:cs="Arial"/>
                <w:b/>
                <w:color w:val="007D79"/>
                <w:sz w:val="19"/>
              </w:rPr>
              <w:t>03</w:t>
            </w:r>
          </w:p>
        </w:tc>
        <w:tc>
          <w:tcPr>
            <w:tcW w:w="8280" w:type="dxa"/>
            <w:tcMar>
              <w:top w:w="32" w:type="dxa"/>
              <w:left w:w="30" w:type="dxa"/>
              <w:bottom w:w="32" w:type="dxa"/>
              <w:right w:w="30" w:type="dxa"/>
            </w:tcMar>
          </w:tcPr>
          <w:p w14:paraId="3DE1ED5A" w14:textId="77777777" w:rsidR="00EB0B6B" w:rsidRDefault="00000000">
            <w:pPr>
              <w:spacing w:after="0" w:line="240" w:lineRule="auto"/>
            </w:pPr>
            <w:hyperlink w:anchor="chapter_03" w:history="1">
              <w:r>
                <w:rPr>
                  <w:color w:val="16324F"/>
                  <w:sz w:val="20"/>
                  <w:szCs w:val="20"/>
                </w:rPr>
                <w:t>Architecture and component responsibilities</w:t>
              </w:r>
            </w:hyperlink>
          </w:p>
        </w:tc>
        <w:tc>
          <w:tcPr>
            <w:tcW w:w="850" w:type="dxa"/>
            <w:tcMar>
              <w:top w:w="32" w:type="dxa"/>
              <w:left w:w="30" w:type="dxa"/>
              <w:bottom w:w="32" w:type="dxa"/>
              <w:right w:w="30" w:type="dxa"/>
            </w:tcMar>
          </w:tcPr>
          <w:p w14:paraId="1F5B7202" w14:textId="77777777" w:rsidR="00EB0B6B" w:rsidRDefault="00000000">
            <w:pPr>
              <w:spacing w:after="0" w:line="240" w:lineRule="auto"/>
              <w:jc w:val="right"/>
            </w:pPr>
            <w:r>
              <w:rPr>
                <w:rFonts w:eastAsia="Arial" w:cs="Arial"/>
                <w:color w:val="007D79"/>
                <w:sz w:val="19"/>
              </w:rPr>
              <w:t>5</w:t>
            </w:r>
          </w:p>
        </w:tc>
      </w:tr>
      <w:tr w:rsidR="00EB0B6B" w14:paraId="783772BF" w14:textId="77777777">
        <w:trPr>
          <w:cantSplit/>
          <w:jc w:val="center"/>
        </w:trPr>
        <w:tc>
          <w:tcPr>
            <w:tcW w:w="576" w:type="dxa"/>
            <w:tcMar>
              <w:top w:w="32" w:type="dxa"/>
              <w:left w:w="30" w:type="dxa"/>
              <w:bottom w:w="32" w:type="dxa"/>
              <w:right w:w="30" w:type="dxa"/>
            </w:tcMar>
          </w:tcPr>
          <w:p w14:paraId="1141EAD6" w14:textId="77777777" w:rsidR="00EB0B6B" w:rsidRDefault="00000000">
            <w:pPr>
              <w:spacing w:after="0" w:line="240" w:lineRule="auto"/>
            </w:pPr>
            <w:r>
              <w:rPr>
                <w:rFonts w:eastAsia="Arial" w:cs="Arial"/>
                <w:b/>
                <w:color w:val="007D79"/>
                <w:sz w:val="19"/>
              </w:rPr>
              <w:t>04</w:t>
            </w:r>
          </w:p>
        </w:tc>
        <w:tc>
          <w:tcPr>
            <w:tcW w:w="8280" w:type="dxa"/>
            <w:tcMar>
              <w:top w:w="32" w:type="dxa"/>
              <w:left w:w="30" w:type="dxa"/>
              <w:bottom w:w="32" w:type="dxa"/>
              <w:right w:w="30" w:type="dxa"/>
            </w:tcMar>
          </w:tcPr>
          <w:p w14:paraId="28DAC7F8" w14:textId="77777777" w:rsidR="00EB0B6B" w:rsidRDefault="00000000">
            <w:pPr>
              <w:spacing w:after="0" w:line="240" w:lineRule="auto"/>
            </w:pPr>
            <w:hyperlink w:anchor="chapter_04" w:history="1">
              <w:r>
                <w:rPr>
                  <w:color w:val="16324F"/>
                  <w:sz w:val="20"/>
                  <w:szCs w:val="20"/>
                </w:rPr>
                <w:t>Business scope and operating ownership</w:t>
              </w:r>
            </w:hyperlink>
          </w:p>
        </w:tc>
        <w:tc>
          <w:tcPr>
            <w:tcW w:w="850" w:type="dxa"/>
            <w:tcMar>
              <w:top w:w="32" w:type="dxa"/>
              <w:left w:w="30" w:type="dxa"/>
              <w:bottom w:w="32" w:type="dxa"/>
              <w:right w:w="30" w:type="dxa"/>
            </w:tcMar>
          </w:tcPr>
          <w:p w14:paraId="6C363FB8" w14:textId="77777777" w:rsidR="00EB0B6B" w:rsidRDefault="00000000">
            <w:pPr>
              <w:spacing w:after="0" w:line="240" w:lineRule="auto"/>
              <w:jc w:val="right"/>
            </w:pPr>
            <w:r>
              <w:rPr>
                <w:rFonts w:eastAsia="Arial" w:cs="Arial"/>
                <w:color w:val="007D79"/>
                <w:sz w:val="19"/>
              </w:rPr>
              <w:t>6</w:t>
            </w:r>
          </w:p>
        </w:tc>
      </w:tr>
      <w:tr w:rsidR="00EB0B6B" w14:paraId="4B884F58" w14:textId="77777777">
        <w:trPr>
          <w:cantSplit/>
          <w:jc w:val="center"/>
        </w:trPr>
        <w:tc>
          <w:tcPr>
            <w:tcW w:w="576" w:type="dxa"/>
            <w:tcMar>
              <w:top w:w="32" w:type="dxa"/>
              <w:left w:w="30" w:type="dxa"/>
              <w:bottom w:w="32" w:type="dxa"/>
              <w:right w:w="30" w:type="dxa"/>
            </w:tcMar>
          </w:tcPr>
          <w:p w14:paraId="023A01CD" w14:textId="77777777" w:rsidR="00EB0B6B" w:rsidRDefault="00000000">
            <w:pPr>
              <w:spacing w:after="0" w:line="240" w:lineRule="auto"/>
            </w:pPr>
            <w:r>
              <w:rPr>
                <w:rFonts w:eastAsia="Arial" w:cs="Arial"/>
                <w:b/>
                <w:color w:val="007D79"/>
                <w:sz w:val="19"/>
              </w:rPr>
              <w:t>05</w:t>
            </w:r>
          </w:p>
        </w:tc>
        <w:tc>
          <w:tcPr>
            <w:tcW w:w="8280" w:type="dxa"/>
            <w:tcMar>
              <w:top w:w="32" w:type="dxa"/>
              <w:left w:w="30" w:type="dxa"/>
              <w:bottom w:w="32" w:type="dxa"/>
              <w:right w:w="30" w:type="dxa"/>
            </w:tcMar>
          </w:tcPr>
          <w:p w14:paraId="0663C50E" w14:textId="77777777" w:rsidR="00EB0B6B" w:rsidRDefault="00000000">
            <w:pPr>
              <w:spacing w:after="0" w:line="240" w:lineRule="auto"/>
            </w:pPr>
            <w:hyperlink w:anchor="chapter_05" w:history="1">
              <w:r>
                <w:rPr>
                  <w:color w:val="16324F"/>
                  <w:sz w:val="20"/>
                  <w:szCs w:val="20"/>
                </w:rPr>
                <w:t>Prerequisites and supported environments</w:t>
              </w:r>
            </w:hyperlink>
          </w:p>
        </w:tc>
        <w:tc>
          <w:tcPr>
            <w:tcW w:w="850" w:type="dxa"/>
            <w:tcMar>
              <w:top w:w="32" w:type="dxa"/>
              <w:left w:w="30" w:type="dxa"/>
              <w:bottom w:w="32" w:type="dxa"/>
              <w:right w:w="30" w:type="dxa"/>
            </w:tcMar>
          </w:tcPr>
          <w:p w14:paraId="3C8B6AAD" w14:textId="77777777" w:rsidR="00EB0B6B" w:rsidRDefault="00000000">
            <w:pPr>
              <w:spacing w:after="0" w:line="240" w:lineRule="auto"/>
              <w:jc w:val="right"/>
            </w:pPr>
            <w:r>
              <w:rPr>
                <w:rFonts w:eastAsia="Arial" w:cs="Arial"/>
                <w:color w:val="007D79"/>
                <w:sz w:val="19"/>
              </w:rPr>
              <w:t>7</w:t>
            </w:r>
          </w:p>
        </w:tc>
      </w:tr>
      <w:tr w:rsidR="00EB0B6B" w14:paraId="09B09D3B" w14:textId="77777777">
        <w:trPr>
          <w:cantSplit/>
          <w:jc w:val="center"/>
        </w:trPr>
        <w:tc>
          <w:tcPr>
            <w:tcW w:w="576" w:type="dxa"/>
            <w:tcMar>
              <w:top w:w="32" w:type="dxa"/>
              <w:left w:w="30" w:type="dxa"/>
              <w:bottom w:w="32" w:type="dxa"/>
              <w:right w:w="30" w:type="dxa"/>
            </w:tcMar>
          </w:tcPr>
          <w:p w14:paraId="4758D216" w14:textId="77777777" w:rsidR="00EB0B6B" w:rsidRDefault="00000000">
            <w:pPr>
              <w:spacing w:after="0" w:line="240" w:lineRule="auto"/>
            </w:pPr>
            <w:r>
              <w:rPr>
                <w:rFonts w:eastAsia="Arial" w:cs="Arial"/>
                <w:b/>
                <w:color w:val="007D79"/>
                <w:sz w:val="19"/>
              </w:rPr>
              <w:t>06</w:t>
            </w:r>
          </w:p>
        </w:tc>
        <w:tc>
          <w:tcPr>
            <w:tcW w:w="8280" w:type="dxa"/>
            <w:tcMar>
              <w:top w:w="32" w:type="dxa"/>
              <w:left w:w="30" w:type="dxa"/>
              <w:bottom w:w="32" w:type="dxa"/>
              <w:right w:w="30" w:type="dxa"/>
            </w:tcMar>
          </w:tcPr>
          <w:p w14:paraId="35807E25" w14:textId="77777777" w:rsidR="00EB0B6B" w:rsidRDefault="00000000">
            <w:pPr>
              <w:spacing w:after="0" w:line="240" w:lineRule="auto"/>
            </w:pPr>
            <w:hyperlink w:anchor="chapter_06" w:history="1">
              <w:r>
                <w:rPr>
                  <w:color w:val="16324F"/>
                  <w:sz w:val="20"/>
                  <w:szCs w:val="20"/>
                </w:rPr>
                <w:t>Planning Analytics on Cloud: first access</w:t>
              </w:r>
            </w:hyperlink>
          </w:p>
        </w:tc>
        <w:tc>
          <w:tcPr>
            <w:tcW w:w="850" w:type="dxa"/>
            <w:tcMar>
              <w:top w:w="32" w:type="dxa"/>
              <w:left w:w="30" w:type="dxa"/>
              <w:bottom w:w="32" w:type="dxa"/>
              <w:right w:w="30" w:type="dxa"/>
            </w:tcMar>
          </w:tcPr>
          <w:p w14:paraId="1D74175A" w14:textId="77777777" w:rsidR="00EB0B6B" w:rsidRDefault="00000000">
            <w:pPr>
              <w:spacing w:after="0" w:line="240" w:lineRule="auto"/>
              <w:jc w:val="right"/>
            </w:pPr>
            <w:r>
              <w:rPr>
                <w:rFonts w:eastAsia="Arial" w:cs="Arial"/>
                <w:color w:val="007D79"/>
                <w:sz w:val="19"/>
              </w:rPr>
              <w:t>8</w:t>
            </w:r>
          </w:p>
        </w:tc>
      </w:tr>
      <w:tr w:rsidR="00EB0B6B" w14:paraId="6A5F618C" w14:textId="77777777">
        <w:trPr>
          <w:cantSplit/>
          <w:jc w:val="center"/>
        </w:trPr>
        <w:tc>
          <w:tcPr>
            <w:tcW w:w="576" w:type="dxa"/>
            <w:tcMar>
              <w:top w:w="32" w:type="dxa"/>
              <w:left w:w="30" w:type="dxa"/>
              <w:bottom w:w="32" w:type="dxa"/>
              <w:right w:w="30" w:type="dxa"/>
            </w:tcMar>
          </w:tcPr>
          <w:p w14:paraId="578CA97D" w14:textId="77777777" w:rsidR="00EB0B6B" w:rsidRDefault="00000000">
            <w:pPr>
              <w:spacing w:after="0" w:line="240" w:lineRule="auto"/>
            </w:pPr>
            <w:r>
              <w:rPr>
                <w:rFonts w:eastAsia="Arial" w:cs="Arial"/>
                <w:b/>
                <w:color w:val="007D79"/>
                <w:sz w:val="19"/>
              </w:rPr>
              <w:t>07</w:t>
            </w:r>
          </w:p>
        </w:tc>
        <w:tc>
          <w:tcPr>
            <w:tcW w:w="8280" w:type="dxa"/>
            <w:tcMar>
              <w:top w:w="32" w:type="dxa"/>
              <w:left w:w="30" w:type="dxa"/>
              <w:bottom w:w="32" w:type="dxa"/>
              <w:right w:w="30" w:type="dxa"/>
            </w:tcMar>
          </w:tcPr>
          <w:p w14:paraId="4A4EFE12" w14:textId="77777777" w:rsidR="00EB0B6B" w:rsidRDefault="00000000">
            <w:pPr>
              <w:spacing w:after="0" w:line="240" w:lineRule="auto"/>
            </w:pPr>
            <w:hyperlink w:anchor="chapter_07" w:history="1">
              <w:r>
                <w:rPr>
                  <w:color w:val="16324F"/>
                  <w:sz w:val="20"/>
                  <w:szCs w:val="20"/>
                </w:rPr>
                <w:t>On Cloud: connectivity and administration</w:t>
              </w:r>
            </w:hyperlink>
          </w:p>
        </w:tc>
        <w:tc>
          <w:tcPr>
            <w:tcW w:w="850" w:type="dxa"/>
            <w:tcMar>
              <w:top w:w="32" w:type="dxa"/>
              <w:left w:w="30" w:type="dxa"/>
              <w:bottom w:w="32" w:type="dxa"/>
              <w:right w:w="30" w:type="dxa"/>
            </w:tcMar>
          </w:tcPr>
          <w:p w14:paraId="5375D453" w14:textId="77777777" w:rsidR="00EB0B6B" w:rsidRDefault="00000000">
            <w:pPr>
              <w:spacing w:after="0" w:line="240" w:lineRule="auto"/>
              <w:jc w:val="right"/>
            </w:pPr>
            <w:r>
              <w:rPr>
                <w:rFonts w:eastAsia="Arial" w:cs="Arial"/>
                <w:color w:val="007D79"/>
                <w:sz w:val="19"/>
              </w:rPr>
              <w:t>9</w:t>
            </w:r>
          </w:p>
        </w:tc>
      </w:tr>
      <w:tr w:rsidR="00EB0B6B" w14:paraId="213FC060" w14:textId="77777777">
        <w:trPr>
          <w:cantSplit/>
          <w:jc w:val="center"/>
        </w:trPr>
        <w:tc>
          <w:tcPr>
            <w:tcW w:w="576" w:type="dxa"/>
            <w:tcMar>
              <w:top w:w="32" w:type="dxa"/>
              <w:left w:w="30" w:type="dxa"/>
              <w:bottom w:w="32" w:type="dxa"/>
              <w:right w:w="30" w:type="dxa"/>
            </w:tcMar>
          </w:tcPr>
          <w:p w14:paraId="682E1930" w14:textId="77777777" w:rsidR="00EB0B6B" w:rsidRDefault="00000000">
            <w:pPr>
              <w:spacing w:after="0" w:line="240" w:lineRule="auto"/>
            </w:pPr>
            <w:r>
              <w:rPr>
                <w:rFonts w:eastAsia="Arial" w:cs="Arial"/>
                <w:b/>
                <w:color w:val="007D79"/>
                <w:sz w:val="19"/>
              </w:rPr>
              <w:t>08</w:t>
            </w:r>
          </w:p>
        </w:tc>
        <w:tc>
          <w:tcPr>
            <w:tcW w:w="8280" w:type="dxa"/>
            <w:tcMar>
              <w:top w:w="32" w:type="dxa"/>
              <w:left w:w="30" w:type="dxa"/>
              <w:bottom w:w="32" w:type="dxa"/>
              <w:right w:w="30" w:type="dxa"/>
            </w:tcMar>
          </w:tcPr>
          <w:p w14:paraId="4B8944C4" w14:textId="77777777" w:rsidR="00EB0B6B" w:rsidRDefault="00000000">
            <w:pPr>
              <w:spacing w:after="0" w:line="240" w:lineRule="auto"/>
            </w:pPr>
            <w:hyperlink w:anchor="chapter_08" w:history="1">
              <w:r>
                <w:rPr>
                  <w:color w:val="16324F"/>
                  <w:sz w:val="20"/>
                  <w:szCs w:val="20"/>
                </w:rPr>
                <w:t>Planning Analytics as a Service: onboarding</w:t>
              </w:r>
            </w:hyperlink>
          </w:p>
        </w:tc>
        <w:tc>
          <w:tcPr>
            <w:tcW w:w="850" w:type="dxa"/>
            <w:tcMar>
              <w:top w:w="32" w:type="dxa"/>
              <w:left w:w="30" w:type="dxa"/>
              <w:bottom w:w="32" w:type="dxa"/>
              <w:right w:w="30" w:type="dxa"/>
            </w:tcMar>
          </w:tcPr>
          <w:p w14:paraId="6C1FF67B" w14:textId="77777777" w:rsidR="00EB0B6B" w:rsidRDefault="00000000">
            <w:pPr>
              <w:spacing w:after="0" w:line="240" w:lineRule="auto"/>
              <w:jc w:val="right"/>
            </w:pPr>
            <w:r>
              <w:rPr>
                <w:rFonts w:eastAsia="Arial" w:cs="Arial"/>
                <w:color w:val="007D79"/>
                <w:sz w:val="19"/>
              </w:rPr>
              <w:t>10</w:t>
            </w:r>
          </w:p>
        </w:tc>
      </w:tr>
      <w:tr w:rsidR="00EB0B6B" w14:paraId="73CD6A66" w14:textId="77777777">
        <w:trPr>
          <w:cantSplit/>
          <w:jc w:val="center"/>
        </w:trPr>
        <w:tc>
          <w:tcPr>
            <w:tcW w:w="576" w:type="dxa"/>
            <w:tcMar>
              <w:top w:w="32" w:type="dxa"/>
              <w:left w:w="30" w:type="dxa"/>
              <w:bottom w:w="32" w:type="dxa"/>
              <w:right w:w="30" w:type="dxa"/>
            </w:tcMar>
          </w:tcPr>
          <w:p w14:paraId="25C3E7BC" w14:textId="77777777" w:rsidR="00EB0B6B" w:rsidRDefault="00000000">
            <w:pPr>
              <w:spacing w:after="0" w:line="240" w:lineRule="auto"/>
            </w:pPr>
            <w:r>
              <w:rPr>
                <w:rFonts w:eastAsia="Arial" w:cs="Arial"/>
                <w:b/>
                <w:color w:val="007D79"/>
                <w:sz w:val="19"/>
              </w:rPr>
              <w:t>09</w:t>
            </w:r>
          </w:p>
        </w:tc>
        <w:tc>
          <w:tcPr>
            <w:tcW w:w="8280" w:type="dxa"/>
            <w:tcMar>
              <w:top w:w="32" w:type="dxa"/>
              <w:left w:w="30" w:type="dxa"/>
              <w:bottom w:w="32" w:type="dxa"/>
              <w:right w:w="30" w:type="dxa"/>
            </w:tcMar>
          </w:tcPr>
          <w:p w14:paraId="679DEE5D" w14:textId="77777777" w:rsidR="00EB0B6B" w:rsidRDefault="00000000">
            <w:pPr>
              <w:spacing w:after="0" w:line="240" w:lineRule="auto"/>
            </w:pPr>
            <w:hyperlink w:anchor="chapter_09" w:history="1">
              <w:r>
                <w:rPr>
                  <w:color w:val="16324F"/>
                  <w:sz w:val="20"/>
                  <w:szCs w:val="20"/>
                </w:rPr>
                <w:t>Local: install and register the TM1 data tier</w:t>
              </w:r>
            </w:hyperlink>
          </w:p>
        </w:tc>
        <w:tc>
          <w:tcPr>
            <w:tcW w:w="850" w:type="dxa"/>
            <w:tcMar>
              <w:top w:w="32" w:type="dxa"/>
              <w:left w:w="30" w:type="dxa"/>
              <w:bottom w:w="32" w:type="dxa"/>
              <w:right w:w="30" w:type="dxa"/>
            </w:tcMar>
          </w:tcPr>
          <w:p w14:paraId="30CE422C" w14:textId="77777777" w:rsidR="00EB0B6B" w:rsidRDefault="00000000">
            <w:pPr>
              <w:spacing w:after="0" w:line="240" w:lineRule="auto"/>
              <w:jc w:val="right"/>
            </w:pPr>
            <w:r>
              <w:rPr>
                <w:rFonts w:eastAsia="Arial" w:cs="Arial"/>
                <w:color w:val="007D79"/>
                <w:sz w:val="19"/>
              </w:rPr>
              <w:t>11</w:t>
            </w:r>
          </w:p>
        </w:tc>
      </w:tr>
      <w:tr w:rsidR="00EB0B6B" w14:paraId="6DA1A8D6" w14:textId="77777777">
        <w:trPr>
          <w:cantSplit/>
          <w:jc w:val="center"/>
        </w:trPr>
        <w:tc>
          <w:tcPr>
            <w:tcW w:w="576" w:type="dxa"/>
            <w:tcMar>
              <w:top w:w="32" w:type="dxa"/>
              <w:left w:w="30" w:type="dxa"/>
              <w:bottom w:w="32" w:type="dxa"/>
              <w:right w:w="30" w:type="dxa"/>
            </w:tcMar>
          </w:tcPr>
          <w:p w14:paraId="2A77B1C8" w14:textId="77777777" w:rsidR="00EB0B6B" w:rsidRDefault="00000000">
            <w:pPr>
              <w:spacing w:after="0" w:line="240" w:lineRule="auto"/>
            </w:pPr>
            <w:r>
              <w:rPr>
                <w:rFonts w:eastAsia="Arial" w:cs="Arial"/>
                <w:b/>
                <w:color w:val="007D79"/>
                <w:sz w:val="19"/>
              </w:rPr>
              <w:t>10</w:t>
            </w:r>
          </w:p>
        </w:tc>
        <w:tc>
          <w:tcPr>
            <w:tcW w:w="8280" w:type="dxa"/>
            <w:tcMar>
              <w:top w:w="32" w:type="dxa"/>
              <w:left w:w="30" w:type="dxa"/>
              <w:bottom w:w="32" w:type="dxa"/>
              <w:right w:w="30" w:type="dxa"/>
            </w:tcMar>
          </w:tcPr>
          <w:p w14:paraId="4CEC20B2" w14:textId="77777777" w:rsidR="00EB0B6B" w:rsidRDefault="00000000">
            <w:pPr>
              <w:spacing w:after="0" w:line="240" w:lineRule="auto"/>
            </w:pPr>
            <w:hyperlink w:anchor="chapter_10" w:history="1">
              <w:r>
                <w:rPr>
                  <w:color w:val="16324F"/>
                  <w:sz w:val="20"/>
                  <w:szCs w:val="20"/>
                </w:rPr>
                <w:t>Local: database configuration and connectivity</w:t>
              </w:r>
            </w:hyperlink>
          </w:p>
        </w:tc>
        <w:tc>
          <w:tcPr>
            <w:tcW w:w="850" w:type="dxa"/>
            <w:tcMar>
              <w:top w:w="32" w:type="dxa"/>
              <w:left w:w="30" w:type="dxa"/>
              <w:bottom w:w="32" w:type="dxa"/>
              <w:right w:w="30" w:type="dxa"/>
            </w:tcMar>
          </w:tcPr>
          <w:p w14:paraId="19AF1ABE" w14:textId="77777777" w:rsidR="00EB0B6B" w:rsidRDefault="00000000">
            <w:pPr>
              <w:spacing w:after="0" w:line="240" w:lineRule="auto"/>
              <w:jc w:val="right"/>
            </w:pPr>
            <w:r>
              <w:rPr>
                <w:rFonts w:eastAsia="Arial" w:cs="Arial"/>
                <w:color w:val="007D79"/>
                <w:sz w:val="19"/>
              </w:rPr>
              <w:t>12</w:t>
            </w:r>
          </w:p>
        </w:tc>
      </w:tr>
      <w:tr w:rsidR="00EB0B6B" w14:paraId="4AC32E11" w14:textId="77777777">
        <w:trPr>
          <w:cantSplit/>
          <w:jc w:val="center"/>
        </w:trPr>
        <w:tc>
          <w:tcPr>
            <w:tcW w:w="576" w:type="dxa"/>
            <w:tcMar>
              <w:top w:w="32" w:type="dxa"/>
              <w:left w:w="30" w:type="dxa"/>
              <w:bottom w:w="32" w:type="dxa"/>
              <w:right w:w="30" w:type="dxa"/>
            </w:tcMar>
          </w:tcPr>
          <w:p w14:paraId="6DD71453" w14:textId="77777777" w:rsidR="00EB0B6B" w:rsidRDefault="00000000">
            <w:pPr>
              <w:spacing w:after="0" w:line="240" w:lineRule="auto"/>
            </w:pPr>
            <w:r>
              <w:rPr>
                <w:rFonts w:eastAsia="Arial" w:cs="Arial"/>
                <w:b/>
                <w:color w:val="007D79"/>
                <w:sz w:val="19"/>
              </w:rPr>
              <w:t>11</w:t>
            </w:r>
          </w:p>
        </w:tc>
        <w:tc>
          <w:tcPr>
            <w:tcW w:w="8280" w:type="dxa"/>
            <w:tcMar>
              <w:top w:w="32" w:type="dxa"/>
              <w:left w:w="30" w:type="dxa"/>
              <w:bottom w:w="32" w:type="dxa"/>
              <w:right w:w="30" w:type="dxa"/>
            </w:tcMar>
          </w:tcPr>
          <w:p w14:paraId="6F339448" w14:textId="77777777" w:rsidR="00EB0B6B" w:rsidRDefault="00000000">
            <w:pPr>
              <w:spacing w:after="0" w:line="240" w:lineRule="auto"/>
            </w:pPr>
            <w:hyperlink w:anchor="chapter_11" w:history="1">
              <w:r>
                <w:rPr>
                  <w:color w:val="16324F"/>
                  <w:sz w:val="20"/>
                  <w:szCs w:val="20"/>
                </w:rPr>
                <w:t>Local: install Planning Analytics Workspace</w:t>
              </w:r>
            </w:hyperlink>
          </w:p>
        </w:tc>
        <w:tc>
          <w:tcPr>
            <w:tcW w:w="850" w:type="dxa"/>
            <w:tcMar>
              <w:top w:w="32" w:type="dxa"/>
              <w:left w:w="30" w:type="dxa"/>
              <w:bottom w:w="32" w:type="dxa"/>
              <w:right w:w="30" w:type="dxa"/>
            </w:tcMar>
          </w:tcPr>
          <w:p w14:paraId="28CC9029" w14:textId="77777777" w:rsidR="00EB0B6B" w:rsidRDefault="00000000">
            <w:pPr>
              <w:spacing w:after="0" w:line="240" w:lineRule="auto"/>
              <w:jc w:val="right"/>
            </w:pPr>
            <w:r>
              <w:rPr>
                <w:rFonts w:eastAsia="Arial" w:cs="Arial"/>
                <w:color w:val="007D79"/>
                <w:sz w:val="19"/>
              </w:rPr>
              <w:t>13</w:t>
            </w:r>
          </w:p>
        </w:tc>
      </w:tr>
      <w:tr w:rsidR="00EB0B6B" w14:paraId="4A066D4D" w14:textId="77777777">
        <w:trPr>
          <w:cantSplit/>
          <w:jc w:val="center"/>
        </w:trPr>
        <w:tc>
          <w:tcPr>
            <w:tcW w:w="576" w:type="dxa"/>
            <w:tcMar>
              <w:top w:w="32" w:type="dxa"/>
              <w:left w:w="30" w:type="dxa"/>
              <w:bottom w:w="32" w:type="dxa"/>
              <w:right w:w="30" w:type="dxa"/>
            </w:tcMar>
          </w:tcPr>
          <w:p w14:paraId="3CCB0C5B" w14:textId="77777777" w:rsidR="00EB0B6B" w:rsidRDefault="00000000">
            <w:pPr>
              <w:spacing w:after="0" w:line="240" w:lineRule="auto"/>
            </w:pPr>
            <w:r>
              <w:rPr>
                <w:rFonts w:eastAsia="Arial" w:cs="Arial"/>
                <w:b/>
                <w:color w:val="007D79"/>
                <w:sz w:val="19"/>
              </w:rPr>
              <w:t>12</w:t>
            </w:r>
          </w:p>
        </w:tc>
        <w:tc>
          <w:tcPr>
            <w:tcW w:w="8280" w:type="dxa"/>
            <w:tcMar>
              <w:top w:w="32" w:type="dxa"/>
              <w:left w:w="30" w:type="dxa"/>
              <w:bottom w:w="32" w:type="dxa"/>
              <w:right w:w="30" w:type="dxa"/>
            </w:tcMar>
          </w:tcPr>
          <w:p w14:paraId="54A5D227" w14:textId="77777777" w:rsidR="00EB0B6B" w:rsidRDefault="00000000">
            <w:pPr>
              <w:spacing w:after="0" w:line="240" w:lineRule="auto"/>
            </w:pPr>
            <w:hyperlink w:anchor="chapter_12" w:history="1">
              <w:r>
                <w:rPr>
                  <w:color w:val="16324F"/>
                  <w:sz w:val="20"/>
                  <w:szCs w:val="20"/>
                </w:rPr>
                <w:t>Workspace configuration and Administration agent</w:t>
              </w:r>
            </w:hyperlink>
          </w:p>
        </w:tc>
        <w:tc>
          <w:tcPr>
            <w:tcW w:w="850" w:type="dxa"/>
            <w:tcMar>
              <w:top w:w="32" w:type="dxa"/>
              <w:left w:w="30" w:type="dxa"/>
              <w:bottom w:w="32" w:type="dxa"/>
              <w:right w:w="30" w:type="dxa"/>
            </w:tcMar>
          </w:tcPr>
          <w:p w14:paraId="787C0CDD" w14:textId="77777777" w:rsidR="00EB0B6B" w:rsidRDefault="00000000">
            <w:pPr>
              <w:spacing w:after="0" w:line="240" w:lineRule="auto"/>
              <w:jc w:val="right"/>
            </w:pPr>
            <w:r>
              <w:rPr>
                <w:rFonts w:eastAsia="Arial" w:cs="Arial"/>
                <w:color w:val="007D79"/>
                <w:sz w:val="19"/>
              </w:rPr>
              <w:t>14</w:t>
            </w:r>
          </w:p>
        </w:tc>
      </w:tr>
      <w:tr w:rsidR="00EB0B6B" w14:paraId="65C498BF" w14:textId="77777777">
        <w:trPr>
          <w:cantSplit/>
          <w:jc w:val="center"/>
        </w:trPr>
        <w:tc>
          <w:tcPr>
            <w:tcW w:w="576" w:type="dxa"/>
            <w:tcMar>
              <w:top w:w="32" w:type="dxa"/>
              <w:left w:w="30" w:type="dxa"/>
              <w:bottom w:w="32" w:type="dxa"/>
              <w:right w:w="30" w:type="dxa"/>
            </w:tcMar>
          </w:tcPr>
          <w:p w14:paraId="739BF5EA" w14:textId="77777777" w:rsidR="00EB0B6B" w:rsidRDefault="00000000">
            <w:pPr>
              <w:spacing w:after="0" w:line="240" w:lineRule="auto"/>
            </w:pPr>
            <w:r>
              <w:rPr>
                <w:rFonts w:eastAsia="Arial" w:cs="Arial"/>
                <w:b/>
                <w:color w:val="007D79"/>
                <w:sz w:val="19"/>
              </w:rPr>
              <w:t>13</w:t>
            </w:r>
          </w:p>
        </w:tc>
        <w:tc>
          <w:tcPr>
            <w:tcW w:w="8280" w:type="dxa"/>
            <w:tcMar>
              <w:top w:w="32" w:type="dxa"/>
              <w:left w:w="30" w:type="dxa"/>
              <w:bottom w:w="32" w:type="dxa"/>
              <w:right w:w="30" w:type="dxa"/>
            </w:tcMar>
          </w:tcPr>
          <w:p w14:paraId="41361522" w14:textId="77777777" w:rsidR="00EB0B6B" w:rsidRDefault="00000000">
            <w:pPr>
              <w:spacing w:after="0" w:line="240" w:lineRule="auto"/>
            </w:pPr>
            <w:hyperlink w:anchor="chapter_13" w:history="1">
              <w:r>
                <w:rPr>
                  <w:color w:val="16324F"/>
                  <w:sz w:val="20"/>
                  <w:szCs w:val="20"/>
                </w:rPr>
                <w:t>Planning Analytics for Microsoft Excel</w:t>
              </w:r>
            </w:hyperlink>
          </w:p>
        </w:tc>
        <w:tc>
          <w:tcPr>
            <w:tcW w:w="850" w:type="dxa"/>
            <w:tcMar>
              <w:top w:w="32" w:type="dxa"/>
              <w:left w:w="30" w:type="dxa"/>
              <w:bottom w:w="32" w:type="dxa"/>
              <w:right w:w="30" w:type="dxa"/>
            </w:tcMar>
          </w:tcPr>
          <w:p w14:paraId="52D58E65" w14:textId="77777777" w:rsidR="00EB0B6B" w:rsidRDefault="00000000">
            <w:pPr>
              <w:spacing w:after="0" w:line="240" w:lineRule="auto"/>
              <w:jc w:val="right"/>
            </w:pPr>
            <w:r>
              <w:rPr>
                <w:rFonts w:eastAsia="Arial" w:cs="Arial"/>
                <w:color w:val="007D79"/>
                <w:sz w:val="19"/>
              </w:rPr>
              <w:t>15</w:t>
            </w:r>
          </w:p>
        </w:tc>
      </w:tr>
      <w:tr w:rsidR="00EB0B6B" w14:paraId="47EA7B5B" w14:textId="77777777">
        <w:trPr>
          <w:cantSplit/>
          <w:jc w:val="center"/>
        </w:trPr>
        <w:tc>
          <w:tcPr>
            <w:tcW w:w="576" w:type="dxa"/>
            <w:tcMar>
              <w:top w:w="32" w:type="dxa"/>
              <w:left w:w="30" w:type="dxa"/>
              <w:bottom w:w="32" w:type="dxa"/>
              <w:right w:w="30" w:type="dxa"/>
            </w:tcMar>
          </w:tcPr>
          <w:p w14:paraId="4224D258" w14:textId="77777777" w:rsidR="00EB0B6B" w:rsidRDefault="00000000">
            <w:pPr>
              <w:spacing w:after="0" w:line="240" w:lineRule="auto"/>
            </w:pPr>
            <w:r>
              <w:rPr>
                <w:rFonts w:eastAsia="Arial" w:cs="Arial"/>
                <w:b/>
                <w:color w:val="007D79"/>
                <w:sz w:val="19"/>
              </w:rPr>
              <w:t>14</w:t>
            </w:r>
          </w:p>
        </w:tc>
        <w:tc>
          <w:tcPr>
            <w:tcW w:w="8280" w:type="dxa"/>
            <w:tcMar>
              <w:top w:w="32" w:type="dxa"/>
              <w:left w:w="30" w:type="dxa"/>
              <w:bottom w:w="32" w:type="dxa"/>
              <w:right w:w="30" w:type="dxa"/>
            </w:tcMar>
          </w:tcPr>
          <w:p w14:paraId="19A65695" w14:textId="77777777" w:rsidR="00EB0B6B" w:rsidRDefault="00000000">
            <w:pPr>
              <w:spacing w:after="0" w:line="240" w:lineRule="auto"/>
            </w:pPr>
            <w:hyperlink w:anchor="chapter_14" w:history="1">
              <w:r>
                <w:rPr>
                  <w:color w:val="16324F"/>
                  <w:sz w:val="20"/>
                  <w:szCs w:val="20"/>
                </w:rPr>
                <w:t>Spreadsheet Services and Cognos integration</w:t>
              </w:r>
            </w:hyperlink>
          </w:p>
        </w:tc>
        <w:tc>
          <w:tcPr>
            <w:tcW w:w="850" w:type="dxa"/>
            <w:tcMar>
              <w:top w:w="32" w:type="dxa"/>
              <w:left w:w="30" w:type="dxa"/>
              <w:bottom w:w="32" w:type="dxa"/>
              <w:right w:w="30" w:type="dxa"/>
            </w:tcMar>
          </w:tcPr>
          <w:p w14:paraId="1D545917" w14:textId="77777777" w:rsidR="00EB0B6B" w:rsidRDefault="00000000">
            <w:pPr>
              <w:spacing w:after="0" w:line="240" w:lineRule="auto"/>
              <w:jc w:val="right"/>
            </w:pPr>
            <w:r>
              <w:rPr>
                <w:rFonts w:eastAsia="Arial" w:cs="Arial"/>
                <w:color w:val="007D79"/>
                <w:sz w:val="19"/>
              </w:rPr>
              <w:t>16</w:t>
            </w:r>
          </w:p>
        </w:tc>
      </w:tr>
      <w:tr w:rsidR="00EB0B6B" w14:paraId="19B42D2E" w14:textId="77777777">
        <w:trPr>
          <w:cantSplit/>
          <w:jc w:val="center"/>
        </w:trPr>
        <w:tc>
          <w:tcPr>
            <w:tcW w:w="576" w:type="dxa"/>
            <w:tcMar>
              <w:top w:w="32" w:type="dxa"/>
              <w:left w:w="30" w:type="dxa"/>
              <w:bottom w:w="32" w:type="dxa"/>
              <w:right w:w="30" w:type="dxa"/>
            </w:tcMar>
          </w:tcPr>
          <w:p w14:paraId="098B2E26" w14:textId="77777777" w:rsidR="00EB0B6B" w:rsidRDefault="00000000">
            <w:pPr>
              <w:spacing w:after="0" w:line="240" w:lineRule="auto"/>
            </w:pPr>
            <w:r>
              <w:rPr>
                <w:rFonts w:eastAsia="Arial" w:cs="Arial"/>
                <w:b/>
                <w:color w:val="007D79"/>
                <w:sz w:val="19"/>
              </w:rPr>
              <w:t>15</w:t>
            </w:r>
          </w:p>
        </w:tc>
        <w:tc>
          <w:tcPr>
            <w:tcW w:w="8280" w:type="dxa"/>
            <w:tcMar>
              <w:top w:w="32" w:type="dxa"/>
              <w:left w:w="30" w:type="dxa"/>
              <w:bottom w:w="32" w:type="dxa"/>
              <w:right w:w="30" w:type="dxa"/>
            </w:tcMar>
          </w:tcPr>
          <w:p w14:paraId="3B762459" w14:textId="77777777" w:rsidR="00EB0B6B" w:rsidRDefault="00000000">
            <w:pPr>
              <w:spacing w:after="0" w:line="240" w:lineRule="auto"/>
            </w:pPr>
            <w:hyperlink w:anchor="chapter_15" w:history="1">
              <w:r>
                <w:rPr>
                  <w:color w:val="16324F"/>
                  <w:sz w:val="20"/>
                  <w:szCs w:val="20"/>
                </w:rPr>
                <w:t>Model design: dimensions, cubes and drivers</w:t>
              </w:r>
            </w:hyperlink>
          </w:p>
        </w:tc>
        <w:tc>
          <w:tcPr>
            <w:tcW w:w="850" w:type="dxa"/>
            <w:tcMar>
              <w:top w:w="32" w:type="dxa"/>
              <w:left w:w="30" w:type="dxa"/>
              <w:bottom w:w="32" w:type="dxa"/>
              <w:right w:w="30" w:type="dxa"/>
            </w:tcMar>
          </w:tcPr>
          <w:p w14:paraId="3E5D3B2E" w14:textId="77777777" w:rsidR="00EB0B6B" w:rsidRDefault="00000000">
            <w:pPr>
              <w:spacing w:after="0" w:line="240" w:lineRule="auto"/>
              <w:jc w:val="right"/>
            </w:pPr>
            <w:r>
              <w:rPr>
                <w:rFonts w:eastAsia="Arial" w:cs="Arial"/>
                <w:color w:val="007D79"/>
                <w:sz w:val="19"/>
              </w:rPr>
              <w:t>17</w:t>
            </w:r>
          </w:p>
        </w:tc>
      </w:tr>
      <w:tr w:rsidR="00EB0B6B" w14:paraId="29BD04F8" w14:textId="77777777">
        <w:trPr>
          <w:cantSplit/>
          <w:jc w:val="center"/>
        </w:trPr>
        <w:tc>
          <w:tcPr>
            <w:tcW w:w="576" w:type="dxa"/>
            <w:tcMar>
              <w:top w:w="32" w:type="dxa"/>
              <w:left w:w="30" w:type="dxa"/>
              <w:bottom w:w="32" w:type="dxa"/>
              <w:right w:w="30" w:type="dxa"/>
            </w:tcMar>
          </w:tcPr>
          <w:p w14:paraId="3035EC8B" w14:textId="77777777" w:rsidR="00EB0B6B" w:rsidRDefault="00000000">
            <w:pPr>
              <w:spacing w:after="0" w:line="240" w:lineRule="auto"/>
            </w:pPr>
            <w:r>
              <w:rPr>
                <w:rFonts w:eastAsia="Arial" w:cs="Arial"/>
                <w:b/>
                <w:color w:val="007D79"/>
                <w:sz w:val="19"/>
              </w:rPr>
              <w:t>16</w:t>
            </w:r>
          </w:p>
        </w:tc>
        <w:tc>
          <w:tcPr>
            <w:tcW w:w="8280" w:type="dxa"/>
            <w:tcMar>
              <w:top w:w="32" w:type="dxa"/>
              <w:left w:w="30" w:type="dxa"/>
              <w:bottom w:w="32" w:type="dxa"/>
              <w:right w:w="30" w:type="dxa"/>
            </w:tcMar>
          </w:tcPr>
          <w:p w14:paraId="1FC05821" w14:textId="77777777" w:rsidR="00EB0B6B" w:rsidRDefault="00000000">
            <w:pPr>
              <w:spacing w:after="0" w:line="240" w:lineRule="auto"/>
            </w:pPr>
            <w:hyperlink w:anchor="chapter_16" w:history="1">
              <w:r>
                <w:rPr>
                  <w:color w:val="16324F"/>
                  <w:sz w:val="20"/>
                  <w:szCs w:val="20"/>
                </w:rPr>
                <w:t>Rules, feeders and model correctness</w:t>
              </w:r>
            </w:hyperlink>
          </w:p>
        </w:tc>
        <w:tc>
          <w:tcPr>
            <w:tcW w:w="850" w:type="dxa"/>
            <w:tcMar>
              <w:top w:w="32" w:type="dxa"/>
              <w:left w:w="30" w:type="dxa"/>
              <w:bottom w:w="32" w:type="dxa"/>
              <w:right w:w="30" w:type="dxa"/>
            </w:tcMar>
          </w:tcPr>
          <w:p w14:paraId="3101B657" w14:textId="77777777" w:rsidR="00EB0B6B" w:rsidRDefault="00000000">
            <w:pPr>
              <w:spacing w:after="0" w:line="240" w:lineRule="auto"/>
              <w:jc w:val="right"/>
            </w:pPr>
            <w:r>
              <w:rPr>
                <w:rFonts w:eastAsia="Arial" w:cs="Arial"/>
                <w:color w:val="007D79"/>
                <w:sz w:val="19"/>
              </w:rPr>
              <w:t>18</w:t>
            </w:r>
          </w:p>
        </w:tc>
      </w:tr>
      <w:tr w:rsidR="00EB0B6B" w14:paraId="0DFEE51D" w14:textId="77777777">
        <w:trPr>
          <w:cantSplit/>
          <w:jc w:val="center"/>
        </w:trPr>
        <w:tc>
          <w:tcPr>
            <w:tcW w:w="576" w:type="dxa"/>
            <w:tcMar>
              <w:top w:w="32" w:type="dxa"/>
              <w:left w:w="30" w:type="dxa"/>
              <w:bottom w:w="32" w:type="dxa"/>
              <w:right w:w="30" w:type="dxa"/>
            </w:tcMar>
          </w:tcPr>
          <w:p w14:paraId="53745E02" w14:textId="77777777" w:rsidR="00EB0B6B" w:rsidRDefault="00000000">
            <w:pPr>
              <w:spacing w:after="0" w:line="240" w:lineRule="auto"/>
            </w:pPr>
            <w:r>
              <w:rPr>
                <w:rFonts w:eastAsia="Arial" w:cs="Arial"/>
                <w:b/>
                <w:color w:val="007D79"/>
                <w:sz w:val="19"/>
              </w:rPr>
              <w:t>17</w:t>
            </w:r>
          </w:p>
        </w:tc>
        <w:tc>
          <w:tcPr>
            <w:tcW w:w="8280" w:type="dxa"/>
            <w:tcMar>
              <w:top w:w="32" w:type="dxa"/>
              <w:left w:w="30" w:type="dxa"/>
              <w:bottom w:w="32" w:type="dxa"/>
              <w:right w:w="30" w:type="dxa"/>
            </w:tcMar>
          </w:tcPr>
          <w:p w14:paraId="32474A3E" w14:textId="77777777" w:rsidR="00EB0B6B" w:rsidRDefault="00000000">
            <w:pPr>
              <w:spacing w:after="0" w:line="240" w:lineRule="auto"/>
            </w:pPr>
            <w:hyperlink w:anchor="chapter_17" w:history="1">
              <w:r>
                <w:rPr>
                  <w:color w:val="16324F"/>
                  <w:sz w:val="20"/>
                  <w:szCs w:val="20"/>
                </w:rPr>
                <w:t>TurboIntegrator and data integration</w:t>
              </w:r>
            </w:hyperlink>
          </w:p>
        </w:tc>
        <w:tc>
          <w:tcPr>
            <w:tcW w:w="850" w:type="dxa"/>
            <w:tcMar>
              <w:top w:w="32" w:type="dxa"/>
              <w:left w:w="30" w:type="dxa"/>
              <w:bottom w:w="32" w:type="dxa"/>
              <w:right w:w="30" w:type="dxa"/>
            </w:tcMar>
          </w:tcPr>
          <w:p w14:paraId="73F80C5B" w14:textId="77777777" w:rsidR="00EB0B6B" w:rsidRDefault="00000000">
            <w:pPr>
              <w:spacing w:after="0" w:line="240" w:lineRule="auto"/>
              <w:jc w:val="right"/>
            </w:pPr>
            <w:r>
              <w:rPr>
                <w:rFonts w:eastAsia="Arial" w:cs="Arial"/>
                <w:color w:val="007D79"/>
                <w:sz w:val="19"/>
              </w:rPr>
              <w:t>19</w:t>
            </w:r>
          </w:p>
        </w:tc>
      </w:tr>
      <w:tr w:rsidR="00EB0B6B" w14:paraId="7569AE05" w14:textId="77777777">
        <w:trPr>
          <w:cantSplit/>
          <w:jc w:val="center"/>
        </w:trPr>
        <w:tc>
          <w:tcPr>
            <w:tcW w:w="576" w:type="dxa"/>
            <w:tcMar>
              <w:top w:w="32" w:type="dxa"/>
              <w:left w:w="30" w:type="dxa"/>
              <w:bottom w:w="32" w:type="dxa"/>
              <w:right w:w="30" w:type="dxa"/>
            </w:tcMar>
          </w:tcPr>
          <w:p w14:paraId="06A84C4D" w14:textId="77777777" w:rsidR="00EB0B6B" w:rsidRDefault="00000000">
            <w:pPr>
              <w:spacing w:after="0" w:line="240" w:lineRule="auto"/>
            </w:pPr>
            <w:r>
              <w:rPr>
                <w:rFonts w:eastAsia="Arial" w:cs="Arial"/>
                <w:b/>
                <w:color w:val="007D79"/>
                <w:sz w:val="19"/>
              </w:rPr>
              <w:t>18</w:t>
            </w:r>
          </w:p>
        </w:tc>
        <w:tc>
          <w:tcPr>
            <w:tcW w:w="8280" w:type="dxa"/>
            <w:tcMar>
              <w:top w:w="32" w:type="dxa"/>
              <w:left w:w="30" w:type="dxa"/>
              <w:bottom w:w="32" w:type="dxa"/>
              <w:right w:w="30" w:type="dxa"/>
            </w:tcMar>
          </w:tcPr>
          <w:p w14:paraId="0183D362" w14:textId="77777777" w:rsidR="00EB0B6B" w:rsidRDefault="00000000">
            <w:pPr>
              <w:spacing w:after="0" w:line="240" w:lineRule="auto"/>
            </w:pPr>
            <w:hyperlink w:anchor="chapter_18" w:history="1">
              <w:r>
                <w:rPr>
                  <w:color w:val="16324F"/>
                  <w:sz w:val="20"/>
                  <w:szCs w:val="20"/>
                </w:rPr>
                <w:t>Books, plans, scenarios and Excel reporting</w:t>
              </w:r>
            </w:hyperlink>
          </w:p>
        </w:tc>
        <w:tc>
          <w:tcPr>
            <w:tcW w:w="850" w:type="dxa"/>
            <w:tcMar>
              <w:top w:w="32" w:type="dxa"/>
              <w:left w:w="30" w:type="dxa"/>
              <w:bottom w:w="32" w:type="dxa"/>
              <w:right w:w="30" w:type="dxa"/>
            </w:tcMar>
          </w:tcPr>
          <w:p w14:paraId="39510CED" w14:textId="77777777" w:rsidR="00EB0B6B" w:rsidRDefault="00000000">
            <w:pPr>
              <w:spacing w:after="0" w:line="240" w:lineRule="auto"/>
              <w:jc w:val="right"/>
            </w:pPr>
            <w:r>
              <w:rPr>
                <w:rFonts w:eastAsia="Arial" w:cs="Arial"/>
                <w:color w:val="007D79"/>
                <w:sz w:val="19"/>
              </w:rPr>
              <w:t>20</w:t>
            </w:r>
          </w:p>
        </w:tc>
      </w:tr>
      <w:tr w:rsidR="00EB0B6B" w14:paraId="162DB6DD" w14:textId="77777777">
        <w:trPr>
          <w:cantSplit/>
          <w:jc w:val="center"/>
        </w:trPr>
        <w:tc>
          <w:tcPr>
            <w:tcW w:w="576" w:type="dxa"/>
            <w:tcMar>
              <w:top w:w="32" w:type="dxa"/>
              <w:left w:w="30" w:type="dxa"/>
              <w:bottom w:w="32" w:type="dxa"/>
              <w:right w:w="30" w:type="dxa"/>
            </w:tcMar>
          </w:tcPr>
          <w:p w14:paraId="7245FDE2" w14:textId="77777777" w:rsidR="00EB0B6B" w:rsidRDefault="00000000">
            <w:pPr>
              <w:spacing w:after="0" w:line="240" w:lineRule="auto"/>
            </w:pPr>
            <w:r>
              <w:rPr>
                <w:rFonts w:eastAsia="Arial" w:cs="Arial"/>
                <w:b/>
                <w:color w:val="007D79"/>
                <w:sz w:val="19"/>
              </w:rPr>
              <w:t>19</w:t>
            </w:r>
          </w:p>
        </w:tc>
        <w:tc>
          <w:tcPr>
            <w:tcW w:w="8280" w:type="dxa"/>
            <w:tcMar>
              <w:top w:w="32" w:type="dxa"/>
              <w:left w:w="30" w:type="dxa"/>
              <w:bottom w:w="32" w:type="dxa"/>
              <w:right w:w="30" w:type="dxa"/>
            </w:tcMar>
          </w:tcPr>
          <w:p w14:paraId="0229C1EA" w14:textId="77777777" w:rsidR="00EB0B6B" w:rsidRDefault="00000000">
            <w:pPr>
              <w:spacing w:after="0" w:line="240" w:lineRule="auto"/>
            </w:pPr>
            <w:hyperlink w:anchor="chapter_19" w:history="1">
              <w:r>
                <w:rPr>
                  <w:color w:val="16324F"/>
                  <w:sz w:val="20"/>
                  <w:szCs w:val="20"/>
                </w:rPr>
                <w:t>REST APIs, automation and SAP</w:t>
              </w:r>
            </w:hyperlink>
          </w:p>
        </w:tc>
        <w:tc>
          <w:tcPr>
            <w:tcW w:w="850" w:type="dxa"/>
            <w:tcMar>
              <w:top w:w="32" w:type="dxa"/>
              <w:left w:w="30" w:type="dxa"/>
              <w:bottom w:w="32" w:type="dxa"/>
              <w:right w:w="30" w:type="dxa"/>
            </w:tcMar>
          </w:tcPr>
          <w:p w14:paraId="1700D666" w14:textId="77777777" w:rsidR="00EB0B6B" w:rsidRDefault="00000000">
            <w:pPr>
              <w:spacing w:after="0" w:line="240" w:lineRule="auto"/>
              <w:jc w:val="right"/>
            </w:pPr>
            <w:r>
              <w:rPr>
                <w:rFonts w:eastAsia="Arial" w:cs="Arial"/>
                <w:color w:val="007D79"/>
                <w:sz w:val="19"/>
              </w:rPr>
              <w:t>21</w:t>
            </w:r>
          </w:p>
        </w:tc>
      </w:tr>
      <w:tr w:rsidR="00EB0B6B" w14:paraId="267424C5" w14:textId="77777777">
        <w:trPr>
          <w:cantSplit/>
          <w:jc w:val="center"/>
        </w:trPr>
        <w:tc>
          <w:tcPr>
            <w:tcW w:w="576" w:type="dxa"/>
            <w:tcMar>
              <w:top w:w="32" w:type="dxa"/>
              <w:left w:w="30" w:type="dxa"/>
              <w:bottom w:w="32" w:type="dxa"/>
              <w:right w:w="30" w:type="dxa"/>
            </w:tcMar>
          </w:tcPr>
          <w:p w14:paraId="72CD026A" w14:textId="77777777" w:rsidR="00EB0B6B" w:rsidRDefault="00000000">
            <w:pPr>
              <w:spacing w:after="0" w:line="240" w:lineRule="auto"/>
            </w:pPr>
            <w:r>
              <w:rPr>
                <w:rFonts w:eastAsia="Arial" w:cs="Arial"/>
                <w:b/>
                <w:color w:val="007D79"/>
                <w:sz w:val="19"/>
              </w:rPr>
              <w:t>20</w:t>
            </w:r>
          </w:p>
        </w:tc>
        <w:tc>
          <w:tcPr>
            <w:tcW w:w="8280" w:type="dxa"/>
            <w:tcMar>
              <w:top w:w="32" w:type="dxa"/>
              <w:left w:w="30" w:type="dxa"/>
              <w:bottom w:w="32" w:type="dxa"/>
              <w:right w:w="30" w:type="dxa"/>
            </w:tcMar>
          </w:tcPr>
          <w:p w14:paraId="3DE29D4F" w14:textId="77777777" w:rsidR="00EB0B6B" w:rsidRDefault="00000000">
            <w:pPr>
              <w:spacing w:after="0" w:line="240" w:lineRule="auto"/>
            </w:pPr>
            <w:hyperlink w:anchor="chapter_20" w:history="1">
              <w:r>
                <w:rPr>
                  <w:color w:val="16324F"/>
                  <w:sz w:val="20"/>
                  <w:szCs w:val="20"/>
                </w:rPr>
                <w:t>Security, identity and privacy readiness</w:t>
              </w:r>
            </w:hyperlink>
          </w:p>
        </w:tc>
        <w:tc>
          <w:tcPr>
            <w:tcW w:w="850" w:type="dxa"/>
            <w:tcMar>
              <w:top w:w="32" w:type="dxa"/>
              <w:left w:w="30" w:type="dxa"/>
              <w:bottom w:w="32" w:type="dxa"/>
              <w:right w:w="30" w:type="dxa"/>
            </w:tcMar>
          </w:tcPr>
          <w:p w14:paraId="39B9C2D4" w14:textId="77777777" w:rsidR="00EB0B6B" w:rsidRDefault="00000000">
            <w:pPr>
              <w:spacing w:after="0" w:line="240" w:lineRule="auto"/>
              <w:jc w:val="right"/>
            </w:pPr>
            <w:r>
              <w:rPr>
                <w:rFonts w:eastAsia="Arial" w:cs="Arial"/>
                <w:color w:val="007D79"/>
                <w:sz w:val="19"/>
              </w:rPr>
              <w:t>22</w:t>
            </w:r>
          </w:p>
        </w:tc>
      </w:tr>
      <w:tr w:rsidR="00EB0B6B" w14:paraId="69E27A29" w14:textId="77777777">
        <w:trPr>
          <w:cantSplit/>
          <w:jc w:val="center"/>
        </w:trPr>
        <w:tc>
          <w:tcPr>
            <w:tcW w:w="576" w:type="dxa"/>
            <w:tcMar>
              <w:top w:w="32" w:type="dxa"/>
              <w:left w:w="30" w:type="dxa"/>
              <w:bottom w:w="32" w:type="dxa"/>
              <w:right w:w="30" w:type="dxa"/>
            </w:tcMar>
          </w:tcPr>
          <w:p w14:paraId="50B366AB" w14:textId="77777777" w:rsidR="00EB0B6B" w:rsidRDefault="00000000">
            <w:pPr>
              <w:spacing w:after="0" w:line="240" w:lineRule="auto"/>
            </w:pPr>
            <w:r>
              <w:rPr>
                <w:rFonts w:eastAsia="Arial" w:cs="Arial"/>
                <w:b/>
                <w:color w:val="007D79"/>
                <w:sz w:val="19"/>
              </w:rPr>
              <w:t>21</w:t>
            </w:r>
          </w:p>
        </w:tc>
        <w:tc>
          <w:tcPr>
            <w:tcW w:w="8280" w:type="dxa"/>
            <w:tcMar>
              <w:top w:w="32" w:type="dxa"/>
              <w:left w:w="30" w:type="dxa"/>
              <w:bottom w:w="32" w:type="dxa"/>
              <w:right w:w="30" w:type="dxa"/>
            </w:tcMar>
          </w:tcPr>
          <w:p w14:paraId="0D768471" w14:textId="77777777" w:rsidR="00EB0B6B" w:rsidRDefault="00000000">
            <w:pPr>
              <w:spacing w:after="0" w:line="240" w:lineRule="auto"/>
            </w:pPr>
            <w:hyperlink w:anchor="chapter_21" w:history="1">
              <w:r>
                <w:rPr>
                  <w:color w:val="16324F"/>
                  <w:sz w:val="20"/>
                  <w:szCs w:val="20"/>
                </w:rPr>
                <w:t>Backup, restore and disaster recovery</w:t>
              </w:r>
            </w:hyperlink>
          </w:p>
        </w:tc>
        <w:tc>
          <w:tcPr>
            <w:tcW w:w="850" w:type="dxa"/>
            <w:tcMar>
              <w:top w:w="32" w:type="dxa"/>
              <w:left w:w="30" w:type="dxa"/>
              <w:bottom w:w="32" w:type="dxa"/>
              <w:right w:w="30" w:type="dxa"/>
            </w:tcMar>
          </w:tcPr>
          <w:p w14:paraId="16C3A01F" w14:textId="77777777" w:rsidR="00EB0B6B" w:rsidRDefault="00000000">
            <w:pPr>
              <w:spacing w:after="0" w:line="240" w:lineRule="auto"/>
              <w:jc w:val="right"/>
            </w:pPr>
            <w:r>
              <w:rPr>
                <w:rFonts w:eastAsia="Arial" w:cs="Arial"/>
                <w:color w:val="007D79"/>
                <w:sz w:val="19"/>
              </w:rPr>
              <w:t>23</w:t>
            </w:r>
          </w:p>
        </w:tc>
      </w:tr>
      <w:tr w:rsidR="00EB0B6B" w14:paraId="5CDCE802" w14:textId="77777777">
        <w:trPr>
          <w:cantSplit/>
          <w:jc w:val="center"/>
        </w:trPr>
        <w:tc>
          <w:tcPr>
            <w:tcW w:w="576" w:type="dxa"/>
            <w:tcMar>
              <w:top w:w="32" w:type="dxa"/>
              <w:left w:w="30" w:type="dxa"/>
              <w:bottom w:w="32" w:type="dxa"/>
              <w:right w:w="30" w:type="dxa"/>
            </w:tcMar>
          </w:tcPr>
          <w:p w14:paraId="307559E0" w14:textId="77777777" w:rsidR="00EB0B6B" w:rsidRDefault="00000000">
            <w:pPr>
              <w:spacing w:after="0" w:line="240" w:lineRule="auto"/>
            </w:pPr>
            <w:r>
              <w:rPr>
                <w:rFonts w:eastAsia="Arial" w:cs="Arial"/>
                <w:b/>
                <w:color w:val="007D79"/>
                <w:sz w:val="19"/>
              </w:rPr>
              <w:t>22</w:t>
            </w:r>
          </w:p>
        </w:tc>
        <w:tc>
          <w:tcPr>
            <w:tcW w:w="8280" w:type="dxa"/>
            <w:tcMar>
              <w:top w:w="32" w:type="dxa"/>
              <w:left w:w="30" w:type="dxa"/>
              <w:bottom w:w="32" w:type="dxa"/>
              <w:right w:w="30" w:type="dxa"/>
            </w:tcMar>
          </w:tcPr>
          <w:p w14:paraId="2105BE31" w14:textId="77777777" w:rsidR="00EB0B6B" w:rsidRDefault="00000000">
            <w:pPr>
              <w:spacing w:after="0" w:line="240" w:lineRule="auto"/>
            </w:pPr>
            <w:hyperlink w:anchor="chapter_22" w:history="1">
              <w:r>
                <w:rPr>
                  <w:color w:val="16324F"/>
                  <w:sz w:val="20"/>
                  <w:szCs w:val="20"/>
                </w:rPr>
                <w:t>Operations, capacity and performance</w:t>
              </w:r>
            </w:hyperlink>
          </w:p>
        </w:tc>
        <w:tc>
          <w:tcPr>
            <w:tcW w:w="850" w:type="dxa"/>
            <w:tcMar>
              <w:top w:w="32" w:type="dxa"/>
              <w:left w:w="30" w:type="dxa"/>
              <w:bottom w:w="32" w:type="dxa"/>
              <w:right w:w="30" w:type="dxa"/>
            </w:tcMar>
          </w:tcPr>
          <w:p w14:paraId="745E3324" w14:textId="77777777" w:rsidR="00EB0B6B" w:rsidRDefault="00000000">
            <w:pPr>
              <w:spacing w:after="0" w:line="240" w:lineRule="auto"/>
              <w:jc w:val="right"/>
            </w:pPr>
            <w:r>
              <w:rPr>
                <w:rFonts w:eastAsia="Arial" w:cs="Arial"/>
                <w:color w:val="007D79"/>
                <w:sz w:val="19"/>
              </w:rPr>
              <w:t>24</w:t>
            </w:r>
          </w:p>
        </w:tc>
      </w:tr>
      <w:tr w:rsidR="00EB0B6B" w14:paraId="4D8AD9ED" w14:textId="77777777">
        <w:trPr>
          <w:cantSplit/>
          <w:jc w:val="center"/>
        </w:trPr>
        <w:tc>
          <w:tcPr>
            <w:tcW w:w="576" w:type="dxa"/>
            <w:tcMar>
              <w:top w:w="32" w:type="dxa"/>
              <w:left w:w="30" w:type="dxa"/>
              <w:bottom w:w="32" w:type="dxa"/>
              <w:right w:w="30" w:type="dxa"/>
            </w:tcMar>
          </w:tcPr>
          <w:p w14:paraId="21BD7F5A" w14:textId="77777777" w:rsidR="00EB0B6B" w:rsidRDefault="00000000">
            <w:pPr>
              <w:spacing w:after="0" w:line="240" w:lineRule="auto"/>
            </w:pPr>
            <w:r>
              <w:rPr>
                <w:rFonts w:eastAsia="Arial" w:cs="Arial"/>
                <w:b/>
                <w:color w:val="007D79"/>
                <w:sz w:val="19"/>
              </w:rPr>
              <w:t>23</w:t>
            </w:r>
          </w:p>
        </w:tc>
        <w:tc>
          <w:tcPr>
            <w:tcW w:w="8280" w:type="dxa"/>
            <w:tcMar>
              <w:top w:w="32" w:type="dxa"/>
              <w:left w:w="30" w:type="dxa"/>
              <w:bottom w:w="32" w:type="dxa"/>
              <w:right w:w="30" w:type="dxa"/>
            </w:tcMar>
          </w:tcPr>
          <w:p w14:paraId="7DCB6560" w14:textId="77777777" w:rsidR="00EB0B6B" w:rsidRDefault="00000000">
            <w:pPr>
              <w:spacing w:after="0" w:line="240" w:lineRule="auto"/>
            </w:pPr>
            <w:hyperlink w:anchor="chapter_23" w:history="1">
              <w:r>
                <w:rPr>
                  <w:color w:val="16324F"/>
                  <w:sz w:val="20"/>
                  <w:szCs w:val="20"/>
                </w:rPr>
                <w:t>Upgrade and migration strategy</w:t>
              </w:r>
            </w:hyperlink>
          </w:p>
        </w:tc>
        <w:tc>
          <w:tcPr>
            <w:tcW w:w="850" w:type="dxa"/>
            <w:tcMar>
              <w:top w:w="32" w:type="dxa"/>
              <w:left w:w="30" w:type="dxa"/>
              <w:bottom w:w="32" w:type="dxa"/>
              <w:right w:w="30" w:type="dxa"/>
            </w:tcMar>
          </w:tcPr>
          <w:p w14:paraId="7EFD113A" w14:textId="77777777" w:rsidR="00EB0B6B" w:rsidRDefault="00000000">
            <w:pPr>
              <w:spacing w:after="0" w:line="240" w:lineRule="auto"/>
              <w:jc w:val="right"/>
            </w:pPr>
            <w:r>
              <w:rPr>
                <w:rFonts w:eastAsia="Arial" w:cs="Arial"/>
                <w:color w:val="007D79"/>
                <w:sz w:val="19"/>
              </w:rPr>
              <w:t>25</w:t>
            </w:r>
          </w:p>
        </w:tc>
      </w:tr>
      <w:tr w:rsidR="00EB0B6B" w14:paraId="4CBD74B9" w14:textId="77777777">
        <w:trPr>
          <w:cantSplit/>
          <w:jc w:val="center"/>
        </w:trPr>
        <w:tc>
          <w:tcPr>
            <w:tcW w:w="576" w:type="dxa"/>
            <w:tcMar>
              <w:top w:w="32" w:type="dxa"/>
              <w:left w:w="30" w:type="dxa"/>
              <w:bottom w:w="32" w:type="dxa"/>
              <w:right w:w="30" w:type="dxa"/>
            </w:tcMar>
          </w:tcPr>
          <w:p w14:paraId="62D73CAD" w14:textId="77777777" w:rsidR="00EB0B6B" w:rsidRDefault="00000000">
            <w:pPr>
              <w:spacing w:after="0" w:line="240" w:lineRule="auto"/>
            </w:pPr>
            <w:r>
              <w:rPr>
                <w:rFonts w:eastAsia="Arial" w:cs="Arial"/>
                <w:b/>
                <w:color w:val="007D79"/>
                <w:sz w:val="19"/>
              </w:rPr>
              <w:t>24</w:t>
            </w:r>
          </w:p>
        </w:tc>
        <w:tc>
          <w:tcPr>
            <w:tcW w:w="8280" w:type="dxa"/>
            <w:tcMar>
              <w:top w:w="32" w:type="dxa"/>
              <w:left w:w="30" w:type="dxa"/>
              <w:bottom w:w="32" w:type="dxa"/>
              <w:right w:w="30" w:type="dxa"/>
            </w:tcMar>
          </w:tcPr>
          <w:p w14:paraId="763FA20B" w14:textId="77777777" w:rsidR="00EB0B6B" w:rsidRDefault="00000000">
            <w:pPr>
              <w:spacing w:after="0" w:line="240" w:lineRule="auto"/>
            </w:pPr>
            <w:hyperlink w:anchor="chapter_24" w:history="1">
              <w:r>
                <w:rPr>
                  <w:color w:val="16324F"/>
                  <w:sz w:val="20"/>
                  <w:szCs w:val="20"/>
                </w:rPr>
                <w:t>New features: what to evaluate now</w:t>
              </w:r>
            </w:hyperlink>
          </w:p>
        </w:tc>
        <w:tc>
          <w:tcPr>
            <w:tcW w:w="850" w:type="dxa"/>
            <w:tcMar>
              <w:top w:w="32" w:type="dxa"/>
              <w:left w:w="30" w:type="dxa"/>
              <w:bottom w:w="32" w:type="dxa"/>
              <w:right w:w="30" w:type="dxa"/>
            </w:tcMar>
          </w:tcPr>
          <w:p w14:paraId="0238811A" w14:textId="77777777" w:rsidR="00EB0B6B" w:rsidRDefault="00000000">
            <w:pPr>
              <w:spacing w:after="0" w:line="240" w:lineRule="auto"/>
              <w:jc w:val="right"/>
            </w:pPr>
            <w:r>
              <w:rPr>
                <w:rFonts w:eastAsia="Arial" w:cs="Arial"/>
                <w:color w:val="007D79"/>
                <w:sz w:val="19"/>
              </w:rPr>
              <w:t>26</w:t>
            </w:r>
          </w:p>
        </w:tc>
      </w:tr>
      <w:tr w:rsidR="00EB0B6B" w14:paraId="29570EE7" w14:textId="77777777">
        <w:trPr>
          <w:cantSplit/>
          <w:jc w:val="center"/>
        </w:trPr>
        <w:tc>
          <w:tcPr>
            <w:tcW w:w="576" w:type="dxa"/>
            <w:tcMar>
              <w:top w:w="32" w:type="dxa"/>
              <w:left w:w="30" w:type="dxa"/>
              <w:bottom w:w="32" w:type="dxa"/>
              <w:right w:w="30" w:type="dxa"/>
            </w:tcMar>
          </w:tcPr>
          <w:p w14:paraId="1B33B27B" w14:textId="77777777" w:rsidR="00EB0B6B" w:rsidRDefault="00000000">
            <w:pPr>
              <w:spacing w:after="0" w:line="240" w:lineRule="auto"/>
            </w:pPr>
            <w:r>
              <w:rPr>
                <w:rFonts w:eastAsia="Arial" w:cs="Arial"/>
                <w:b/>
                <w:color w:val="007D79"/>
                <w:sz w:val="19"/>
              </w:rPr>
              <w:t>25</w:t>
            </w:r>
          </w:p>
        </w:tc>
        <w:tc>
          <w:tcPr>
            <w:tcW w:w="8280" w:type="dxa"/>
            <w:tcMar>
              <w:top w:w="32" w:type="dxa"/>
              <w:left w:w="30" w:type="dxa"/>
              <w:bottom w:w="32" w:type="dxa"/>
              <w:right w:w="30" w:type="dxa"/>
            </w:tcMar>
          </w:tcPr>
          <w:p w14:paraId="2952D7ED" w14:textId="77777777" w:rsidR="00EB0B6B" w:rsidRDefault="00000000">
            <w:pPr>
              <w:spacing w:after="0" w:line="240" w:lineRule="auto"/>
            </w:pPr>
            <w:hyperlink w:anchor="chapter_25" w:history="1">
              <w:r>
                <w:rPr>
                  <w:color w:val="16324F"/>
                  <w:sz w:val="20"/>
                  <w:szCs w:val="20"/>
                </w:rPr>
                <w:t>Forecasting and AI governance</w:t>
              </w:r>
            </w:hyperlink>
          </w:p>
        </w:tc>
        <w:tc>
          <w:tcPr>
            <w:tcW w:w="850" w:type="dxa"/>
            <w:tcMar>
              <w:top w:w="32" w:type="dxa"/>
              <w:left w:w="30" w:type="dxa"/>
              <w:bottom w:w="32" w:type="dxa"/>
              <w:right w:w="30" w:type="dxa"/>
            </w:tcMar>
          </w:tcPr>
          <w:p w14:paraId="6A325E43" w14:textId="77777777" w:rsidR="00EB0B6B" w:rsidRDefault="00000000">
            <w:pPr>
              <w:spacing w:after="0" w:line="240" w:lineRule="auto"/>
              <w:jc w:val="right"/>
            </w:pPr>
            <w:r>
              <w:rPr>
                <w:rFonts w:eastAsia="Arial" w:cs="Arial"/>
                <w:color w:val="007D79"/>
                <w:sz w:val="19"/>
              </w:rPr>
              <w:t>27</w:t>
            </w:r>
          </w:p>
        </w:tc>
      </w:tr>
      <w:tr w:rsidR="00EB0B6B" w14:paraId="33D12080" w14:textId="77777777">
        <w:trPr>
          <w:cantSplit/>
          <w:jc w:val="center"/>
        </w:trPr>
        <w:tc>
          <w:tcPr>
            <w:tcW w:w="576" w:type="dxa"/>
            <w:tcMar>
              <w:top w:w="32" w:type="dxa"/>
              <w:left w:w="30" w:type="dxa"/>
              <w:bottom w:w="32" w:type="dxa"/>
              <w:right w:w="30" w:type="dxa"/>
            </w:tcMar>
          </w:tcPr>
          <w:p w14:paraId="0BE3703D" w14:textId="77777777" w:rsidR="00EB0B6B" w:rsidRDefault="00000000">
            <w:pPr>
              <w:spacing w:after="0" w:line="240" w:lineRule="auto"/>
            </w:pPr>
            <w:r>
              <w:rPr>
                <w:rFonts w:eastAsia="Arial" w:cs="Arial"/>
                <w:b/>
                <w:color w:val="007D79"/>
                <w:sz w:val="19"/>
              </w:rPr>
              <w:t>26</w:t>
            </w:r>
          </w:p>
        </w:tc>
        <w:tc>
          <w:tcPr>
            <w:tcW w:w="8280" w:type="dxa"/>
            <w:tcMar>
              <w:top w:w="32" w:type="dxa"/>
              <w:left w:w="30" w:type="dxa"/>
              <w:bottom w:w="32" w:type="dxa"/>
              <w:right w:w="30" w:type="dxa"/>
            </w:tcMar>
          </w:tcPr>
          <w:p w14:paraId="2F55901B" w14:textId="77777777" w:rsidR="00EB0B6B" w:rsidRDefault="00000000">
            <w:pPr>
              <w:spacing w:after="0" w:line="240" w:lineRule="auto"/>
            </w:pPr>
            <w:hyperlink w:anchor="chapter_26" w:history="1">
              <w:r>
                <w:rPr>
                  <w:color w:val="16324F"/>
                  <w:sz w:val="20"/>
                  <w:szCs w:val="20"/>
                </w:rPr>
                <w:t>Troubleshooting by failure layer</w:t>
              </w:r>
            </w:hyperlink>
          </w:p>
        </w:tc>
        <w:tc>
          <w:tcPr>
            <w:tcW w:w="850" w:type="dxa"/>
            <w:tcMar>
              <w:top w:w="32" w:type="dxa"/>
              <w:left w:w="30" w:type="dxa"/>
              <w:bottom w:w="32" w:type="dxa"/>
              <w:right w:w="30" w:type="dxa"/>
            </w:tcMar>
          </w:tcPr>
          <w:p w14:paraId="00861B47" w14:textId="77777777" w:rsidR="00EB0B6B" w:rsidRDefault="00000000">
            <w:pPr>
              <w:spacing w:after="0" w:line="240" w:lineRule="auto"/>
              <w:jc w:val="right"/>
            </w:pPr>
            <w:r>
              <w:rPr>
                <w:rFonts w:eastAsia="Arial" w:cs="Arial"/>
                <w:color w:val="007D79"/>
                <w:sz w:val="19"/>
              </w:rPr>
              <w:t>28</w:t>
            </w:r>
          </w:p>
        </w:tc>
      </w:tr>
      <w:tr w:rsidR="00EB0B6B" w14:paraId="187376C6" w14:textId="77777777">
        <w:trPr>
          <w:cantSplit/>
          <w:jc w:val="center"/>
        </w:trPr>
        <w:tc>
          <w:tcPr>
            <w:tcW w:w="576" w:type="dxa"/>
            <w:tcMar>
              <w:top w:w="32" w:type="dxa"/>
              <w:left w:w="30" w:type="dxa"/>
              <w:bottom w:w="32" w:type="dxa"/>
              <w:right w:w="30" w:type="dxa"/>
            </w:tcMar>
          </w:tcPr>
          <w:p w14:paraId="78D8A0B2" w14:textId="77777777" w:rsidR="00EB0B6B" w:rsidRDefault="00000000">
            <w:pPr>
              <w:spacing w:after="0" w:line="240" w:lineRule="auto"/>
            </w:pPr>
            <w:r>
              <w:rPr>
                <w:rFonts w:eastAsia="Arial" w:cs="Arial"/>
                <w:b/>
                <w:color w:val="007D79"/>
                <w:sz w:val="19"/>
              </w:rPr>
              <w:t>27</w:t>
            </w:r>
          </w:p>
        </w:tc>
        <w:tc>
          <w:tcPr>
            <w:tcW w:w="8280" w:type="dxa"/>
            <w:tcMar>
              <w:top w:w="32" w:type="dxa"/>
              <w:left w:w="30" w:type="dxa"/>
              <w:bottom w:w="32" w:type="dxa"/>
              <w:right w:w="30" w:type="dxa"/>
            </w:tcMar>
          </w:tcPr>
          <w:p w14:paraId="2999BBF9" w14:textId="77777777" w:rsidR="00EB0B6B" w:rsidRDefault="00000000">
            <w:pPr>
              <w:spacing w:after="0" w:line="240" w:lineRule="auto"/>
            </w:pPr>
            <w:hyperlink w:anchor="chapter_27" w:history="1">
              <w:r>
                <w:rPr>
                  <w:color w:val="16324F"/>
                  <w:sz w:val="20"/>
                  <w:szCs w:val="20"/>
                </w:rPr>
                <w:t>Languages, community and support</w:t>
              </w:r>
            </w:hyperlink>
          </w:p>
        </w:tc>
        <w:tc>
          <w:tcPr>
            <w:tcW w:w="850" w:type="dxa"/>
            <w:tcMar>
              <w:top w:w="32" w:type="dxa"/>
              <w:left w:w="30" w:type="dxa"/>
              <w:bottom w:w="32" w:type="dxa"/>
              <w:right w:w="30" w:type="dxa"/>
            </w:tcMar>
          </w:tcPr>
          <w:p w14:paraId="09CCFF86" w14:textId="77777777" w:rsidR="00EB0B6B" w:rsidRDefault="00000000">
            <w:pPr>
              <w:spacing w:after="0" w:line="240" w:lineRule="auto"/>
              <w:jc w:val="right"/>
            </w:pPr>
            <w:r>
              <w:rPr>
                <w:rFonts w:eastAsia="Arial" w:cs="Arial"/>
                <w:color w:val="007D79"/>
                <w:sz w:val="19"/>
              </w:rPr>
              <w:t>29</w:t>
            </w:r>
          </w:p>
        </w:tc>
      </w:tr>
      <w:tr w:rsidR="00EB0B6B" w14:paraId="430E488C" w14:textId="77777777">
        <w:trPr>
          <w:cantSplit/>
          <w:jc w:val="center"/>
        </w:trPr>
        <w:tc>
          <w:tcPr>
            <w:tcW w:w="576" w:type="dxa"/>
            <w:tcMar>
              <w:top w:w="32" w:type="dxa"/>
              <w:left w:w="30" w:type="dxa"/>
              <w:bottom w:w="32" w:type="dxa"/>
              <w:right w:w="30" w:type="dxa"/>
            </w:tcMar>
          </w:tcPr>
          <w:p w14:paraId="20A03B29" w14:textId="77777777" w:rsidR="00EB0B6B" w:rsidRDefault="00000000">
            <w:pPr>
              <w:spacing w:after="0" w:line="240" w:lineRule="auto"/>
            </w:pPr>
            <w:r>
              <w:rPr>
                <w:rFonts w:eastAsia="Arial" w:cs="Arial"/>
                <w:b/>
                <w:color w:val="007D79"/>
                <w:sz w:val="19"/>
              </w:rPr>
              <w:t>28</w:t>
            </w:r>
          </w:p>
        </w:tc>
        <w:tc>
          <w:tcPr>
            <w:tcW w:w="8280" w:type="dxa"/>
            <w:tcMar>
              <w:top w:w="32" w:type="dxa"/>
              <w:left w:w="30" w:type="dxa"/>
              <w:bottom w:w="32" w:type="dxa"/>
              <w:right w:w="30" w:type="dxa"/>
            </w:tcMar>
          </w:tcPr>
          <w:p w14:paraId="3E0A5455" w14:textId="77777777" w:rsidR="00EB0B6B" w:rsidRDefault="00000000">
            <w:pPr>
              <w:spacing w:after="0" w:line="240" w:lineRule="auto"/>
            </w:pPr>
            <w:hyperlink w:anchor="chapter_28" w:history="1">
              <w:r>
                <w:rPr>
                  <w:color w:val="16324F"/>
                  <w:sz w:val="20"/>
                  <w:szCs w:val="20"/>
                </w:rPr>
                <w:t>Implementation plan and acceptance gates</w:t>
              </w:r>
            </w:hyperlink>
          </w:p>
        </w:tc>
        <w:tc>
          <w:tcPr>
            <w:tcW w:w="850" w:type="dxa"/>
            <w:tcMar>
              <w:top w:w="32" w:type="dxa"/>
              <w:left w:w="30" w:type="dxa"/>
              <w:bottom w:w="32" w:type="dxa"/>
              <w:right w:w="30" w:type="dxa"/>
            </w:tcMar>
          </w:tcPr>
          <w:p w14:paraId="2D5222D0" w14:textId="77777777" w:rsidR="00EB0B6B" w:rsidRDefault="00000000">
            <w:pPr>
              <w:spacing w:after="0" w:line="240" w:lineRule="auto"/>
              <w:jc w:val="right"/>
            </w:pPr>
            <w:r>
              <w:rPr>
                <w:rFonts w:eastAsia="Arial" w:cs="Arial"/>
                <w:color w:val="007D79"/>
                <w:sz w:val="19"/>
              </w:rPr>
              <w:t>30</w:t>
            </w:r>
          </w:p>
        </w:tc>
      </w:tr>
      <w:tr w:rsidR="00EB0B6B" w14:paraId="0A320B3F" w14:textId="77777777">
        <w:trPr>
          <w:cantSplit/>
          <w:jc w:val="center"/>
        </w:trPr>
        <w:tc>
          <w:tcPr>
            <w:tcW w:w="576" w:type="dxa"/>
            <w:tcMar>
              <w:top w:w="32" w:type="dxa"/>
              <w:left w:w="30" w:type="dxa"/>
              <w:bottom w:w="32" w:type="dxa"/>
              <w:right w:w="30" w:type="dxa"/>
            </w:tcMar>
          </w:tcPr>
          <w:p w14:paraId="16020B89" w14:textId="77777777" w:rsidR="00EB0B6B" w:rsidRDefault="00000000">
            <w:pPr>
              <w:spacing w:after="0" w:line="240" w:lineRule="auto"/>
            </w:pPr>
            <w:r>
              <w:rPr>
                <w:rFonts w:eastAsia="Arial" w:cs="Arial"/>
                <w:b/>
                <w:color w:val="007D79"/>
                <w:sz w:val="19"/>
              </w:rPr>
              <w:t>29</w:t>
            </w:r>
          </w:p>
        </w:tc>
        <w:tc>
          <w:tcPr>
            <w:tcW w:w="8280" w:type="dxa"/>
            <w:tcMar>
              <w:top w:w="32" w:type="dxa"/>
              <w:left w:w="30" w:type="dxa"/>
              <w:bottom w:w="32" w:type="dxa"/>
              <w:right w:w="30" w:type="dxa"/>
            </w:tcMar>
          </w:tcPr>
          <w:p w14:paraId="67815717" w14:textId="77777777" w:rsidR="00EB0B6B" w:rsidRDefault="00000000">
            <w:pPr>
              <w:spacing w:after="0" w:line="240" w:lineRule="auto"/>
            </w:pPr>
            <w:hyperlink w:anchor="chapter_29" w:history="1">
              <w:r>
                <w:rPr>
                  <w:color w:val="16324F"/>
                  <w:sz w:val="20"/>
                  <w:szCs w:val="20"/>
                </w:rPr>
                <w:t>Manuals and knowledge-base reading map</w:t>
              </w:r>
            </w:hyperlink>
          </w:p>
        </w:tc>
        <w:tc>
          <w:tcPr>
            <w:tcW w:w="850" w:type="dxa"/>
            <w:tcMar>
              <w:top w:w="32" w:type="dxa"/>
              <w:left w:w="30" w:type="dxa"/>
              <w:bottom w:w="32" w:type="dxa"/>
              <w:right w:w="30" w:type="dxa"/>
            </w:tcMar>
          </w:tcPr>
          <w:p w14:paraId="67F702C4" w14:textId="77777777" w:rsidR="00EB0B6B" w:rsidRDefault="00000000">
            <w:pPr>
              <w:spacing w:after="0" w:line="240" w:lineRule="auto"/>
              <w:jc w:val="right"/>
            </w:pPr>
            <w:r>
              <w:rPr>
                <w:rFonts w:eastAsia="Arial" w:cs="Arial"/>
                <w:color w:val="007D79"/>
                <w:sz w:val="19"/>
              </w:rPr>
              <w:t>31</w:t>
            </w:r>
          </w:p>
        </w:tc>
      </w:tr>
      <w:tr w:rsidR="00EB0B6B" w14:paraId="57B4E3DD" w14:textId="77777777">
        <w:trPr>
          <w:cantSplit/>
          <w:jc w:val="center"/>
        </w:trPr>
        <w:tc>
          <w:tcPr>
            <w:tcW w:w="576" w:type="dxa"/>
            <w:tcMar>
              <w:top w:w="70" w:type="dxa"/>
              <w:left w:w="30" w:type="dxa"/>
              <w:bottom w:w="70" w:type="dxa"/>
              <w:right w:w="30" w:type="dxa"/>
            </w:tcMar>
          </w:tcPr>
          <w:p w14:paraId="3CE634E5" w14:textId="77777777" w:rsidR="00EB0B6B" w:rsidRDefault="00000000">
            <w:pPr>
              <w:spacing w:after="0"/>
            </w:pPr>
            <w:r>
              <w:rPr>
                <w:rFonts w:eastAsia="Arial" w:cs="Arial"/>
                <w:b/>
                <w:color w:val="007D79"/>
                <w:sz w:val="20"/>
              </w:rPr>
              <w:t>R</w:t>
            </w:r>
          </w:p>
        </w:tc>
        <w:tc>
          <w:tcPr>
            <w:tcW w:w="8280" w:type="dxa"/>
            <w:tcMar>
              <w:top w:w="70" w:type="dxa"/>
              <w:left w:w="30" w:type="dxa"/>
              <w:bottom w:w="70" w:type="dxa"/>
              <w:right w:w="30" w:type="dxa"/>
            </w:tcMar>
          </w:tcPr>
          <w:p w14:paraId="66881A31" w14:textId="77777777" w:rsidR="00EB0B6B" w:rsidRDefault="00000000">
            <w:pPr>
              <w:spacing w:after="0"/>
            </w:pPr>
            <w:hyperlink w:anchor="references" w:history="1">
              <w:r>
                <w:rPr>
                  <w:b/>
                  <w:color w:val="145EA8"/>
                  <w:sz w:val="20"/>
                  <w:szCs w:val="20"/>
                </w:rPr>
                <w:t>Reference catalog - 90 official IBM links</w:t>
              </w:r>
            </w:hyperlink>
          </w:p>
        </w:tc>
        <w:tc>
          <w:tcPr>
            <w:tcW w:w="850" w:type="dxa"/>
            <w:tcMar>
              <w:top w:w="70" w:type="dxa"/>
              <w:left w:w="30" w:type="dxa"/>
              <w:bottom w:w="70" w:type="dxa"/>
              <w:right w:w="30" w:type="dxa"/>
            </w:tcMar>
          </w:tcPr>
          <w:p w14:paraId="0E61C450" w14:textId="77777777" w:rsidR="00EB0B6B" w:rsidRDefault="00000000">
            <w:pPr>
              <w:spacing w:after="0"/>
            </w:pPr>
            <w:r>
              <w:rPr>
                <w:rFonts w:eastAsia="Arial" w:cs="Arial"/>
                <w:b/>
                <w:color w:val="007D79"/>
                <w:sz w:val="20"/>
              </w:rPr>
              <w:t>32</w:t>
            </w:r>
          </w:p>
        </w:tc>
      </w:tr>
    </w:tbl>
    <w:p w14:paraId="519674F8" w14:textId="77777777" w:rsidR="00EB0B6B" w:rsidRDefault="00000000">
      <w:pPr>
        <w:spacing w:before="160"/>
      </w:pPr>
      <w:r>
        <w:rPr>
          <w:rFonts w:eastAsia="Arial" w:cs="Arial"/>
          <w:color w:val="596C7B"/>
          <w:sz w:val="19"/>
        </w:rPr>
        <w:t>Reading route: deployment and architecture (1-14); model and integration (15-19); controls and operations (20-23); new capabilities and enablement (24-29). Version and access qualifications are explained in Section 2.</w:t>
      </w:r>
    </w:p>
    <w:p w14:paraId="14122636" w14:textId="77777777" w:rsidR="00EB0B6B" w:rsidRDefault="00000000">
      <w:pPr>
        <w:pStyle w:val="Heading1"/>
        <w:pageBreakBefore/>
      </w:pPr>
      <w:bookmarkStart w:id="1" w:name="chapter_01"/>
      <w:r>
        <w:rPr>
          <w:rFonts w:ascii="Arial" w:eastAsia="Arial" w:hAnsi="Arial" w:cs="Arial"/>
        </w:rPr>
        <w:lastRenderedPageBreak/>
        <w:t>1. Product scope and deployment choices</w:t>
      </w:r>
      <w:bookmarkEnd w:id="1"/>
    </w:p>
    <w:p w14:paraId="1750B079" w14:textId="77777777" w:rsidR="00EB0B6B" w:rsidRDefault="00000000">
      <w:pPr>
        <w:keepNext/>
        <w:spacing w:after="240"/>
      </w:pPr>
      <w:r>
        <w:rPr>
          <w:rFonts w:eastAsia="Arial" w:cs="Arial"/>
          <w:color w:val="007D79"/>
          <w:sz w:val="20"/>
        </w:rPr>
        <w:t>Start with the offering, not the installation media.</w:t>
      </w:r>
    </w:p>
    <w:p w14:paraId="0D8ED70B" w14:textId="77777777" w:rsidR="00EB0B6B" w:rsidRDefault="00000000">
      <w:r>
        <w:rPr>
          <w:rFonts w:eastAsia="Arial" w:cs="Arial"/>
        </w:rPr>
        <w:t>IBM Planning Analytics combines governed business planning with the multidimensional TM1 engine. Business users plan, analyze and write back through web and Excel experiences; modelers define the structures and logic behind those experiences. It is not simply a dashboard product or a shared workbook repository.</w:t>
      </w:r>
      <w:r>
        <w:rPr>
          <w:rFonts w:eastAsia="Arial" w:cs="Arial"/>
          <w:color w:val="596C7B"/>
          <w:sz w:val="18"/>
        </w:rPr>
        <w:t xml:space="preserve">  </w:t>
      </w:r>
      <w:hyperlink w:anchor="ref_01" w:history="1">
        <w:r>
          <w:rPr>
            <w:color w:val="145EA8"/>
            <w:sz w:val="18"/>
            <w:szCs w:val="18"/>
          </w:rPr>
          <w:t>[R01]</w:t>
        </w:r>
      </w:hyperlink>
      <w:r>
        <w:rPr>
          <w:rFonts w:eastAsia="Arial" w:cs="Arial"/>
          <w:color w:val="596C7B"/>
          <w:sz w:val="18"/>
        </w:rPr>
        <w:t xml:space="preserve"> </w:t>
      </w:r>
      <w:hyperlink w:anchor="ref_81" w:history="1">
        <w:r>
          <w:rPr>
            <w:color w:val="145EA8"/>
            <w:sz w:val="18"/>
            <w:szCs w:val="18"/>
          </w:rPr>
          <w:t>[R81]</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131"/>
        <w:gridCol w:w="3269"/>
        <w:gridCol w:w="4306"/>
      </w:tblGrid>
      <w:tr w:rsidR="00EB0B6B" w14:paraId="0658DB09" w14:textId="77777777">
        <w:trPr>
          <w:cantSplit/>
          <w:tblHeader/>
          <w:jc w:val="center"/>
        </w:trPr>
        <w:tc>
          <w:tcPr>
            <w:tcW w:w="2131" w:type="dxa"/>
            <w:shd w:val="clear" w:color="auto" w:fill="16324F"/>
            <w:tcMar>
              <w:top w:w="100" w:type="dxa"/>
              <w:left w:w="110" w:type="dxa"/>
              <w:bottom w:w="100" w:type="dxa"/>
              <w:right w:w="110" w:type="dxa"/>
            </w:tcMar>
            <w:vAlign w:val="center"/>
          </w:tcPr>
          <w:p w14:paraId="3BDC869B" w14:textId="77777777" w:rsidR="00EB0B6B" w:rsidRDefault="00000000">
            <w:pPr>
              <w:spacing w:after="0" w:line="252" w:lineRule="auto"/>
            </w:pPr>
            <w:r>
              <w:rPr>
                <w:rFonts w:eastAsia="Arial" w:cs="Arial"/>
                <w:b/>
                <w:color w:val="FFFFFF"/>
                <w:sz w:val="20"/>
              </w:rPr>
              <w:t>Offering</w:t>
            </w:r>
          </w:p>
        </w:tc>
        <w:tc>
          <w:tcPr>
            <w:tcW w:w="3269" w:type="dxa"/>
            <w:shd w:val="clear" w:color="auto" w:fill="16324F"/>
            <w:tcMar>
              <w:top w:w="100" w:type="dxa"/>
              <w:left w:w="110" w:type="dxa"/>
              <w:bottom w:w="100" w:type="dxa"/>
              <w:right w:w="110" w:type="dxa"/>
            </w:tcMar>
            <w:vAlign w:val="center"/>
          </w:tcPr>
          <w:p w14:paraId="1624B856" w14:textId="77777777" w:rsidR="00EB0B6B" w:rsidRDefault="00000000">
            <w:pPr>
              <w:spacing w:after="0" w:line="252" w:lineRule="auto"/>
            </w:pPr>
            <w:r>
              <w:rPr>
                <w:rFonts w:eastAsia="Arial" w:cs="Arial"/>
                <w:b/>
                <w:color w:val="FFFFFF"/>
                <w:sz w:val="20"/>
              </w:rPr>
              <w:t>Operating model</w:t>
            </w:r>
          </w:p>
        </w:tc>
        <w:tc>
          <w:tcPr>
            <w:tcW w:w="4306" w:type="dxa"/>
            <w:shd w:val="clear" w:color="auto" w:fill="16324F"/>
            <w:tcMar>
              <w:top w:w="100" w:type="dxa"/>
              <w:left w:w="110" w:type="dxa"/>
              <w:bottom w:w="100" w:type="dxa"/>
              <w:right w:w="110" w:type="dxa"/>
            </w:tcMar>
            <w:vAlign w:val="center"/>
          </w:tcPr>
          <w:p w14:paraId="19C06E6C" w14:textId="77777777" w:rsidR="00EB0B6B" w:rsidRDefault="00000000">
            <w:pPr>
              <w:spacing w:after="0" w:line="252" w:lineRule="auto"/>
            </w:pPr>
            <w:r>
              <w:rPr>
                <w:rFonts w:eastAsia="Arial" w:cs="Arial"/>
                <w:b/>
                <w:color w:val="FFFFFF"/>
                <w:sz w:val="20"/>
              </w:rPr>
              <w:t>What you deploy</w:t>
            </w:r>
          </w:p>
        </w:tc>
      </w:tr>
      <w:tr w:rsidR="00EB0B6B" w14:paraId="5D4889B9" w14:textId="77777777">
        <w:trPr>
          <w:cantSplit/>
          <w:jc w:val="center"/>
        </w:trPr>
        <w:tc>
          <w:tcPr>
            <w:tcW w:w="2131" w:type="dxa"/>
            <w:tcMar>
              <w:top w:w="85" w:type="dxa"/>
              <w:left w:w="110" w:type="dxa"/>
              <w:bottom w:w="85" w:type="dxa"/>
              <w:right w:w="110" w:type="dxa"/>
            </w:tcMar>
            <w:vAlign w:val="center"/>
          </w:tcPr>
          <w:p w14:paraId="19D7ABC8" w14:textId="77777777" w:rsidR="00EB0B6B" w:rsidRDefault="00000000">
            <w:pPr>
              <w:spacing w:after="0" w:line="252" w:lineRule="auto"/>
            </w:pPr>
            <w:r>
              <w:rPr>
                <w:rFonts w:eastAsia="Arial" w:cs="Arial"/>
                <w:b/>
                <w:color w:val="16324F"/>
                <w:sz w:val="20"/>
              </w:rPr>
              <w:t>Planning Analytics on Cloud</w:t>
            </w:r>
          </w:p>
        </w:tc>
        <w:tc>
          <w:tcPr>
            <w:tcW w:w="3269" w:type="dxa"/>
            <w:tcMar>
              <w:top w:w="85" w:type="dxa"/>
              <w:left w:w="110" w:type="dxa"/>
              <w:bottom w:w="85" w:type="dxa"/>
              <w:right w:w="110" w:type="dxa"/>
            </w:tcMar>
            <w:vAlign w:val="center"/>
          </w:tcPr>
          <w:p w14:paraId="01E5E463" w14:textId="77777777" w:rsidR="00EB0B6B" w:rsidRDefault="00000000">
            <w:pPr>
              <w:spacing w:after="0" w:line="252" w:lineRule="auto"/>
            </w:pPr>
            <w:r>
              <w:rPr>
                <w:rFonts w:eastAsia="Arial" w:cs="Arial"/>
                <w:sz w:val="20"/>
              </w:rPr>
              <w:t>Dedicated private hosted service managed by IBM.</w:t>
            </w:r>
          </w:p>
        </w:tc>
        <w:tc>
          <w:tcPr>
            <w:tcW w:w="4306" w:type="dxa"/>
            <w:tcMar>
              <w:top w:w="85" w:type="dxa"/>
              <w:left w:w="110" w:type="dxa"/>
              <w:bottom w:w="85" w:type="dxa"/>
              <w:right w:w="110" w:type="dxa"/>
            </w:tcMar>
            <w:vAlign w:val="center"/>
          </w:tcPr>
          <w:p w14:paraId="6B775D70" w14:textId="77777777" w:rsidR="00EB0B6B" w:rsidRDefault="00000000">
            <w:pPr>
              <w:spacing w:after="0" w:line="252" w:lineRule="auto"/>
            </w:pPr>
            <w:r>
              <w:rPr>
                <w:rFonts w:eastAsia="Arial" w:cs="Arial"/>
                <w:sz w:val="20"/>
              </w:rPr>
              <w:t>Provision access, identities, models, integrations and client tools; do not install IBM-managed servers.</w:t>
            </w:r>
          </w:p>
        </w:tc>
      </w:tr>
      <w:tr w:rsidR="00EB0B6B" w14:paraId="2F1AF112" w14:textId="77777777">
        <w:trPr>
          <w:cantSplit/>
          <w:jc w:val="center"/>
        </w:trPr>
        <w:tc>
          <w:tcPr>
            <w:tcW w:w="2131" w:type="dxa"/>
            <w:tcMar>
              <w:top w:w="85" w:type="dxa"/>
              <w:left w:w="110" w:type="dxa"/>
              <w:bottom w:w="85" w:type="dxa"/>
              <w:right w:w="110" w:type="dxa"/>
            </w:tcMar>
            <w:vAlign w:val="center"/>
          </w:tcPr>
          <w:p w14:paraId="42D86EAD" w14:textId="77777777" w:rsidR="00EB0B6B" w:rsidRDefault="00000000">
            <w:pPr>
              <w:spacing w:after="0" w:line="252" w:lineRule="auto"/>
            </w:pPr>
            <w:r>
              <w:rPr>
                <w:rFonts w:eastAsia="Arial" w:cs="Arial"/>
                <w:b/>
                <w:color w:val="16324F"/>
                <w:sz w:val="20"/>
              </w:rPr>
              <w:t>Planning Analytics as a Service</w:t>
            </w:r>
          </w:p>
        </w:tc>
        <w:tc>
          <w:tcPr>
            <w:tcW w:w="3269" w:type="dxa"/>
            <w:tcMar>
              <w:top w:w="85" w:type="dxa"/>
              <w:left w:w="110" w:type="dxa"/>
              <w:bottom w:w="85" w:type="dxa"/>
              <w:right w:w="110" w:type="dxa"/>
            </w:tcMar>
            <w:vAlign w:val="center"/>
          </w:tcPr>
          <w:p w14:paraId="041AAEFB" w14:textId="77777777" w:rsidR="00EB0B6B" w:rsidRDefault="00000000">
            <w:pPr>
              <w:spacing w:after="0" w:line="252" w:lineRule="auto"/>
            </w:pPr>
            <w:r>
              <w:rPr>
                <w:rFonts w:eastAsia="Arial" w:cs="Arial"/>
                <w:sz w:val="20"/>
              </w:rPr>
              <w:t>Multitenant SaaS; IBM describes AWS and Azure purchasing / deployment options.</w:t>
            </w:r>
          </w:p>
        </w:tc>
        <w:tc>
          <w:tcPr>
            <w:tcW w:w="4306" w:type="dxa"/>
            <w:tcMar>
              <w:top w:w="85" w:type="dxa"/>
              <w:left w:w="110" w:type="dxa"/>
              <w:bottom w:w="85" w:type="dxa"/>
              <w:right w:w="110" w:type="dxa"/>
            </w:tcMar>
            <w:vAlign w:val="center"/>
          </w:tcPr>
          <w:p w14:paraId="0EB77548" w14:textId="77777777" w:rsidR="00EB0B6B" w:rsidRDefault="00000000">
            <w:pPr>
              <w:spacing w:after="0" w:line="252" w:lineRule="auto"/>
            </w:pPr>
            <w:r>
              <w:rPr>
                <w:rFonts w:eastAsia="Arial" w:cs="Arial"/>
                <w:sz w:val="20"/>
              </w:rPr>
              <w:t>Use the SaaS console and administration experience to establish environments, databases and access.</w:t>
            </w:r>
          </w:p>
        </w:tc>
      </w:tr>
      <w:tr w:rsidR="00EB0B6B" w14:paraId="1759193F" w14:textId="77777777">
        <w:trPr>
          <w:cantSplit/>
          <w:jc w:val="center"/>
        </w:trPr>
        <w:tc>
          <w:tcPr>
            <w:tcW w:w="2131" w:type="dxa"/>
            <w:tcMar>
              <w:top w:w="85" w:type="dxa"/>
              <w:left w:w="110" w:type="dxa"/>
              <w:bottom w:w="85" w:type="dxa"/>
              <w:right w:w="110" w:type="dxa"/>
            </w:tcMar>
            <w:vAlign w:val="center"/>
          </w:tcPr>
          <w:p w14:paraId="379F15EF" w14:textId="77777777" w:rsidR="00EB0B6B" w:rsidRDefault="00000000">
            <w:pPr>
              <w:spacing w:after="0" w:line="252" w:lineRule="auto"/>
            </w:pPr>
            <w:r>
              <w:rPr>
                <w:rFonts w:eastAsia="Arial" w:cs="Arial"/>
                <w:b/>
                <w:color w:val="16324F"/>
                <w:sz w:val="20"/>
              </w:rPr>
              <w:t>Planning Analytics Local</w:t>
            </w:r>
          </w:p>
        </w:tc>
        <w:tc>
          <w:tcPr>
            <w:tcW w:w="3269" w:type="dxa"/>
            <w:tcMar>
              <w:top w:w="85" w:type="dxa"/>
              <w:left w:w="110" w:type="dxa"/>
              <w:bottom w:w="85" w:type="dxa"/>
              <w:right w:w="110" w:type="dxa"/>
            </w:tcMar>
            <w:vAlign w:val="center"/>
          </w:tcPr>
          <w:p w14:paraId="6D1935DB" w14:textId="77777777" w:rsidR="00EB0B6B" w:rsidRDefault="00000000">
            <w:pPr>
              <w:spacing w:after="0" w:line="252" w:lineRule="auto"/>
            </w:pPr>
            <w:r>
              <w:rPr>
                <w:rFonts w:eastAsia="Arial" w:cs="Arial"/>
                <w:sz w:val="20"/>
              </w:rPr>
              <w:t>Customer-managed installation on supported infrastructure.</w:t>
            </w:r>
          </w:p>
        </w:tc>
        <w:tc>
          <w:tcPr>
            <w:tcW w:w="4306" w:type="dxa"/>
            <w:tcMar>
              <w:top w:w="85" w:type="dxa"/>
              <w:left w:w="110" w:type="dxa"/>
              <w:bottom w:w="85" w:type="dxa"/>
              <w:right w:w="110" w:type="dxa"/>
            </w:tcMar>
            <w:vAlign w:val="center"/>
          </w:tcPr>
          <w:p w14:paraId="7B34100F" w14:textId="77777777" w:rsidR="00EB0B6B" w:rsidRDefault="00000000">
            <w:pPr>
              <w:spacing w:after="0" w:line="252" w:lineRule="auto"/>
            </w:pPr>
            <w:r>
              <w:rPr>
                <w:rFonts w:eastAsia="Arial" w:cs="Arial"/>
                <w:sz w:val="20"/>
              </w:rPr>
              <w:t>Install and operate the TM1 data tier, Workspace and selected client / web components.</w:t>
            </w:r>
          </w:p>
        </w:tc>
      </w:tr>
      <w:tr w:rsidR="00EB0B6B" w14:paraId="496E468C" w14:textId="77777777">
        <w:trPr>
          <w:cantSplit/>
          <w:jc w:val="center"/>
        </w:trPr>
        <w:tc>
          <w:tcPr>
            <w:tcW w:w="2131" w:type="dxa"/>
            <w:tcMar>
              <w:top w:w="85" w:type="dxa"/>
              <w:left w:w="110" w:type="dxa"/>
              <w:bottom w:w="85" w:type="dxa"/>
              <w:right w:w="110" w:type="dxa"/>
            </w:tcMar>
            <w:vAlign w:val="center"/>
          </w:tcPr>
          <w:p w14:paraId="502A3ADC" w14:textId="77777777" w:rsidR="00EB0B6B" w:rsidRDefault="00000000">
            <w:pPr>
              <w:spacing w:after="0" w:line="252" w:lineRule="auto"/>
            </w:pPr>
            <w:r>
              <w:rPr>
                <w:rFonts w:eastAsia="Arial" w:cs="Arial"/>
                <w:b/>
                <w:color w:val="16324F"/>
                <w:sz w:val="20"/>
              </w:rPr>
              <w:t>Certified Containers / Software Hub</w:t>
            </w:r>
          </w:p>
        </w:tc>
        <w:tc>
          <w:tcPr>
            <w:tcW w:w="3269" w:type="dxa"/>
            <w:tcMar>
              <w:top w:w="85" w:type="dxa"/>
              <w:left w:w="110" w:type="dxa"/>
              <w:bottom w:w="85" w:type="dxa"/>
              <w:right w:w="110" w:type="dxa"/>
            </w:tcMar>
            <w:vAlign w:val="center"/>
          </w:tcPr>
          <w:p w14:paraId="7F20F3DE" w14:textId="77777777" w:rsidR="00EB0B6B" w:rsidRDefault="00000000">
            <w:pPr>
              <w:spacing w:after="0" w:line="252" w:lineRule="auto"/>
            </w:pPr>
            <w:r>
              <w:rPr>
                <w:rFonts w:eastAsia="Arial" w:cs="Arial"/>
                <w:sz w:val="20"/>
              </w:rPr>
              <w:t>Separate containerized offering and platform-specific deployment path.</w:t>
            </w:r>
          </w:p>
        </w:tc>
        <w:tc>
          <w:tcPr>
            <w:tcW w:w="4306" w:type="dxa"/>
            <w:tcMar>
              <w:top w:w="85" w:type="dxa"/>
              <w:left w:w="110" w:type="dxa"/>
              <w:bottom w:w="85" w:type="dxa"/>
              <w:right w:w="110" w:type="dxa"/>
            </w:tcMar>
            <w:vAlign w:val="center"/>
          </w:tcPr>
          <w:p w14:paraId="2E3885B5" w14:textId="77777777" w:rsidR="00EB0B6B" w:rsidRDefault="00000000">
            <w:pPr>
              <w:spacing w:after="0" w:line="252" w:lineRule="auto"/>
            </w:pPr>
            <w:r>
              <w:rPr>
                <w:rFonts w:eastAsia="Arial" w:cs="Arial"/>
                <w:sz w:val="20"/>
              </w:rPr>
              <w:t>Use the matching service, entitlement and platform documentation; do not reuse a Windows installer runbook.</w:t>
            </w:r>
          </w:p>
        </w:tc>
      </w:tr>
    </w:tbl>
    <w:p w14:paraId="269541E0" w14:textId="77777777" w:rsidR="00EB0B6B" w:rsidRDefault="00EB0B6B">
      <w:pPr>
        <w:spacing w:after="0" w:line="120" w:lineRule="auto"/>
      </w:pPr>
    </w:p>
    <w:p w14:paraId="470D001F" w14:textId="77777777" w:rsidR="00EB0B6B" w:rsidRDefault="00000000">
      <w:r>
        <w:rPr>
          <w:rFonts w:eastAsia="Arial" w:cs="Arial"/>
        </w:rPr>
        <w:t>IBM distinguishes dedicated on Cloud from as a Service; its pricing page also describes a Cloud Pak for Data deployment option. These are not interchangeable labels. Confirm the exact ordered SKU, region, identity model, database generation and operational responsibilities before design approval.</w:t>
      </w:r>
      <w:r>
        <w:rPr>
          <w:rFonts w:eastAsia="Arial" w:cs="Arial"/>
          <w:color w:val="596C7B"/>
          <w:sz w:val="18"/>
        </w:rPr>
        <w:t xml:space="preserve">  </w:t>
      </w:r>
      <w:hyperlink w:anchor="ref_13" w:history="1">
        <w:r>
          <w:rPr>
            <w:color w:val="145EA8"/>
            <w:sz w:val="18"/>
            <w:szCs w:val="18"/>
          </w:rPr>
          <w:t>[R13]</w:t>
        </w:r>
      </w:hyperlink>
      <w:r>
        <w:rPr>
          <w:rFonts w:eastAsia="Arial" w:cs="Arial"/>
          <w:color w:val="596C7B"/>
          <w:sz w:val="18"/>
        </w:rPr>
        <w:t xml:space="preserve"> </w:t>
      </w:r>
      <w:hyperlink w:anchor="ref_88" w:history="1">
        <w:r>
          <w:rPr>
            <w:color w:val="145EA8"/>
            <w:sz w:val="18"/>
            <w:szCs w:val="18"/>
          </w:rPr>
          <w:t>[R88]</w:t>
        </w:r>
      </w:hyperlink>
    </w:p>
    <w:p w14:paraId="58CA859E" w14:textId="77777777" w:rsidR="00EB0B6B" w:rsidRDefault="00000000">
      <w:pPr>
        <w:pStyle w:val="Heading2"/>
      </w:pPr>
      <w:r>
        <w:rPr>
          <w:rFonts w:ascii="Arial" w:eastAsia="Arial" w:hAnsi="Arial" w:cs="Arial"/>
        </w:rPr>
        <w:t>Recommended selection questions</w:t>
      </w:r>
    </w:p>
    <w:p w14:paraId="6C74EEDD" w14:textId="77777777" w:rsidR="00EB0B6B" w:rsidRDefault="00000000">
      <w:r>
        <w:rPr>
          <w:rFonts w:eastAsia="Arial" w:cs="Arial"/>
        </w:rPr>
        <w:t>Who must operate the infrastructure? Which source systems must be reached privately? Are there residency or enterprise-identity constraints? Is the goal an existing TM1 migration or a new SaaS model? Which Excel and AI capabilities are licensed? Establish these answers before choosing a topology or project estimate.</w:t>
      </w:r>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37B2BA07" w14:textId="77777777">
        <w:trPr>
          <w:cantSplit/>
          <w:jc w:val="center"/>
        </w:trPr>
        <w:tc>
          <w:tcPr>
            <w:tcW w:w="9706" w:type="dxa"/>
            <w:shd w:val="clear" w:color="auto" w:fill="FFF4DC"/>
            <w:tcMar>
              <w:top w:w="115" w:type="dxa"/>
              <w:left w:w="150" w:type="dxa"/>
              <w:bottom w:w="115" w:type="dxa"/>
              <w:right w:w="150" w:type="dxa"/>
            </w:tcMar>
          </w:tcPr>
          <w:p w14:paraId="5CFC86C6" w14:textId="77777777" w:rsidR="00EB0B6B" w:rsidRDefault="00000000">
            <w:pPr>
              <w:keepNext/>
              <w:spacing w:after="80"/>
            </w:pPr>
            <w:r>
              <w:rPr>
                <w:rFonts w:eastAsia="Arial" w:cs="Arial"/>
                <w:b/>
                <w:color w:val="99620C"/>
                <w:sz w:val="19"/>
              </w:rPr>
              <w:t>INTERPRETATION RULE</w:t>
            </w:r>
          </w:p>
          <w:p w14:paraId="5ECB48BF" w14:textId="77777777" w:rsidR="00EB0B6B" w:rsidRDefault="00000000">
            <w:pPr>
              <w:spacing w:after="0" w:line="254" w:lineRule="auto"/>
            </w:pPr>
            <w:r>
              <w:rPr>
                <w:rFonts w:eastAsia="Arial" w:cs="Arial"/>
                <w:sz w:val="20"/>
              </w:rPr>
              <w:t>A feature documented for SaaS, TM1 12 or a technical preview is not automatically available in Planning Analytics Local 2.1 or in every hosted subscription.</w:t>
            </w:r>
          </w:p>
        </w:tc>
      </w:tr>
    </w:tbl>
    <w:p w14:paraId="5E9774EF" w14:textId="77777777" w:rsidR="00EB0B6B" w:rsidRDefault="00EB0B6B">
      <w:pPr>
        <w:spacing w:after="0" w:line="120" w:lineRule="auto"/>
      </w:pPr>
    </w:p>
    <w:p w14:paraId="736DDF38" w14:textId="77777777" w:rsidR="00EB0B6B" w:rsidRDefault="00000000">
      <w:pPr>
        <w:pStyle w:val="Heading1"/>
        <w:pageBreakBefore/>
      </w:pPr>
      <w:bookmarkStart w:id="2" w:name="chapter_02"/>
      <w:r>
        <w:rPr>
          <w:rFonts w:ascii="Arial" w:eastAsia="Arial" w:hAnsi="Arial" w:cs="Arial"/>
        </w:rPr>
        <w:t>2. Versions, release lines and evidence</w:t>
      </w:r>
      <w:bookmarkEnd w:id="2"/>
    </w:p>
    <w:p w14:paraId="591964D9" w14:textId="77777777" w:rsidR="00EB0B6B" w:rsidRDefault="00000000">
      <w:pPr>
        <w:keepNext/>
        <w:spacing w:after="240"/>
      </w:pPr>
      <w:r>
        <w:rPr>
          <w:rFonts w:eastAsia="Arial" w:cs="Arial"/>
          <w:color w:val="007D79"/>
          <w:sz w:val="20"/>
        </w:rPr>
        <w:t>Research baseline: 8 October 2026. Recheck release notices before deployment.</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944"/>
        <w:gridCol w:w="4392"/>
        <w:gridCol w:w="3370"/>
      </w:tblGrid>
      <w:tr w:rsidR="00EB0B6B" w14:paraId="02E932EB" w14:textId="77777777">
        <w:trPr>
          <w:cantSplit/>
          <w:tblHeader/>
          <w:jc w:val="center"/>
        </w:trPr>
        <w:tc>
          <w:tcPr>
            <w:tcW w:w="1944" w:type="dxa"/>
            <w:shd w:val="clear" w:color="auto" w:fill="16324F"/>
            <w:tcMar>
              <w:top w:w="100" w:type="dxa"/>
              <w:left w:w="110" w:type="dxa"/>
              <w:bottom w:w="100" w:type="dxa"/>
              <w:right w:w="110" w:type="dxa"/>
            </w:tcMar>
            <w:vAlign w:val="center"/>
          </w:tcPr>
          <w:p w14:paraId="3E3EBC43" w14:textId="77777777" w:rsidR="00EB0B6B" w:rsidRDefault="00000000">
            <w:pPr>
              <w:spacing w:after="0" w:line="252" w:lineRule="auto"/>
            </w:pPr>
            <w:r>
              <w:rPr>
                <w:rFonts w:eastAsia="Arial" w:cs="Arial"/>
                <w:b/>
                <w:color w:val="FFFFFF"/>
                <w:sz w:val="20"/>
              </w:rPr>
              <w:t>Line / component</w:t>
            </w:r>
          </w:p>
        </w:tc>
        <w:tc>
          <w:tcPr>
            <w:tcW w:w="4392" w:type="dxa"/>
            <w:shd w:val="clear" w:color="auto" w:fill="16324F"/>
            <w:tcMar>
              <w:top w:w="100" w:type="dxa"/>
              <w:left w:w="110" w:type="dxa"/>
              <w:bottom w:w="100" w:type="dxa"/>
              <w:right w:w="110" w:type="dxa"/>
            </w:tcMar>
            <w:vAlign w:val="center"/>
          </w:tcPr>
          <w:p w14:paraId="07C9319B" w14:textId="77777777" w:rsidR="00EB0B6B" w:rsidRDefault="00000000">
            <w:pPr>
              <w:spacing w:after="0" w:line="252" w:lineRule="auto"/>
            </w:pPr>
            <w:r>
              <w:rPr>
                <w:rFonts w:eastAsia="Arial" w:cs="Arial"/>
                <w:b/>
                <w:color w:val="FFFFFF"/>
                <w:sz w:val="20"/>
              </w:rPr>
              <w:t>What the reviewed IBM sources establish</w:t>
            </w:r>
          </w:p>
        </w:tc>
        <w:tc>
          <w:tcPr>
            <w:tcW w:w="3370" w:type="dxa"/>
            <w:shd w:val="clear" w:color="auto" w:fill="16324F"/>
            <w:tcMar>
              <w:top w:w="100" w:type="dxa"/>
              <w:left w:w="110" w:type="dxa"/>
              <w:bottom w:w="100" w:type="dxa"/>
              <w:right w:w="110" w:type="dxa"/>
            </w:tcMar>
            <w:vAlign w:val="center"/>
          </w:tcPr>
          <w:p w14:paraId="4C80C3ED" w14:textId="77777777" w:rsidR="00EB0B6B" w:rsidRDefault="00000000">
            <w:pPr>
              <w:spacing w:after="0" w:line="252" w:lineRule="auto"/>
            </w:pPr>
            <w:r>
              <w:rPr>
                <w:rFonts w:eastAsia="Arial" w:cs="Arial"/>
                <w:b/>
                <w:color w:val="FFFFFF"/>
                <w:sz w:val="20"/>
              </w:rPr>
              <w:t>Deployment implication</w:t>
            </w:r>
          </w:p>
        </w:tc>
      </w:tr>
      <w:tr w:rsidR="00EB0B6B" w14:paraId="3B80D7F8" w14:textId="77777777">
        <w:trPr>
          <w:cantSplit/>
          <w:jc w:val="center"/>
        </w:trPr>
        <w:tc>
          <w:tcPr>
            <w:tcW w:w="1944" w:type="dxa"/>
            <w:tcMar>
              <w:top w:w="85" w:type="dxa"/>
              <w:left w:w="110" w:type="dxa"/>
              <w:bottom w:w="85" w:type="dxa"/>
              <w:right w:w="110" w:type="dxa"/>
            </w:tcMar>
            <w:vAlign w:val="center"/>
          </w:tcPr>
          <w:p w14:paraId="4753105A" w14:textId="77777777" w:rsidR="00EB0B6B" w:rsidRDefault="00000000">
            <w:pPr>
              <w:spacing w:after="0" w:line="252" w:lineRule="auto"/>
            </w:pPr>
            <w:r>
              <w:rPr>
                <w:rFonts w:eastAsia="Arial" w:cs="Arial"/>
                <w:b/>
                <w:color w:val="16324F"/>
                <w:sz w:val="20"/>
              </w:rPr>
              <w:t>2.0 documentation</w:t>
            </w:r>
          </w:p>
        </w:tc>
        <w:tc>
          <w:tcPr>
            <w:tcW w:w="4392" w:type="dxa"/>
            <w:tcMar>
              <w:top w:w="85" w:type="dxa"/>
              <w:left w:w="110" w:type="dxa"/>
              <w:bottom w:w="85" w:type="dxa"/>
              <w:right w:w="110" w:type="dxa"/>
            </w:tcMar>
            <w:vAlign w:val="center"/>
          </w:tcPr>
          <w:p w14:paraId="58A72244" w14:textId="77777777" w:rsidR="00EB0B6B" w:rsidRDefault="00000000">
            <w:pPr>
              <w:spacing w:after="0" w:line="252" w:lineRule="auto"/>
            </w:pPr>
            <w:r>
              <w:rPr>
                <w:rFonts w:eastAsia="Arial" w:cs="Arial"/>
                <w:sz w:val="20"/>
              </w:rPr>
              <w:t>The supplied links remain useful for terminology, historical behavior and manual navigation.</w:t>
            </w:r>
          </w:p>
        </w:tc>
        <w:tc>
          <w:tcPr>
            <w:tcW w:w="3370" w:type="dxa"/>
            <w:tcMar>
              <w:top w:w="85" w:type="dxa"/>
              <w:left w:w="110" w:type="dxa"/>
              <w:bottom w:w="85" w:type="dxa"/>
              <w:right w:w="110" w:type="dxa"/>
            </w:tcMar>
            <w:vAlign w:val="center"/>
          </w:tcPr>
          <w:p w14:paraId="1EDA65D1" w14:textId="77777777" w:rsidR="00EB0B6B" w:rsidRDefault="00000000">
            <w:pPr>
              <w:spacing w:after="0" w:line="252" w:lineRule="auto"/>
            </w:pPr>
            <w:r>
              <w:rPr>
                <w:rFonts w:eastAsia="Arial" w:cs="Arial"/>
                <w:sz w:val="20"/>
              </w:rPr>
              <w:t>Do not assume an old page describes the installer or support terms of a new build.</w:t>
            </w:r>
          </w:p>
        </w:tc>
      </w:tr>
      <w:tr w:rsidR="00EB0B6B" w14:paraId="3FA58F19" w14:textId="77777777">
        <w:trPr>
          <w:cantSplit/>
          <w:jc w:val="center"/>
        </w:trPr>
        <w:tc>
          <w:tcPr>
            <w:tcW w:w="1944" w:type="dxa"/>
            <w:tcMar>
              <w:top w:w="85" w:type="dxa"/>
              <w:left w:w="110" w:type="dxa"/>
              <w:bottom w:w="85" w:type="dxa"/>
              <w:right w:w="110" w:type="dxa"/>
            </w:tcMar>
            <w:vAlign w:val="center"/>
          </w:tcPr>
          <w:p w14:paraId="58EA2527" w14:textId="77777777" w:rsidR="00EB0B6B" w:rsidRDefault="00000000">
            <w:pPr>
              <w:spacing w:after="0" w:line="252" w:lineRule="auto"/>
            </w:pPr>
            <w:r>
              <w:rPr>
                <w:rFonts w:eastAsia="Arial" w:cs="Arial"/>
                <w:b/>
                <w:color w:val="16324F"/>
                <w:sz w:val="20"/>
              </w:rPr>
              <w:t>Local 2.1.24</w:t>
            </w:r>
          </w:p>
        </w:tc>
        <w:tc>
          <w:tcPr>
            <w:tcW w:w="4392" w:type="dxa"/>
            <w:tcMar>
              <w:top w:w="85" w:type="dxa"/>
              <w:left w:w="110" w:type="dxa"/>
              <w:bottom w:w="85" w:type="dxa"/>
              <w:right w:w="110" w:type="dxa"/>
            </w:tcMar>
            <w:vAlign w:val="center"/>
          </w:tcPr>
          <w:p w14:paraId="29A01DC4" w14:textId="77777777" w:rsidR="00EB0B6B" w:rsidRDefault="00000000">
            <w:pPr>
              <w:spacing w:after="0" w:line="252" w:lineRule="auto"/>
            </w:pPr>
            <w:r>
              <w:rPr>
                <w:rFonts w:eastAsia="Arial" w:cs="Arial"/>
                <w:sz w:val="20"/>
              </w:rPr>
              <w:t>IBM published the download on 25 September 2026 and recommends Workspace, Excel and Spreadsheet Services 2.1.24 alongside it.</w:t>
            </w:r>
          </w:p>
        </w:tc>
        <w:tc>
          <w:tcPr>
            <w:tcW w:w="3370" w:type="dxa"/>
            <w:tcMar>
              <w:top w:w="85" w:type="dxa"/>
              <w:left w:w="110" w:type="dxa"/>
              <w:bottom w:w="85" w:type="dxa"/>
              <w:right w:w="110" w:type="dxa"/>
            </w:tcMar>
            <w:vAlign w:val="center"/>
          </w:tcPr>
          <w:p w14:paraId="7EA29E73" w14:textId="77777777" w:rsidR="00EB0B6B" w:rsidRDefault="00000000">
            <w:pPr>
              <w:spacing w:after="0" w:line="252" w:lineRule="auto"/>
            </w:pPr>
            <w:r>
              <w:rPr>
                <w:rFonts w:eastAsia="Arial" w:cs="Arial"/>
                <w:sz w:val="20"/>
              </w:rPr>
              <w:t>Use a release-aligned bill of materials and verify compatibility before installation.</w:t>
            </w:r>
          </w:p>
        </w:tc>
      </w:tr>
      <w:tr w:rsidR="00EB0B6B" w14:paraId="7C91D8D4" w14:textId="77777777">
        <w:trPr>
          <w:cantSplit/>
          <w:jc w:val="center"/>
        </w:trPr>
        <w:tc>
          <w:tcPr>
            <w:tcW w:w="1944" w:type="dxa"/>
            <w:tcMar>
              <w:top w:w="85" w:type="dxa"/>
              <w:left w:w="110" w:type="dxa"/>
              <w:bottom w:w="85" w:type="dxa"/>
              <w:right w:w="110" w:type="dxa"/>
            </w:tcMar>
            <w:vAlign w:val="center"/>
          </w:tcPr>
          <w:p w14:paraId="4D6F8C85" w14:textId="77777777" w:rsidR="00EB0B6B" w:rsidRDefault="00000000">
            <w:pPr>
              <w:spacing w:after="0" w:line="252" w:lineRule="auto"/>
            </w:pPr>
            <w:r>
              <w:rPr>
                <w:rFonts w:eastAsia="Arial" w:cs="Arial"/>
                <w:b/>
                <w:color w:val="16324F"/>
                <w:sz w:val="20"/>
              </w:rPr>
              <w:t>Dedicated on Cloud</w:t>
            </w:r>
          </w:p>
        </w:tc>
        <w:tc>
          <w:tcPr>
            <w:tcW w:w="4392" w:type="dxa"/>
            <w:tcMar>
              <w:top w:w="85" w:type="dxa"/>
              <w:left w:w="110" w:type="dxa"/>
              <w:bottom w:w="85" w:type="dxa"/>
              <w:right w:w="110" w:type="dxa"/>
            </w:tcMar>
            <w:vAlign w:val="center"/>
          </w:tcPr>
          <w:p w14:paraId="4B6EAD5F" w14:textId="77777777" w:rsidR="00EB0B6B" w:rsidRDefault="00000000">
            <w:pPr>
              <w:spacing w:after="0" w:line="252" w:lineRule="auto"/>
            </w:pPr>
            <w:r>
              <w:rPr>
                <w:rFonts w:eastAsia="Arial" w:cs="Arial"/>
                <w:sz w:val="20"/>
              </w:rPr>
              <w:t>Workspace and Excel adopted 2.1 numbering beginning October 2025.</w:t>
            </w:r>
          </w:p>
        </w:tc>
        <w:tc>
          <w:tcPr>
            <w:tcW w:w="3370" w:type="dxa"/>
            <w:tcMar>
              <w:top w:w="85" w:type="dxa"/>
              <w:left w:w="110" w:type="dxa"/>
              <w:bottom w:w="85" w:type="dxa"/>
              <w:right w:w="110" w:type="dxa"/>
            </w:tcMar>
            <w:vAlign w:val="center"/>
          </w:tcPr>
          <w:p w14:paraId="6FFDF44B" w14:textId="77777777" w:rsidR="00EB0B6B" w:rsidRDefault="00000000">
            <w:pPr>
              <w:spacing w:after="0" w:line="252" w:lineRule="auto"/>
            </w:pPr>
            <w:r>
              <w:rPr>
                <w:rFonts w:eastAsia="Arial" w:cs="Arial"/>
                <w:sz w:val="20"/>
              </w:rPr>
              <w:t>A cloud environment need not use the same numbering as multitenant SaaS.</w:t>
            </w:r>
          </w:p>
        </w:tc>
      </w:tr>
      <w:tr w:rsidR="00EB0B6B" w14:paraId="2908640C" w14:textId="77777777">
        <w:trPr>
          <w:cantSplit/>
          <w:jc w:val="center"/>
        </w:trPr>
        <w:tc>
          <w:tcPr>
            <w:tcW w:w="1944" w:type="dxa"/>
            <w:tcMar>
              <w:top w:w="85" w:type="dxa"/>
              <w:left w:w="110" w:type="dxa"/>
              <w:bottom w:w="85" w:type="dxa"/>
              <w:right w:w="110" w:type="dxa"/>
            </w:tcMar>
            <w:vAlign w:val="center"/>
          </w:tcPr>
          <w:p w14:paraId="02383953" w14:textId="77777777" w:rsidR="00EB0B6B" w:rsidRDefault="00000000">
            <w:pPr>
              <w:spacing w:after="0" w:line="252" w:lineRule="auto"/>
            </w:pPr>
            <w:r>
              <w:rPr>
                <w:rFonts w:eastAsia="Arial" w:cs="Arial"/>
                <w:b/>
                <w:color w:val="16324F"/>
                <w:sz w:val="20"/>
              </w:rPr>
              <w:t>SaaS 3.1</w:t>
            </w:r>
          </w:p>
        </w:tc>
        <w:tc>
          <w:tcPr>
            <w:tcW w:w="4392" w:type="dxa"/>
            <w:tcMar>
              <w:top w:w="85" w:type="dxa"/>
              <w:left w:w="110" w:type="dxa"/>
              <w:bottom w:w="85" w:type="dxa"/>
              <w:right w:w="110" w:type="dxa"/>
            </w:tcMar>
            <w:vAlign w:val="center"/>
          </w:tcPr>
          <w:p w14:paraId="41FBE5D1" w14:textId="77777777" w:rsidR="00EB0B6B" w:rsidRDefault="00000000">
            <w:pPr>
              <w:spacing w:after="0" w:line="252" w:lineRule="auto"/>
            </w:pPr>
            <w:r>
              <w:rPr>
                <w:rFonts w:eastAsia="Arial" w:cs="Arial"/>
                <w:sz w:val="20"/>
              </w:rPr>
              <w:t>AWS / Azure SaaS adopted 3.1 front-end numbering beginning October 2025; that renumbering did not itself change TM1 Database.</w:t>
            </w:r>
          </w:p>
        </w:tc>
        <w:tc>
          <w:tcPr>
            <w:tcW w:w="3370" w:type="dxa"/>
            <w:tcMar>
              <w:top w:w="85" w:type="dxa"/>
              <w:left w:w="110" w:type="dxa"/>
              <w:bottom w:w="85" w:type="dxa"/>
              <w:right w:w="110" w:type="dxa"/>
            </w:tcMar>
            <w:vAlign w:val="center"/>
          </w:tcPr>
          <w:p w14:paraId="77AC5366" w14:textId="77777777" w:rsidR="00EB0B6B" w:rsidRDefault="00000000">
            <w:pPr>
              <w:spacing w:after="0" w:line="252" w:lineRule="auto"/>
            </w:pPr>
            <w:r>
              <w:rPr>
                <w:rFonts w:eastAsia="Arial" w:cs="Arial"/>
                <w:sz w:val="20"/>
              </w:rPr>
              <w:t>Track Workspace, Excel and database versions separately.</w:t>
            </w:r>
          </w:p>
        </w:tc>
      </w:tr>
      <w:tr w:rsidR="00EB0B6B" w14:paraId="26396170" w14:textId="77777777">
        <w:trPr>
          <w:cantSplit/>
          <w:jc w:val="center"/>
        </w:trPr>
        <w:tc>
          <w:tcPr>
            <w:tcW w:w="1944" w:type="dxa"/>
            <w:tcMar>
              <w:top w:w="85" w:type="dxa"/>
              <w:left w:w="110" w:type="dxa"/>
              <w:bottom w:w="85" w:type="dxa"/>
              <w:right w:w="110" w:type="dxa"/>
            </w:tcMar>
            <w:vAlign w:val="center"/>
          </w:tcPr>
          <w:p w14:paraId="41F2DABB" w14:textId="77777777" w:rsidR="00EB0B6B" w:rsidRDefault="00000000">
            <w:pPr>
              <w:spacing w:after="0" w:line="252" w:lineRule="auto"/>
            </w:pPr>
            <w:r>
              <w:rPr>
                <w:rFonts w:eastAsia="Arial" w:cs="Arial"/>
                <w:b/>
                <w:color w:val="16324F"/>
                <w:sz w:val="20"/>
              </w:rPr>
              <w:t>Local 3.1.11 preview</w:t>
            </w:r>
          </w:p>
        </w:tc>
        <w:tc>
          <w:tcPr>
            <w:tcW w:w="4392" w:type="dxa"/>
            <w:tcMar>
              <w:top w:w="85" w:type="dxa"/>
              <w:left w:w="110" w:type="dxa"/>
              <w:bottom w:w="85" w:type="dxa"/>
              <w:right w:w="110" w:type="dxa"/>
            </w:tcMar>
            <w:vAlign w:val="center"/>
          </w:tcPr>
          <w:p w14:paraId="1CBDFE85" w14:textId="77777777" w:rsidR="00EB0B6B" w:rsidRDefault="00000000">
            <w:pPr>
              <w:spacing w:after="0" w:line="252" w:lineRule="auto"/>
            </w:pPr>
            <w:r>
              <w:rPr>
                <w:rFonts w:eastAsia="Arial" w:cs="Arial"/>
                <w:sz w:val="20"/>
              </w:rPr>
              <w:t>IBM labels it a technical preview without official product support; it requires TM1 12.6.4 and Workspace 3.1.11.</w:t>
            </w:r>
          </w:p>
        </w:tc>
        <w:tc>
          <w:tcPr>
            <w:tcW w:w="3370" w:type="dxa"/>
            <w:tcMar>
              <w:top w:w="85" w:type="dxa"/>
              <w:left w:w="110" w:type="dxa"/>
              <w:bottom w:w="85" w:type="dxa"/>
              <w:right w:w="110" w:type="dxa"/>
            </w:tcMar>
            <w:vAlign w:val="center"/>
          </w:tcPr>
          <w:p w14:paraId="3FD9EBD7" w14:textId="77777777" w:rsidR="00EB0B6B" w:rsidRDefault="00000000">
            <w:pPr>
              <w:spacing w:after="0" w:line="252" w:lineRule="auto"/>
            </w:pPr>
            <w:r>
              <w:rPr>
                <w:rFonts w:eastAsia="Arial" w:cs="Arial"/>
                <w:sz w:val="20"/>
              </w:rPr>
              <w:t>Evaluation only unless IBM subsequently publishes production support for the chosen release.</w:t>
            </w:r>
          </w:p>
        </w:tc>
      </w:tr>
    </w:tbl>
    <w:p w14:paraId="025BC05C" w14:textId="77777777" w:rsidR="00EB0B6B" w:rsidRDefault="00EB0B6B">
      <w:pPr>
        <w:spacing w:after="0" w:line="120" w:lineRule="auto"/>
      </w:pPr>
    </w:p>
    <w:p w14:paraId="14EF4584" w14:textId="77777777" w:rsidR="00EB0B6B" w:rsidRDefault="00000000">
      <w:r>
        <w:rPr>
          <w:rFonts w:eastAsia="Arial" w:cs="Arial"/>
        </w:rPr>
        <w:t>Sources: original documentation, current Local download notices, and IBM product-management version announcements.</w:t>
      </w:r>
      <w:r>
        <w:rPr>
          <w:rFonts w:eastAsia="Arial" w:cs="Arial"/>
          <w:color w:val="596C7B"/>
          <w:sz w:val="18"/>
        </w:rPr>
        <w:t xml:space="preserve">  </w:t>
      </w:r>
      <w:hyperlink w:anchor="ref_02" w:history="1">
        <w:r>
          <w:rPr>
            <w:color w:val="145EA8"/>
            <w:sz w:val="18"/>
            <w:szCs w:val="18"/>
          </w:rPr>
          <w:t>[R02]</w:t>
        </w:r>
      </w:hyperlink>
      <w:r>
        <w:rPr>
          <w:rFonts w:eastAsia="Arial" w:cs="Arial"/>
          <w:color w:val="596C7B"/>
          <w:sz w:val="18"/>
        </w:rPr>
        <w:t xml:space="preserve"> </w:t>
      </w:r>
      <w:hyperlink w:anchor="ref_17" w:history="1">
        <w:r>
          <w:rPr>
            <w:color w:val="145EA8"/>
            <w:sz w:val="18"/>
            <w:szCs w:val="18"/>
          </w:rPr>
          <w:t>[R17]</w:t>
        </w:r>
      </w:hyperlink>
      <w:r>
        <w:rPr>
          <w:rFonts w:eastAsia="Arial" w:cs="Arial"/>
          <w:color w:val="596C7B"/>
          <w:sz w:val="18"/>
        </w:rPr>
        <w:t xml:space="preserve"> </w:t>
      </w:r>
      <w:hyperlink w:anchor="ref_73" w:history="1">
        <w:r>
          <w:rPr>
            <w:color w:val="145EA8"/>
            <w:sz w:val="18"/>
            <w:szCs w:val="18"/>
          </w:rPr>
          <w:t>[R73]</w:t>
        </w:r>
      </w:hyperlink>
      <w:r>
        <w:rPr>
          <w:rFonts w:eastAsia="Arial" w:cs="Arial"/>
          <w:color w:val="596C7B"/>
          <w:sz w:val="18"/>
        </w:rPr>
        <w:t xml:space="preserve"> </w:t>
      </w:r>
      <w:hyperlink w:anchor="ref_74" w:history="1">
        <w:r>
          <w:rPr>
            <w:color w:val="145EA8"/>
            <w:sz w:val="18"/>
            <w:szCs w:val="18"/>
          </w:rPr>
          <w:t>[R74]</w:t>
        </w:r>
      </w:hyperlink>
      <w:r>
        <w:rPr>
          <w:rFonts w:eastAsia="Arial" w:cs="Arial"/>
          <w:color w:val="596C7B"/>
          <w:sz w:val="18"/>
        </w:rPr>
        <w:t xml:space="preserve"> </w:t>
      </w:r>
      <w:hyperlink w:anchor="ref_18" w:history="1">
        <w:r>
          <w:rPr>
            <w:color w:val="145EA8"/>
            <w:sz w:val="18"/>
            <w:szCs w:val="18"/>
          </w:rPr>
          <w:t>[R18]</w:t>
        </w:r>
      </w:hyperlink>
    </w:p>
    <w:p w14:paraId="3A4AA65B" w14:textId="77777777" w:rsidR="00EB0B6B" w:rsidRDefault="00000000">
      <w:pPr>
        <w:pStyle w:val="Heading2"/>
      </w:pPr>
      <w:r>
        <w:rPr>
          <w:rFonts w:ascii="Arial" w:eastAsia="Arial" w:hAnsi="Arial" w:cs="Arial"/>
        </w:rPr>
        <w:t>How to read this guide</w:t>
      </w:r>
    </w:p>
    <w:p w14:paraId="5CDCD3E3" w14:textId="77777777" w:rsidR="00EB0B6B" w:rsidRDefault="00000000">
      <w:r>
        <w:rPr>
          <w:rFonts w:eastAsia="Arial" w:cs="Arial"/>
        </w:rPr>
        <w:t xml:space="preserve">Numbered citations such as </w:t>
      </w:r>
      <w:hyperlink w:anchor="ref_17" w:history="1">
        <w:r>
          <w:rPr>
            <w:color w:val="145EA8"/>
            <w:sz w:val="21"/>
            <w:szCs w:val="21"/>
          </w:rPr>
          <w:t>[R17]</w:t>
        </w:r>
      </w:hyperlink>
      <w:r>
        <w:rPr>
          <w:rFonts w:eastAsia="Arial" w:cs="Arial"/>
        </w:rPr>
        <w:t xml:space="preserve"> point to the reference catalog. IBM product facts and version-specific instructions are cited. Deployment checklists, acceptance criteria and sample designs are practical recommendations, not additional IBM product guarantees. Commands marked illustrative require adaptation and testing.</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34587A6D" w14:textId="77777777">
        <w:trPr>
          <w:cantSplit/>
          <w:jc w:val="center"/>
        </w:trPr>
        <w:tc>
          <w:tcPr>
            <w:tcW w:w="9706" w:type="dxa"/>
            <w:shd w:val="clear" w:color="auto" w:fill="EAF5F2"/>
            <w:tcMar>
              <w:top w:w="115" w:type="dxa"/>
              <w:left w:w="150" w:type="dxa"/>
              <w:bottom w:w="115" w:type="dxa"/>
              <w:right w:w="150" w:type="dxa"/>
            </w:tcMar>
          </w:tcPr>
          <w:p w14:paraId="1EB99BB6" w14:textId="77777777" w:rsidR="00EB0B6B" w:rsidRDefault="00000000">
            <w:pPr>
              <w:keepNext/>
              <w:spacing w:after="80"/>
            </w:pPr>
            <w:r>
              <w:rPr>
                <w:rFonts w:eastAsia="Arial" w:cs="Arial"/>
                <w:b/>
                <w:color w:val="007D79"/>
                <w:sz w:val="19"/>
              </w:rPr>
              <w:t>ACCESS AND SCOPE</w:t>
            </w:r>
          </w:p>
          <w:p w14:paraId="51974C57" w14:textId="77777777" w:rsidR="00EB0B6B" w:rsidRDefault="00000000">
            <w:pPr>
              <w:spacing w:after="0" w:line="254" w:lineRule="auto"/>
            </w:pPr>
            <w:r>
              <w:rPr>
                <w:rFonts w:eastAsia="Arial" w:cs="Arial"/>
                <w:sz w:val="20"/>
              </w:rPr>
              <w:t>Some IBM Docs, manual downloads and My Support pages restrict automated retrieval or require a browser / entitlement. These are labeled in the catalog; no unavailable contents have been inferred. This guide is a cross-functional reference, not a reproduction of every IBM manual or a compatibility certification.</w:t>
            </w:r>
          </w:p>
        </w:tc>
      </w:tr>
    </w:tbl>
    <w:p w14:paraId="415D72C0" w14:textId="77777777" w:rsidR="00EB0B6B" w:rsidRDefault="00EB0B6B">
      <w:pPr>
        <w:spacing w:after="0" w:line="120" w:lineRule="auto"/>
      </w:pPr>
    </w:p>
    <w:p w14:paraId="390810B5" w14:textId="77777777" w:rsidR="00EB0B6B" w:rsidRDefault="00000000">
      <w:pPr>
        <w:pStyle w:val="Heading1"/>
        <w:pageBreakBefore/>
      </w:pPr>
      <w:bookmarkStart w:id="3" w:name="chapter_03"/>
      <w:r>
        <w:rPr>
          <w:rFonts w:ascii="Arial" w:eastAsia="Arial" w:hAnsi="Arial" w:cs="Arial"/>
        </w:rPr>
        <w:t>3. Architecture and component responsibilities</w:t>
      </w:r>
      <w:bookmarkEnd w:id="3"/>
    </w:p>
    <w:p w14:paraId="0575CB3F" w14:textId="77777777" w:rsidR="00EB0B6B" w:rsidRDefault="00000000">
      <w:pPr>
        <w:keepNext/>
        <w:spacing w:after="240"/>
      </w:pPr>
      <w:r>
        <w:rPr>
          <w:rFonts w:eastAsia="Arial" w:cs="Arial"/>
          <w:color w:val="007D79"/>
          <w:sz w:val="20"/>
        </w:rPr>
        <w:t>Separate the calculation engine, user experiences and administration plane.</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276"/>
        <w:gridCol w:w="3744"/>
        <w:gridCol w:w="3686"/>
      </w:tblGrid>
      <w:tr w:rsidR="00EB0B6B" w14:paraId="4A6C8E0F" w14:textId="77777777">
        <w:trPr>
          <w:cantSplit/>
          <w:tblHeader/>
          <w:jc w:val="center"/>
        </w:trPr>
        <w:tc>
          <w:tcPr>
            <w:tcW w:w="2275" w:type="dxa"/>
            <w:shd w:val="clear" w:color="auto" w:fill="16324F"/>
            <w:tcMar>
              <w:top w:w="100" w:type="dxa"/>
              <w:left w:w="110" w:type="dxa"/>
              <w:bottom w:w="100" w:type="dxa"/>
              <w:right w:w="110" w:type="dxa"/>
            </w:tcMar>
            <w:vAlign w:val="center"/>
          </w:tcPr>
          <w:p w14:paraId="1302DB0C" w14:textId="77777777" w:rsidR="00EB0B6B" w:rsidRDefault="00000000">
            <w:pPr>
              <w:spacing w:after="0" w:line="252" w:lineRule="auto"/>
            </w:pPr>
            <w:r>
              <w:rPr>
                <w:rFonts w:eastAsia="Arial" w:cs="Arial"/>
                <w:b/>
                <w:color w:val="FFFFFF"/>
                <w:sz w:val="20"/>
              </w:rPr>
              <w:t>Component</w:t>
            </w:r>
          </w:p>
        </w:tc>
        <w:tc>
          <w:tcPr>
            <w:tcW w:w="3744" w:type="dxa"/>
            <w:shd w:val="clear" w:color="auto" w:fill="16324F"/>
            <w:tcMar>
              <w:top w:w="100" w:type="dxa"/>
              <w:left w:w="110" w:type="dxa"/>
              <w:bottom w:w="100" w:type="dxa"/>
              <w:right w:w="110" w:type="dxa"/>
            </w:tcMar>
            <w:vAlign w:val="center"/>
          </w:tcPr>
          <w:p w14:paraId="6F9A26CF" w14:textId="77777777" w:rsidR="00EB0B6B" w:rsidRDefault="00000000">
            <w:pPr>
              <w:spacing w:after="0" w:line="252" w:lineRule="auto"/>
            </w:pPr>
            <w:r>
              <w:rPr>
                <w:rFonts w:eastAsia="Arial" w:cs="Arial"/>
                <w:b/>
                <w:color w:val="FFFFFF"/>
                <w:sz w:val="20"/>
              </w:rPr>
              <w:t>Responsibility</w:t>
            </w:r>
          </w:p>
        </w:tc>
        <w:tc>
          <w:tcPr>
            <w:tcW w:w="3686" w:type="dxa"/>
            <w:shd w:val="clear" w:color="auto" w:fill="16324F"/>
            <w:tcMar>
              <w:top w:w="100" w:type="dxa"/>
              <w:left w:w="110" w:type="dxa"/>
              <w:bottom w:w="100" w:type="dxa"/>
              <w:right w:w="110" w:type="dxa"/>
            </w:tcMar>
            <w:vAlign w:val="center"/>
          </w:tcPr>
          <w:p w14:paraId="07CFD009" w14:textId="77777777" w:rsidR="00EB0B6B" w:rsidRDefault="00000000">
            <w:pPr>
              <w:spacing w:after="0" w:line="252" w:lineRule="auto"/>
            </w:pPr>
            <w:r>
              <w:rPr>
                <w:rFonts w:eastAsia="Arial" w:cs="Arial"/>
                <w:b/>
                <w:color w:val="FFFFFF"/>
                <w:sz w:val="20"/>
              </w:rPr>
              <w:t>Design consideration</w:t>
            </w:r>
          </w:p>
        </w:tc>
      </w:tr>
      <w:tr w:rsidR="00EB0B6B" w14:paraId="624C3B4E" w14:textId="77777777">
        <w:trPr>
          <w:cantSplit/>
          <w:jc w:val="center"/>
        </w:trPr>
        <w:tc>
          <w:tcPr>
            <w:tcW w:w="2275" w:type="dxa"/>
            <w:tcMar>
              <w:top w:w="85" w:type="dxa"/>
              <w:left w:w="110" w:type="dxa"/>
              <w:bottom w:w="85" w:type="dxa"/>
              <w:right w:w="110" w:type="dxa"/>
            </w:tcMar>
            <w:vAlign w:val="center"/>
          </w:tcPr>
          <w:p w14:paraId="4192B668" w14:textId="77777777" w:rsidR="00EB0B6B" w:rsidRDefault="00000000">
            <w:pPr>
              <w:spacing w:after="0" w:line="252" w:lineRule="auto"/>
            </w:pPr>
            <w:r>
              <w:rPr>
                <w:rFonts w:eastAsia="Arial" w:cs="Arial"/>
                <w:b/>
                <w:color w:val="16324F"/>
                <w:sz w:val="20"/>
              </w:rPr>
              <w:t>TM1 database / server</w:t>
            </w:r>
          </w:p>
        </w:tc>
        <w:tc>
          <w:tcPr>
            <w:tcW w:w="3744" w:type="dxa"/>
            <w:tcMar>
              <w:top w:w="85" w:type="dxa"/>
              <w:left w:w="110" w:type="dxa"/>
              <w:bottom w:w="85" w:type="dxa"/>
              <w:right w:w="110" w:type="dxa"/>
            </w:tcMar>
            <w:vAlign w:val="center"/>
          </w:tcPr>
          <w:p w14:paraId="346C8F45" w14:textId="77777777" w:rsidR="00EB0B6B" w:rsidRDefault="00000000">
            <w:pPr>
              <w:spacing w:after="0" w:line="252" w:lineRule="auto"/>
            </w:pPr>
            <w:r>
              <w:rPr>
                <w:rFonts w:eastAsia="Arial" w:cs="Arial"/>
                <w:sz w:val="20"/>
              </w:rPr>
              <w:t>Multidimensional storage, calculations, write-back and model security.</w:t>
            </w:r>
          </w:p>
        </w:tc>
        <w:tc>
          <w:tcPr>
            <w:tcW w:w="3686" w:type="dxa"/>
            <w:tcMar>
              <w:top w:w="85" w:type="dxa"/>
              <w:left w:w="110" w:type="dxa"/>
              <w:bottom w:w="85" w:type="dxa"/>
              <w:right w:w="110" w:type="dxa"/>
            </w:tcMar>
            <w:vAlign w:val="center"/>
          </w:tcPr>
          <w:p w14:paraId="43C11B97" w14:textId="77777777" w:rsidR="00EB0B6B" w:rsidRDefault="00000000">
            <w:pPr>
              <w:spacing w:after="0" w:line="252" w:lineRule="auto"/>
            </w:pPr>
            <w:r>
              <w:rPr>
                <w:rFonts w:eastAsia="Arial" w:cs="Arial"/>
                <w:sz w:val="20"/>
              </w:rPr>
              <w:t>Size and protect the data layer independently from the web interface.</w:t>
            </w:r>
          </w:p>
        </w:tc>
      </w:tr>
      <w:tr w:rsidR="00EB0B6B" w14:paraId="58E1902B" w14:textId="77777777">
        <w:trPr>
          <w:cantSplit/>
          <w:jc w:val="center"/>
        </w:trPr>
        <w:tc>
          <w:tcPr>
            <w:tcW w:w="2275" w:type="dxa"/>
            <w:tcMar>
              <w:top w:w="85" w:type="dxa"/>
              <w:left w:w="110" w:type="dxa"/>
              <w:bottom w:w="85" w:type="dxa"/>
              <w:right w:w="110" w:type="dxa"/>
            </w:tcMar>
            <w:vAlign w:val="center"/>
          </w:tcPr>
          <w:p w14:paraId="218C1C2B" w14:textId="77777777" w:rsidR="00EB0B6B" w:rsidRDefault="00000000">
            <w:pPr>
              <w:spacing w:after="0" w:line="252" w:lineRule="auto"/>
            </w:pPr>
            <w:r>
              <w:rPr>
                <w:rFonts w:eastAsia="Arial" w:cs="Arial"/>
                <w:b/>
                <w:color w:val="16324F"/>
                <w:sz w:val="20"/>
              </w:rPr>
              <w:t>TM1 Admin Server</w:t>
            </w:r>
          </w:p>
        </w:tc>
        <w:tc>
          <w:tcPr>
            <w:tcW w:w="3744" w:type="dxa"/>
            <w:tcMar>
              <w:top w:w="85" w:type="dxa"/>
              <w:left w:w="110" w:type="dxa"/>
              <w:bottom w:w="85" w:type="dxa"/>
              <w:right w:w="110" w:type="dxa"/>
            </w:tcMar>
            <w:vAlign w:val="center"/>
          </w:tcPr>
          <w:p w14:paraId="172168A1" w14:textId="77777777" w:rsidR="00EB0B6B" w:rsidRDefault="00000000">
            <w:pPr>
              <w:spacing w:after="0" w:line="252" w:lineRule="auto"/>
            </w:pPr>
            <w:r>
              <w:rPr>
                <w:rFonts w:eastAsia="Arial" w:cs="Arial"/>
                <w:sz w:val="20"/>
              </w:rPr>
              <w:t>Database discovery for applicable TM1 Local architectures.</w:t>
            </w:r>
          </w:p>
        </w:tc>
        <w:tc>
          <w:tcPr>
            <w:tcW w:w="3686" w:type="dxa"/>
            <w:tcMar>
              <w:top w:w="85" w:type="dxa"/>
              <w:left w:w="110" w:type="dxa"/>
              <w:bottom w:w="85" w:type="dxa"/>
              <w:right w:w="110" w:type="dxa"/>
            </w:tcMar>
            <w:vAlign w:val="center"/>
          </w:tcPr>
          <w:p w14:paraId="77B79524" w14:textId="77777777" w:rsidR="00EB0B6B" w:rsidRDefault="00000000">
            <w:pPr>
              <w:spacing w:after="0" w:line="252" w:lineRule="auto"/>
            </w:pPr>
            <w:r>
              <w:rPr>
                <w:rFonts w:eastAsia="Arial" w:cs="Arial"/>
                <w:sz w:val="20"/>
              </w:rPr>
              <w:t>Record discovery endpoints separately from database and REST ports.</w:t>
            </w:r>
          </w:p>
        </w:tc>
      </w:tr>
      <w:tr w:rsidR="00EB0B6B" w14:paraId="08B54465" w14:textId="77777777">
        <w:trPr>
          <w:cantSplit/>
          <w:jc w:val="center"/>
        </w:trPr>
        <w:tc>
          <w:tcPr>
            <w:tcW w:w="2275" w:type="dxa"/>
            <w:tcMar>
              <w:top w:w="85" w:type="dxa"/>
              <w:left w:w="110" w:type="dxa"/>
              <w:bottom w:w="85" w:type="dxa"/>
              <w:right w:w="110" w:type="dxa"/>
            </w:tcMar>
            <w:vAlign w:val="center"/>
          </w:tcPr>
          <w:p w14:paraId="6064B8D5" w14:textId="77777777" w:rsidR="00EB0B6B" w:rsidRDefault="00000000">
            <w:pPr>
              <w:spacing w:after="0" w:line="252" w:lineRule="auto"/>
            </w:pPr>
            <w:r>
              <w:rPr>
                <w:rFonts w:eastAsia="Arial" w:cs="Arial"/>
                <w:b/>
                <w:color w:val="16324F"/>
                <w:sz w:val="20"/>
              </w:rPr>
              <w:t>Planning Analytics Workspace</w:t>
            </w:r>
          </w:p>
        </w:tc>
        <w:tc>
          <w:tcPr>
            <w:tcW w:w="3744" w:type="dxa"/>
            <w:tcMar>
              <w:top w:w="85" w:type="dxa"/>
              <w:left w:w="110" w:type="dxa"/>
              <w:bottom w:w="85" w:type="dxa"/>
              <w:right w:w="110" w:type="dxa"/>
            </w:tcMar>
            <w:vAlign w:val="center"/>
          </w:tcPr>
          <w:p w14:paraId="13139CD9" w14:textId="77777777" w:rsidR="00EB0B6B" w:rsidRDefault="00000000">
            <w:pPr>
              <w:spacing w:after="0" w:line="252" w:lineRule="auto"/>
            </w:pPr>
            <w:r>
              <w:rPr>
                <w:rFonts w:eastAsia="Arial" w:cs="Arial"/>
                <w:sz w:val="20"/>
              </w:rPr>
              <w:t>Web books, visualizations, modeling, applications and plans.</w:t>
            </w:r>
          </w:p>
        </w:tc>
        <w:tc>
          <w:tcPr>
            <w:tcW w:w="3686" w:type="dxa"/>
            <w:tcMar>
              <w:top w:w="85" w:type="dxa"/>
              <w:left w:w="110" w:type="dxa"/>
              <w:bottom w:w="85" w:type="dxa"/>
              <w:right w:w="110" w:type="dxa"/>
            </w:tcMar>
            <w:vAlign w:val="center"/>
          </w:tcPr>
          <w:p w14:paraId="7274DFA9" w14:textId="77777777" w:rsidR="00EB0B6B" w:rsidRDefault="00000000">
            <w:pPr>
              <w:spacing w:after="0" w:line="252" w:lineRule="auto"/>
            </w:pPr>
            <w:r>
              <w:rPr>
                <w:rFonts w:eastAsia="Arial" w:cs="Arial"/>
                <w:sz w:val="20"/>
              </w:rPr>
              <w:t>Manage Workspace content and its backup separately from TM1 database data.</w:t>
            </w:r>
          </w:p>
        </w:tc>
      </w:tr>
      <w:tr w:rsidR="00EB0B6B" w14:paraId="5F2B2204" w14:textId="77777777">
        <w:trPr>
          <w:cantSplit/>
          <w:jc w:val="center"/>
        </w:trPr>
        <w:tc>
          <w:tcPr>
            <w:tcW w:w="2275" w:type="dxa"/>
            <w:tcMar>
              <w:top w:w="85" w:type="dxa"/>
              <w:left w:w="110" w:type="dxa"/>
              <w:bottom w:w="85" w:type="dxa"/>
              <w:right w:w="110" w:type="dxa"/>
            </w:tcMar>
            <w:vAlign w:val="center"/>
          </w:tcPr>
          <w:p w14:paraId="2D0D7CAE" w14:textId="77777777" w:rsidR="00EB0B6B" w:rsidRDefault="00000000">
            <w:pPr>
              <w:spacing w:after="0" w:line="252" w:lineRule="auto"/>
            </w:pPr>
            <w:r>
              <w:rPr>
                <w:rFonts w:eastAsia="Arial" w:cs="Arial"/>
                <w:b/>
                <w:color w:val="16324F"/>
                <w:sz w:val="20"/>
              </w:rPr>
              <w:t>Planning Analytics for Excel (PAfE)</w:t>
            </w:r>
          </w:p>
        </w:tc>
        <w:tc>
          <w:tcPr>
            <w:tcW w:w="3744" w:type="dxa"/>
            <w:tcMar>
              <w:top w:w="85" w:type="dxa"/>
              <w:left w:w="110" w:type="dxa"/>
              <w:bottom w:w="85" w:type="dxa"/>
              <w:right w:w="110" w:type="dxa"/>
            </w:tcMar>
            <w:vAlign w:val="center"/>
          </w:tcPr>
          <w:p w14:paraId="7974FC92" w14:textId="77777777" w:rsidR="00EB0B6B" w:rsidRDefault="00000000">
            <w:pPr>
              <w:spacing w:after="0" w:line="252" w:lineRule="auto"/>
            </w:pPr>
            <w:r>
              <w:rPr>
                <w:rFonts w:eastAsia="Arial" w:cs="Arial"/>
                <w:sz w:val="20"/>
              </w:rPr>
              <w:t>Excel-based planning and reporting against governed models.</w:t>
            </w:r>
          </w:p>
        </w:tc>
        <w:tc>
          <w:tcPr>
            <w:tcW w:w="3686" w:type="dxa"/>
            <w:tcMar>
              <w:top w:w="85" w:type="dxa"/>
              <w:left w:w="110" w:type="dxa"/>
              <w:bottom w:w="85" w:type="dxa"/>
              <w:right w:w="110" w:type="dxa"/>
            </w:tcMar>
            <w:vAlign w:val="center"/>
          </w:tcPr>
          <w:p w14:paraId="180A5352" w14:textId="77777777" w:rsidR="00EB0B6B" w:rsidRDefault="00000000">
            <w:pPr>
              <w:spacing w:after="0" w:line="252" w:lineRule="auto"/>
            </w:pPr>
            <w:r>
              <w:rPr>
                <w:rFonts w:eastAsia="Arial" w:cs="Arial"/>
                <w:sz w:val="20"/>
              </w:rPr>
              <w:t>Validate Office, add-in, Workspace and Spreadsheet Services compatibility.</w:t>
            </w:r>
          </w:p>
        </w:tc>
      </w:tr>
      <w:tr w:rsidR="00EB0B6B" w14:paraId="71CB0924" w14:textId="77777777">
        <w:trPr>
          <w:cantSplit/>
          <w:jc w:val="center"/>
        </w:trPr>
        <w:tc>
          <w:tcPr>
            <w:tcW w:w="2275" w:type="dxa"/>
            <w:tcMar>
              <w:top w:w="85" w:type="dxa"/>
              <w:left w:w="110" w:type="dxa"/>
              <w:bottom w:w="85" w:type="dxa"/>
              <w:right w:w="110" w:type="dxa"/>
            </w:tcMar>
            <w:vAlign w:val="center"/>
          </w:tcPr>
          <w:p w14:paraId="14C4DA42" w14:textId="77777777" w:rsidR="00EB0B6B" w:rsidRDefault="00000000">
            <w:pPr>
              <w:spacing w:after="0" w:line="252" w:lineRule="auto"/>
            </w:pPr>
            <w:r>
              <w:rPr>
                <w:rFonts w:eastAsia="Arial" w:cs="Arial"/>
                <w:b/>
                <w:color w:val="16324F"/>
                <w:sz w:val="20"/>
              </w:rPr>
              <w:t>Spreadsheet Services / TM1 Web</w:t>
            </w:r>
          </w:p>
        </w:tc>
        <w:tc>
          <w:tcPr>
            <w:tcW w:w="3744" w:type="dxa"/>
            <w:tcMar>
              <w:top w:w="85" w:type="dxa"/>
              <w:left w:w="110" w:type="dxa"/>
              <w:bottom w:w="85" w:type="dxa"/>
              <w:right w:w="110" w:type="dxa"/>
            </w:tcMar>
            <w:vAlign w:val="center"/>
          </w:tcPr>
          <w:p w14:paraId="5EF5D18B" w14:textId="77777777" w:rsidR="00EB0B6B" w:rsidRDefault="00000000">
            <w:pPr>
              <w:spacing w:after="0" w:line="252" w:lineRule="auto"/>
            </w:pPr>
            <w:r>
              <w:rPr>
                <w:rFonts w:eastAsia="Arial" w:cs="Arial"/>
                <w:sz w:val="20"/>
              </w:rPr>
              <w:t>Websheet and related spreadsheet-service capabilities.</w:t>
            </w:r>
          </w:p>
        </w:tc>
        <w:tc>
          <w:tcPr>
            <w:tcW w:w="3686" w:type="dxa"/>
            <w:tcMar>
              <w:top w:w="85" w:type="dxa"/>
              <w:left w:w="110" w:type="dxa"/>
              <w:bottom w:w="85" w:type="dxa"/>
              <w:right w:w="110" w:type="dxa"/>
            </w:tcMar>
            <w:vAlign w:val="center"/>
          </w:tcPr>
          <w:p w14:paraId="1774AAD9" w14:textId="77777777" w:rsidR="00EB0B6B" w:rsidRDefault="00000000">
            <w:pPr>
              <w:spacing w:after="0" w:line="252" w:lineRule="auto"/>
            </w:pPr>
            <w:r>
              <w:rPr>
                <w:rFonts w:eastAsia="Arial" w:cs="Arial"/>
                <w:sz w:val="20"/>
              </w:rPr>
              <w:t>Separate installation and lifecycle; not the obsolete TM1 Applications component.</w:t>
            </w:r>
          </w:p>
        </w:tc>
      </w:tr>
      <w:tr w:rsidR="00EB0B6B" w14:paraId="2B870542" w14:textId="77777777">
        <w:trPr>
          <w:cantSplit/>
          <w:jc w:val="center"/>
        </w:trPr>
        <w:tc>
          <w:tcPr>
            <w:tcW w:w="2275" w:type="dxa"/>
            <w:tcMar>
              <w:top w:w="85" w:type="dxa"/>
              <w:left w:w="110" w:type="dxa"/>
              <w:bottom w:w="85" w:type="dxa"/>
              <w:right w:w="110" w:type="dxa"/>
            </w:tcMar>
            <w:vAlign w:val="center"/>
          </w:tcPr>
          <w:p w14:paraId="152AA0C4" w14:textId="77777777" w:rsidR="00EB0B6B" w:rsidRDefault="00000000">
            <w:pPr>
              <w:spacing w:after="0" w:line="252" w:lineRule="auto"/>
            </w:pPr>
            <w:r>
              <w:rPr>
                <w:rFonts w:eastAsia="Arial" w:cs="Arial"/>
                <w:b/>
                <w:color w:val="16324F"/>
                <w:sz w:val="20"/>
              </w:rPr>
              <w:t>Planning Analytics Administration</w:t>
            </w:r>
          </w:p>
        </w:tc>
        <w:tc>
          <w:tcPr>
            <w:tcW w:w="3744" w:type="dxa"/>
            <w:tcMar>
              <w:top w:w="85" w:type="dxa"/>
              <w:left w:w="110" w:type="dxa"/>
              <w:bottom w:w="85" w:type="dxa"/>
              <w:right w:w="110" w:type="dxa"/>
            </w:tcMar>
            <w:vAlign w:val="center"/>
          </w:tcPr>
          <w:p w14:paraId="1F664E41" w14:textId="77777777" w:rsidR="00EB0B6B" w:rsidRDefault="00000000">
            <w:pPr>
              <w:spacing w:after="0" w:line="252" w:lineRule="auto"/>
            </w:pPr>
            <w:r>
              <w:rPr>
                <w:rFonts w:eastAsia="Arial" w:cs="Arial"/>
                <w:sz w:val="20"/>
              </w:rPr>
              <w:t>Monitoring and administrative user interface.</w:t>
            </w:r>
          </w:p>
        </w:tc>
        <w:tc>
          <w:tcPr>
            <w:tcW w:w="3686" w:type="dxa"/>
            <w:tcMar>
              <w:top w:w="85" w:type="dxa"/>
              <w:left w:w="110" w:type="dxa"/>
              <w:bottom w:w="85" w:type="dxa"/>
              <w:right w:w="110" w:type="dxa"/>
            </w:tcMar>
            <w:vAlign w:val="center"/>
          </w:tcPr>
          <w:p w14:paraId="32D4DF4B" w14:textId="77777777" w:rsidR="00EB0B6B" w:rsidRDefault="00000000">
            <w:pPr>
              <w:spacing w:after="0" w:line="252" w:lineRule="auto"/>
            </w:pPr>
            <w:r>
              <w:rPr>
                <w:rFonts w:eastAsia="Arial" w:cs="Arial"/>
                <w:sz w:val="20"/>
              </w:rPr>
              <w:t>Local database administration requires the corresponding Administration agent.</w:t>
            </w:r>
          </w:p>
        </w:tc>
      </w:tr>
      <w:tr w:rsidR="00EB0B6B" w14:paraId="303873F3" w14:textId="77777777">
        <w:trPr>
          <w:cantSplit/>
          <w:jc w:val="center"/>
        </w:trPr>
        <w:tc>
          <w:tcPr>
            <w:tcW w:w="2275" w:type="dxa"/>
            <w:tcMar>
              <w:top w:w="85" w:type="dxa"/>
              <w:left w:w="110" w:type="dxa"/>
              <w:bottom w:w="85" w:type="dxa"/>
              <w:right w:w="110" w:type="dxa"/>
            </w:tcMar>
            <w:vAlign w:val="center"/>
          </w:tcPr>
          <w:p w14:paraId="75E1739D" w14:textId="77777777" w:rsidR="00EB0B6B" w:rsidRDefault="00000000">
            <w:pPr>
              <w:spacing w:after="0" w:line="252" w:lineRule="auto"/>
            </w:pPr>
            <w:r>
              <w:rPr>
                <w:rFonts w:eastAsia="Arial" w:cs="Arial"/>
                <w:b/>
                <w:color w:val="16324F"/>
                <w:sz w:val="20"/>
              </w:rPr>
              <w:t>TI and REST APIs</w:t>
            </w:r>
          </w:p>
        </w:tc>
        <w:tc>
          <w:tcPr>
            <w:tcW w:w="3744" w:type="dxa"/>
            <w:tcMar>
              <w:top w:w="85" w:type="dxa"/>
              <w:left w:w="110" w:type="dxa"/>
              <w:bottom w:w="85" w:type="dxa"/>
              <w:right w:w="110" w:type="dxa"/>
            </w:tcMar>
            <w:vAlign w:val="center"/>
          </w:tcPr>
          <w:p w14:paraId="651D488A" w14:textId="77777777" w:rsidR="00EB0B6B" w:rsidRDefault="00000000">
            <w:pPr>
              <w:spacing w:after="0" w:line="252" w:lineRule="auto"/>
            </w:pPr>
            <w:r>
              <w:rPr>
                <w:rFonts w:eastAsia="Arial" w:cs="Arial"/>
                <w:sz w:val="20"/>
              </w:rPr>
              <w:t>Data processing, automation and application integration.</w:t>
            </w:r>
          </w:p>
        </w:tc>
        <w:tc>
          <w:tcPr>
            <w:tcW w:w="3686" w:type="dxa"/>
            <w:tcMar>
              <w:top w:w="85" w:type="dxa"/>
              <w:left w:w="110" w:type="dxa"/>
              <w:bottom w:w="85" w:type="dxa"/>
              <w:right w:w="110" w:type="dxa"/>
            </w:tcMar>
            <w:vAlign w:val="center"/>
          </w:tcPr>
          <w:p w14:paraId="2F74D5BD" w14:textId="77777777" w:rsidR="00EB0B6B" w:rsidRDefault="00000000">
            <w:pPr>
              <w:spacing w:after="0" w:line="252" w:lineRule="auto"/>
            </w:pPr>
            <w:r>
              <w:rPr>
                <w:rFonts w:eastAsia="Arial" w:cs="Arial"/>
                <w:sz w:val="20"/>
              </w:rPr>
              <w:t>Choose authentication and endpoints for the actual offering and database generation.</w:t>
            </w:r>
          </w:p>
        </w:tc>
      </w:tr>
    </w:tbl>
    <w:p w14:paraId="00C50547" w14:textId="77777777" w:rsidR="00EB0B6B" w:rsidRDefault="00EB0B6B">
      <w:pPr>
        <w:spacing w:after="0" w:line="120" w:lineRule="auto"/>
      </w:pPr>
    </w:p>
    <w:p w14:paraId="216819A9" w14:textId="77777777" w:rsidR="00EB0B6B" w:rsidRDefault="00000000">
      <w:r>
        <w:rPr>
          <w:rFonts w:eastAsia="Arial" w:cs="Arial"/>
        </w:rPr>
        <w:t>Component descriptions and boundaries are drawn from the installation index, TM1 overview, Workspace overview, Spreadsheet Services FAQ and Administration guidance.</w:t>
      </w:r>
      <w:r>
        <w:rPr>
          <w:rFonts w:eastAsia="Arial" w:cs="Arial"/>
          <w:color w:val="596C7B"/>
          <w:sz w:val="18"/>
        </w:rPr>
        <w:t xml:space="preserve">  </w:t>
      </w:r>
      <w:hyperlink w:anchor="ref_04" w:history="1">
        <w:r>
          <w:rPr>
            <w:color w:val="145EA8"/>
            <w:sz w:val="18"/>
            <w:szCs w:val="18"/>
          </w:rPr>
          <w:t>[R04]</w:t>
        </w:r>
      </w:hyperlink>
      <w:r>
        <w:rPr>
          <w:rFonts w:eastAsia="Arial" w:cs="Arial"/>
          <w:color w:val="596C7B"/>
          <w:sz w:val="18"/>
        </w:rPr>
        <w:t xml:space="preserve"> </w:t>
      </w:r>
      <w:hyperlink w:anchor="ref_81" w:history="1">
        <w:r>
          <w:rPr>
            <w:color w:val="145EA8"/>
            <w:sz w:val="18"/>
            <w:szCs w:val="18"/>
          </w:rPr>
          <w:t>[R81]</w:t>
        </w:r>
      </w:hyperlink>
      <w:r>
        <w:rPr>
          <w:rFonts w:eastAsia="Arial" w:cs="Arial"/>
          <w:color w:val="596C7B"/>
          <w:sz w:val="18"/>
        </w:rPr>
        <w:t xml:space="preserve"> </w:t>
      </w:r>
      <w:hyperlink w:anchor="ref_82" w:history="1">
        <w:r>
          <w:rPr>
            <w:color w:val="145EA8"/>
            <w:sz w:val="18"/>
            <w:szCs w:val="18"/>
          </w:rPr>
          <w:t>[R82]</w:t>
        </w:r>
      </w:hyperlink>
      <w:r>
        <w:rPr>
          <w:rFonts w:eastAsia="Arial" w:cs="Arial"/>
          <w:color w:val="596C7B"/>
          <w:sz w:val="18"/>
        </w:rPr>
        <w:t xml:space="preserve"> </w:t>
      </w:r>
      <w:hyperlink w:anchor="ref_29" w:history="1">
        <w:r>
          <w:rPr>
            <w:color w:val="145EA8"/>
            <w:sz w:val="18"/>
            <w:szCs w:val="18"/>
          </w:rPr>
          <w:t>[R29]</w:t>
        </w:r>
      </w:hyperlink>
      <w:r>
        <w:rPr>
          <w:rFonts w:eastAsia="Arial" w:cs="Arial"/>
          <w:color w:val="596C7B"/>
          <w:sz w:val="18"/>
        </w:rPr>
        <w:t xml:space="preserve"> </w:t>
      </w:r>
      <w:hyperlink w:anchor="ref_35" w:history="1">
        <w:r>
          <w:rPr>
            <w:color w:val="145EA8"/>
            <w:sz w:val="18"/>
            <w:szCs w:val="18"/>
          </w:rPr>
          <w:t>[R35]</w:t>
        </w:r>
      </w:hyperlink>
    </w:p>
    <w:p w14:paraId="31AD29F6" w14:textId="77777777" w:rsidR="00EB0B6B" w:rsidRDefault="00000000">
      <w:pPr>
        <w:pStyle w:val="Heading2"/>
      </w:pPr>
      <w:r>
        <w:rPr>
          <w:rFonts w:ascii="Arial" w:eastAsia="Arial" w:hAnsi="Arial" w:cs="Arial"/>
        </w:rPr>
        <w:t>Reference flow</w:t>
      </w:r>
    </w:p>
    <w:p w14:paraId="5B2F7EDF" w14:textId="77777777" w:rsidR="00EB0B6B" w:rsidRDefault="00000000">
      <w:r>
        <w:rPr>
          <w:rFonts w:eastAsia="Arial" w:cs="Arial"/>
        </w:rPr>
        <w:t>Source systems feed controlled integration processes. These populate TM1 dimensions and cubes. Workspace, Excel and websheets expose the approved model to users. Authentication establishes identity; model authorization controls data access. Monitoring, backup and change management span all of these layers.</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40A07930" w14:textId="77777777">
        <w:trPr>
          <w:cantSplit/>
          <w:jc w:val="center"/>
        </w:trPr>
        <w:tc>
          <w:tcPr>
            <w:tcW w:w="9706" w:type="dxa"/>
            <w:shd w:val="clear" w:color="auto" w:fill="EAF5F2"/>
            <w:tcMar>
              <w:top w:w="115" w:type="dxa"/>
              <w:left w:w="150" w:type="dxa"/>
              <w:bottom w:w="115" w:type="dxa"/>
              <w:right w:w="150" w:type="dxa"/>
            </w:tcMar>
          </w:tcPr>
          <w:p w14:paraId="4823118F" w14:textId="77777777" w:rsidR="00EB0B6B" w:rsidRDefault="00000000">
            <w:pPr>
              <w:keepNext/>
              <w:spacing w:after="80"/>
            </w:pPr>
            <w:r>
              <w:rPr>
                <w:rFonts w:eastAsia="Arial" w:cs="Arial"/>
                <w:b/>
                <w:color w:val="007D79"/>
                <w:sz w:val="19"/>
              </w:rPr>
              <w:t>NAMING DISTINCTION</w:t>
            </w:r>
          </w:p>
          <w:p w14:paraId="04656355" w14:textId="77777777" w:rsidR="00EB0B6B" w:rsidRDefault="00000000">
            <w:pPr>
              <w:spacing w:after="0" w:line="254" w:lineRule="auto"/>
            </w:pPr>
            <w:r>
              <w:rPr>
                <w:rFonts w:eastAsia="Arial" w:cs="Arial"/>
                <w:sz w:val="20"/>
              </w:rPr>
              <w:t>Planning Analytics Administration agent is a Local monitoring / management component. Planning Analytics Agent is an AI capability. Installing one does not install or entitle the other.</w:t>
            </w:r>
          </w:p>
        </w:tc>
      </w:tr>
    </w:tbl>
    <w:p w14:paraId="675600F3" w14:textId="77777777" w:rsidR="00EB0B6B" w:rsidRDefault="00EB0B6B">
      <w:pPr>
        <w:spacing w:after="0" w:line="120" w:lineRule="auto"/>
      </w:pPr>
    </w:p>
    <w:p w14:paraId="696F544C" w14:textId="77777777" w:rsidR="00EB0B6B" w:rsidRDefault="00000000">
      <w:pPr>
        <w:pStyle w:val="Heading1"/>
        <w:pageBreakBefore/>
      </w:pPr>
      <w:bookmarkStart w:id="4" w:name="chapter_04"/>
      <w:r>
        <w:rPr>
          <w:rFonts w:ascii="Arial" w:eastAsia="Arial" w:hAnsi="Arial" w:cs="Arial"/>
        </w:rPr>
        <w:t>4. Business scope and operating ownership</w:t>
      </w:r>
      <w:bookmarkEnd w:id="4"/>
    </w:p>
    <w:p w14:paraId="6F01E8A2" w14:textId="77777777" w:rsidR="00EB0B6B" w:rsidRDefault="00000000">
      <w:pPr>
        <w:keepNext/>
        <w:spacing w:after="240"/>
      </w:pPr>
      <w:r>
        <w:rPr>
          <w:rFonts w:eastAsia="Arial" w:cs="Arial"/>
          <w:color w:val="007D79"/>
          <w:sz w:val="20"/>
        </w:rPr>
        <w:t>Turn a planning platform into a measurable business service.</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728"/>
        <w:gridCol w:w="4709"/>
        <w:gridCol w:w="3269"/>
      </w:tblGrid>
      <w:tr w:rsidR="00EB0B6B" w14:paraId="1E56EA76" w14:textId="77777777">
        <w:trPr>
          <w:cantSplit/>
          <w:tblHeader/>
          <w:jc w:val="center"/>
        </w:trPr>
        <w:tc>
          <w:tcPr>
            <w:tcW w:w="1728" w:type="dxa"/>
            <w:shd w:val="clear" w:color="auto" w:fill="16324F"/>
            <w:tcMar>
              <w:top w:w="100" w:type="dxa"/>
              <w:left w:w="110" w:type="dxa"/>
              <w:bottom w:w="100" w:type="dxa"/>
              <w:right w:w="110" w:type="dxa"/>
            </w:tcMar>
            <w:vAlign w:val="center"/>
          </w:tcPr>
          <w:p w14:paraId="374686D0" w14:textId="77777777" w:rsidR="00EB0B6B" w:rsidRDefault="00000000">
            <w:pPr>
              <w:spacing w:after="0" w:line="252" w:lineRule="auto"/>
            </w:pPr>
            <w:r>
              <w:rPr>
                <w:rFonts w:eastAsia="Arial" w:cs="Arial"/>
                <w:b/>
                <w:color w:val="FFFFFF"/>
                <w:sz w:val="20"/>
              </w:rPr>
              <w:t>Planning area</w:t>
            </w:r>
          </w:p>
        </w:tc>
        <w:tc>
          <w:tcPr>
            <w:tcW w:w="4709" w:type="dxa"/>
            <w:shd w:val="clear" w:color="auto" w:fill="16324F"/>
            <w:tcMar>
              <w:top w:w="100" w:type="dxa"/>
              <w:left w:w="110" w:type="dxa"/>
              <w:bottom w:w="100" w:type="dxa"/>
              <w:right w:w="110" w:type="dxa"/>
            </w:tcMar>
            <w:vAlign w:val="center"/>
          </w:tcPr>
          <w:p w14:paraId="27AEAC0F" w14:textId="77777777" w:rsidR="00EB0B6B" w:rsidRDefault="00000000">
            <w:pPr>
              <w:spacing w:after="0" w:line="252" w:lineRule="auto"/>
            </w:pPr>
            <w:r>
              <w:rPr>
                <w:rFonts w:eastAsia="Arial" w:cs="Arial"/>
                <w:b/>
                <w:color w:val="FFFFFF"/>
                <w:sz w:val="20"/>
              </w:rPr>
              <w:t>Illustrative model and business outcome</w:t>
            </w:r>
          </w:p>
        </w:tc>
        <w:tc>
          <w:tcPr>
            <w:tcW w:w="3269" w:type="dxa"/>
            <w:shd w:val="clear" w:color="auto" w:fill="16324F"/>
            <w:tcMar>
              <w:top w:w="100" w:type="dxa"/>
              <w:left w:w="110" w:type="dxa"/>
              <w:bottom w:w="100" w:type="dxa"/>
              <w:right w:w="110" w:type="dxa"/>
            </w:tcMar>
            <w:vAlign w:val="center"/>
          </w:tcPr>
          <w:p w14:paraId="730B94C3" w14:textId="77777777" w:rsidR="00EB0B6B" w:rsidRDefault="00000000">
            <w:pPr>
              <w:spacing w:after="0" w:line="252" w:lineRule="auto"/>
            </w:pPr>
            <w:r>
              <w:rPr>
                <w:rFonts w:eastAsia="Arial" w:cs="Arial"/>
                <w:b/>
                <w:color w:val="FFFFFF"/>
                <w:sz w:val="20"/>
              </w:rPr>
              <w:t>Suggested acceptance measure</w:t>
            </w:r>
          </w:p>
        </w:tc>
      </w:tr>
      <w:tr w:rsidR="00EB0B6B" w14:paraId="2B83FE5F" w14:textId="77777777">
        <w:trPr>
          <w:cantSplit/>
          <w:jc w:val="center"/>
        </w:trPr>
        <w:tc>
          <w:tcPr>
            <w:tcW w:w="1728" w:type="dxa"/>
            <w:tcMar>
              <w:top w:w="85" w:type="dxa"/>
              <w:left w:w="110" w:type="dxa"/>
              <w:bottom w:w="85" w:type="dxa"/>
              <w:right w:w="110" w:type="dxa"/>
            </w:tcMar>
            <w:vAlign w:val="center"/>
          </w:tcPr>
          <w:p w14:paraId="076D80D2" w14:textId="77777777" w:rsidR="00EB0B6B" w:rsidRDefault="00000000">
            <w:pPr>
              <w:spacing w:after="0" w:line="252" w:lineRule="auto"/>
            </w:pPr>
            <w:r>
              <w:rPr>
                <w:rFonts w:eastAsia="Arial" w:cs="Arial"/>
                <w:b/>
                <w:color w:val="16324F"/>
                <w:sz w:val="20"/>
              </w:rPr>
              <w:t>FP&amp;A</w:t>
            </w:r>
          </w:p>
        </w:tc>
        <w:tc>
          <w:tcPr>
            <w:tcW w:w="4709" w:type="dxa"/>
            <w:tcMar>
              <w:top w:w="85" w:type="dxa"/>
              <w:left w:w="110" w:type="dxa"/>
              <w:bottom w:w="85" w:type="dxa"/>
              <w:right w:w="110" w:type="dxa"/>
            </w:tcMar>
            <w:vAlign w:val="center"/>
          </w:tcPr>
          <w:p w14:paraId="0EF3A480" w14:textId="77777777" w:rsidR="00EB0B6B" w:rsidRDefault="00000000">
            <w:pPr>
              <w:spacing w:after="0" w:line="252" w:lineRule="auto"/>
            </w:pPr>
            <w:r>
              <w:rPr>
                <w:rFonts w:eastAsia="Arial" w:cs="Arial"/>
                <w:sz w:val="20"/>
              </w:rPr>
              <w:t>Connect revenue, operating expense, balance sheet and cash-flow assumptions.</w:t>
            </w:r>
          </w:p>
        </w:tc>
        <w:tc>
          <w:tcPr>
            <w:tcW w:w="3269" w:type="dxa"/>
            <w:tcMar>
              <w:top w:w="85" w:type="dxa"/>
              <w:left w:w="110" w:type="dxa"/>
              <w:bottom w:w="85" w:type="dxa"/>
              <w:right w:w="110" w:type="dxa"/>
            </w:tcMar>
            <w:vAlign w:val="center"/>
          </w:tcPr>
          <w:p w14:paraId="33FA7C6C" w14:textId="77777777" w:rsidR="00EB0B6B" w:rsidRDefault="00000000">
            <w:pPr>
              <w:spacing w:after="0" w:line="252" w:lineRule="auto"/>
            </w:pPr>
            <w:r>
              <w:rPr>
                <w:rFonts w:eastAsia="Arial" w:cs="Arial"/>
                <w:sz w:val="20"/>
              </w:rPr>
              <w:t>Reconciliation to approved financial actuals and a repeatable forecast cycle.</w:t>
            </w:r>
          </w:p>
        </w:tc>
      </w:tr>
      <w:tr w:rsidR="00EB0B6B" w14:paraId="67255668" w14:textId="77777777">
        <w:trPr>
          <w:cantSplit/>
          <w:jc w:val="center"/>
        </w:trPr>
        <w:tc>
          <w:tcPr>
            <w:tcW w:w="1728" w:type="dxa"/>
            <w:tcMar>
              <w:top w:w="85" w:type="dxa"/>
              <w:left w:w="110" w:type="dxa"/>
              <w:bottom w:w="85" w:type="dxa"/>
              <w:right w:w="110" w:type="dxa"/>
            </w:tcMar>
            <w:vAlign w:val="center"/>
          </w:tcPr>
          <w:p w14:paraId="01C252C4" w14:textId="77777777" w:rsidR="00EB0B6B" w:rsidRDefault="00000000">
            <w:pPr>
              <w:spacing w:after="0" w:line="252" w:lineRule="auto"/>
            </w:pPr>
            <w:r>
              <w:rPr>
                <w:rFonts w:eastAsia="Arial" w:cs="Arial"/>
                <w:b/>
                <w:color w:val="16324F"/>
                <w:sz w:val="20"/>
              </w:rPr>
              <w:t>Sales and workforce</w:t>
            </w:r>
          </w:p>
        </w:tc>
        <w:tc>
          <w:tcPr>
            <w:tcW w:w="4709" w:type="dxa"/>
            <w:tcMar>
              <w:top w:w="85" w:type="dxa"/>
              <w:left w:w="110" w:type="dxa"/>
              <w:bottom w:w="85" w:type="dxa"/>
              <w:right w:w="110" w:type="dxa"/>
            </w:tcMar>
            <w:vAlign w:val="center"/>
          </w:tcPr>
          <w:p w14:paraId="16EDCAEC" w14:textId="77777777" w:rsidR="00EB0B6B" w:rsidRDefault="00000000">
            <w:pPr>
              <w:spacing w:after="0" w:line="252" w:lineRule="auto"/>
            </w:pPr>
            <w:r>
              <w:rPr>
                <w:rFonts w:eastAsia="Arial" w:cs="Arial"/>
                <w:sz w:val="20"/>
              </w:rPr>
              <w:t>Relate territory / product drivers and staffing assumptions to the financial plan.</w:t>
            </w:r>
          </w:p>
        </w:tc>
        <w:tc>
          <w:tcPr>
            <w:tcW w:w="3269" w:type="dxa"/>
            <w:tcMar>
              <w:top w:w="85" w:type="dxa"/>
              <w:left w:w="110" w:type="dxa"/>
              <w:bottom w:w="85" w:type="dxa"/>
              <w:right w:w="110" w:type="dxa"/>
            </w:tcMar>
            <w:vAlign w:val="center"/>
          </w:tcPr>
          <w:p w14:paraId="3B8E8F89" w14:textId="77777777" w:rsidR="00EB0B6B" w:rsidRDefault="00000000">
            <w:pPr>
              <w:spacing w:after="0" w:line="252" w:lineRule="auto"/>
            </w:pPr>
            <w:r>
              <w:rPr>
                <w:rFonts w:eastAsia="Arial" w:cs="Arial"/>
                <w:sz w:val="20"/>
              </w:rPr>
              <w:t>Named ownership, controlled inputs and traceable assumption changes.</w:t>
            </w:r>
          </w:p>
        </w:tc>
      </w:tr>
      <w:tr w:rsidR="00EB0B6B" w14:paraId="7B6D56E9" w14:textId="77777777">
        <w:trPr>
          <w:cantSplit/>
          <w:jc w:val="center"/>
        </w:trPr>
        <w:tc>
          <w:tcPr>
            <w:tcW w:w="1728" w:type="dxa"/>
            <w:tcMar>
              <w:top w:w="85" w:type="dxa"/>
              <w:left w:w="110" w:type="dxa"/>
              <w:bottom w:w="85" w:type="dxa"/>
              <w:right w:w="110" w:type="dxa"/>
            </w:tcMar>
            <w:vAlign w:val="center"/>
          </w:tcPr>
          <w:p w14:paraId="1E70B33E" w14:textId="77777777" w:rsidR="00EB0B6B" w:rsidRDefault="00000000">
            <w:pPr>
              <w:spacing w:after="0" w:line="252" w:lineRule="auto"/>
            </w:pPr>
            <w:r>
              <w:rPr>
                <w:rFonts w:eastAsia="Arial" w:cs="Arial"/>
                <w:b/>
                <w:color w:val="16324F"/>
                <w:sz w:val="20"/>
              </w:rPr>
              <w:t>Supply chain</w:t>
            </w:r>
          </w:p>
        </w:tc>
        <w:tc>
          <w:tcPr>
            <w:tcW w:w="4709" w:type="dxa"/>
            <w:tcMar>
              <w:top w:w="85" w:type="dxa"/>
              <w:left w:w="110" w:type="dxa"/>
              <w:bottom w:w="85" w:type="dxa"/>
              <w:right w:w="110" w:type="dxa"/>
            </w:tcMar>
            <w:vAlign w:val="center"/>
          </w:tcPr>
          <w:p w14:paraId="649914BB" w14:textId="77777777" w:rsidR="00EB0B6B" w:rsidRDefault="00000000">
            <w:pPr>
              <w:spacing w:after="0" w:line="252" w:lineRule="auto"/>
            </w:pPr>
            <w:r>
              <w:rPr>
                <w:rFonts w:eastAsia="Arial" w:cs="Arial"/>
                <w:sz w:val="20"/>
              </w:rPr>
              <w:t>Compare demand, inventory and operational capacity scenarios.</w:t>
            </w:r>
          </w:p>
        </w:tc>
        <w:tc>
          <w:tcPr>
            <w:tcW w:w="3269" w:type="dxa"/>
            <w:tcMar>
              <w:top w:w="85" w:type="dxa"/>
              <w:left w:w="110" w:type="dxa"/>
              <w:bottom w:w="85" w:type="dxa"/>
              <w:right w:w="110" w:type="dxa"/>
            </w:tcMar>
            <w:vAlign w:val="center"/>
          </w:tcPr>
          <w:p w14:paraId="5FBD4783" w14:textId="77777777" w:rsidR="00EB0B6B" w:rsidRDefault="00000000">
            <w:pPr>
              <w:spacing w:after="0" w:line="252" w:lineRule="auto"/>
            </w:pPr>
            <w:r>
              <w:rPr>
                <w:rFonts w:eastAsia="Arial" w:cs="Arial"/>
                <w:sz w:val="20"/>
              </w:rPr>
              <w:t>A reproducible scenario comparison with approved business constraints.</w:t>
            </w:r>
          </w:p>
        </w:tc>
      </w:tr>
      <w:tr w:rsidR="00EB0B6B" w14:paraId="3F66F977" w14:textId="77777777">
        <w:trPr>
          <w:cantSplit/>
          <w:jc w:val="center"/>
        </w:trPr>
        <w:tc>
          <w:tcPr>
            <w:tcW w:w="1728" w:type="dxa"/>
            <w:tcMar>
              <w:top w:w="85" w:type="dxa"/>
              <w:left w:w="110" w:type="dxa"/>
              <w:bottom w:w="85" w:type="dxa"/>
              <w:right w:w="110" w:type="dxa"/>
            </w:tcMar>
            <w:vAlign w:val="center"/>
          </w:tcPr>
          <w:p w14:paraId="2CAC1F2F" w14:textId="77777777" w:rsidR="00EB0B6B" w:rsidRDefault="00000000">
            <w:pPr>
              <w:spacing w:after="0" w:line="252" w:lineRule="auto"/>
            </w:pPr>
            <w:r>
              <w:rPr>
                <w:rFonts w:eastAsia="Arial" w:cs="Arial"/>
                <w:b/>
                <w:color w:val="16324F"/>
                <w:sz w:val="20"/>
              </w:rPr>
              <w:t>ESG / sustainability</w:t>
            </w:r>
          </w:p>
        </w:tc>
        <w:tc>
          <w:tcPr>
            <w:tcW w:w="4709" w:type="dxa"/>
            <w:tcMar>
              <w:top w:w="85" w:type="dxa"/>
              <w:left w:w="110" w:type="dxa"/>
              <w:bottom w:w="85" w:type="dxa"/>
              <w:right w:w="110" w:type="dxa"/>
            </w:tcMar>
            <w:vAlign w:val="center"/>
          </w:tcPr>
          <w:p w14:paraId="62350F56" w14:textId="77777777" w:rsidR="00EB0B6B" w:rsidRDefault="00000000">
            <w:pPr>
              <w:spacing w:after="0" w:line="252" w:lineRule="auto"/>
            </w:pPr>
            <w:r>
              <w:rPr>
                <w:rFonts w:eastAsia="Arial" w:cs="Arial"/>
                <w:sz w:val="20"/>
              </w:rPr>
              <w:t>Plan sustainability measures alongside operational drivers.</w:t>
            </w:r>
          </w:p>
        </w:tc>
        <w:tc>
          <w:tcPr>
            <w:tcW w:w="3269" w:type="dxa"/>
            <w:tcMar>
              <w:top w:w="85" w:type="dxa"/>
              <w:left w:w="110" w:type="dxa"/>
              <w:bottom w:w="85" w:type="dxa"/>
              <w:right w:w="110" w:type="dxa"/>
            </w:tcMar>
            <w:vAlign w:val="center"/>
          </w:tcPr>
          <w:p w14:paraId="289A381A" w14:textId="77777777" w:rsidR="00EB0B6B" w:rsidRDefault="00000000">
            <w:pPr>
              <w:spacing w:after="0" w:line="252" w:lineRule="auto"/>
            </w:pPr>
            <w:r>
              <w:rPr>
                <w:rFonts w:eastAsia="Arial" w:cs="Arial"/>
                <w:sz w:val="20"/>
              </w:rPr>
              <w:t>Documented units, factors, source lineage and calculation ownership.</w:t>
            </w:r>
          </w:p>
        </w:tc>
      </w:tr>
      <w:tr w:rsidR="00EB0B6B" w14:paraId="7570BB4E" w14:textId="77777777">
        <w:trPr>
          <w:cantSplit/>
          <w:jc w:val="center"/>
        </w:trPr>
        <w:tc>
          <w:tcPr>
            <w:tcW w:w="1728" w:type="dxa"/>
            <w:tcMar>
              <w:top w:w="85" w:type="dxa"/>
              <w:left w:w="110" w:type="dxa"/>
              <w:bottom w:w="85" w:type="dxa"/>
              <w:right w:w="110" w:type="dxa"/>
            </w:tcMar>
            <w:vAlign w:val="center"/>
          </w:tcPr>
          <w:p w14:paraId="6C7D10A9" w14:textId="77777777" w:rsidR="00EB0B6B" w:rsidRDefault="00000000">
            <w:pPr>
              <w:spacing w:after="0" w:line="252" w:lineRule="auto"/>
            </w:pPr>
            <w:r>
              <w:rPr>
                <w:rFonts w:eastAsia="Arial" w:cs="Arial"/>
                <w:b/>
                <w:color w:val="16324F"/>
                <w:sz w:val="20"/>
              </w:rPr>
              <w:t>IT and marketing</w:t>
            </w:r>
          </w:p>
        </w:tc>
        <w:tc>
          <w:tcPr>
            <w:tcW w:w="4709" w:type="dxa"/>
            <w:tcMar>
              <w:top w:w="85" w:type="dxa"/>
              <w:left w:w="110" w:type="dxa"/>
              <w:bottom w:w="85" w:type="dxa"/>
              <w:right w:w="110" w:type="dxa"/>
            </w:tcMar>
            <w:vAlign w:val="center"/>
          </w:tcPr>
          <w:p w14:paraId="14F519B6" w14:textId="77777777" w:rsidR="00EB0B6B" w:rsidRDefault="00000000">
            <w:pPr>
              <w:spacing w:after="0" w:line="252" w:lineRule="auto"/>
            </w:pPr>
            <w:r>
              <w:rPr>
                <w:rFonts w:eastAsia="Arial" w:cs="Arial"/>
                <w:sz w:val="20"/>
              </w:rPr>
              <w:t>Link resource allocation, spend and expected activity to enterprise objectives.</w:t>
            </w:r>
          </w:p>
        </w:tc>
        <w:tc>
          <w:tcPr>
            <w:tcW w:w="3269" w:type="dxa"/>
            <w:tcMar>
              <w:top w:w="85" w:type="dxa"/>
              <w:left w:w="110" w:type="dxa"/>
              <w:bottom w:w="85" w:type="dxa"/>
              <w:right w:w="110" w:type="dxa"/>
            </w:tcMar>
            <w:vAlign w:val="center"/>
          </w:tcPr>
          <w:p w14:paraId="19E80767" w14:textId="77777777" w:rsidR="00EB0B6B" w:rsidRDefault="00000000">
            <w:pPr>
              <w:spacing w:after="0" w:line="252" w:lineRule="auto"/>
            </w:pPr>
            <w:r>
              <w:rPr>
                <w:rFonts w:eastAsia="Arial" w:cs="Arial"/>
                <w:sz w:val="20"/>
              </w:rPr>
              <w:t>A maintained driver model rather than uncontrolled spreadsheet copies.</w:t>
            </w:r>
          </w:p>
        </w:tc>
      </w:tr>
    </w:tbl>
    <w:p w14:paraId="00CE84B8" w14:textId="77777777" w:rsidR="00EB0B6B" w:rsidRDefault="00EB0B6B">
      <w:pPr>
        <w:spacing w:after="0" w:line="120" w:lineRule="auto"/>
      </w:pPr>
    </w:p>
    <w:p w14:paraId="0DC6312E" w14:textId="77777777" w:rsidR="00EB0B6B" w:rsidRDefault="00000000">
      <w:r>
        <w:rPr>
          <w:rFonts w:eastAsia="Arial" w:cs="Arial"/>
        </w:rPr>
        <w:t>IBM identifies these planning domains on its product page and provides business demonstrations in its resources library. The measures above are suggested project outcomes, not vendor ROI claims.</w:t>
      </w:r>
      <w:r>
        <w:rPr>
          <w:rFonts w:eastAsia="Arial" w:cs="Arial"/>
          <w:color w:val="596C7B"/>
          <w:sz w:val="18"/>
        </w:rPr>
        <w:t xml:space="preserve">  </w:t>
      </w:r>
      <w:hyperlink w:anchor="ref_01" w:history="1">
        <w:r>
          <w:rPr>
            <w:color w:val="145EA8"/>
            <w:sz w:val="18"/>
            <w:szCs w:val="18"/>
          </w:rPr>
          <w:t>[R01]</w:t>
        </w:r>
      </w:hyperlink>
      <w:r>
        <w:rPr>
          <w:rFonts w:eastAsia="Arial" w:cs="Arial"/>
          <w:color w:val="596C7B"/>
          <w:sz w:val="18"/>
        </w:rPr>
        <w:t xml:space="preserve"> </w:t>
      </w:r>
      <w:hyperlink w:anchor="ref_87" w:history="1">
        <w:r>
          <w:rPr>
            <w:color w:val="145EA8"/>
            <w:sz w:val="18"/>
            <w:szCs w:val="18"/>
          </w:rPr>
          <w:t>[R87]</w:t>
        </w:r>
      </w:hyperlink>
    </w:p>
    <w:p w14:paraId="07597D3E" w14:textId="77777777" w:rsidR="00EB0B6B" w:rsidRDefault="00000000">
      <w:pPr>
        <w:pStyle w:val="Heading2"/>
      </w:pPr>
      <w:r>
        <w:rPr>
          <w:rFonts w:ascii="Arial" w:eastAsia="Arial" w:hAnsi="Arial" w:cs="Arial"/>
        </w:rPr>
        <w:t>Recommended responsibilities</w:t>
      </w:r>
    </w:p>
    <w:p w14:paraId="0F26761A" w14:textId="77777777" w:rsidR="00EB0B6B" w:rsidRDefault="00000000">
      <w:r>
        <w:rPr>
          <w:rFonts w:eastAsia="Arial" w:cs="Arial"/>
        </w:rPr>
        <w:t>A business sponsor owns value and scope. Finance or operational process owners approve definitions and workflows. A TM1 modeler owns cube design, rules and TI. Data engineers own source quality and connectivity. Platform administrators own identity, capacity and operations. Security and privacy owners approve sensitive-data handling. A release owner coordinates testing and production promotion.</w:t>
      </w:r>
    </w:p>
    <w:p w14:paraId="518D729D" w14:textId="77777777" w:rsidR="00EB0B6B" w:rsidRDefault="00000000">
      <w:pPr>
        <w:pStyle w:val="Heading2"/>
      </w:pPr>
      <w:r>
        <w:rPr>
          <w:rFonts w:ascii="Arial" w:eastAsia="Arial" w:hAnsi="Arial" w:cs="Arial"/>
        </w:rPr>
        <w:t>License and commercial due diligence</w:t>
      </w:r>
    </w:p>
    <w:p w14:paraId="3A72C4D8" w14:textId="77777777" w:rsidR="00EB0B6B" w:rsidRDefault="00000000">
      <w:r>
        <w:rPr>
          <w:rFonts w:eastAsia="Arial" w:cs="Arial"/>
        </w:rPr>
        <w:t>Obtain an entitlement-specific quote rather than copying a website starting price into a project budget. Confirm user roles, environments, capacity, interfaces, connectors, AI features, regional availability, backup options and support. IBM publishes an estimator and separate deployment choices; the effective commercial terms come from the order and applicable service documents.</w:t>
      </w:r>
      <w:r>
        <w:rPr>
          <w:rFonts w:eastAsia="Arial" w:cs="Arial"/>
          <w:color w:val="596C7B"/>
          <w:sz w:val="18"/>
        </w:rPr>
        <w:t xml:space="preserve">  </w:t>
      </w:r>
      <w:hyperlink w:anchor="ref_88" w:history="1">
        <w:r>
          <w:rPr>
            <w:color w:val="145EA8"/>
            <w:sz w:val="18"/>
            <w:szCs w:val="18"/>
          </w:rPr>
          <w:t>[R88]</w:t>
        </w:r>
      </w:hyperlink>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4D2E2E99" w14:textId="77777777">
        <w:trPr>
          <w:cantSplit/>
          <w:jc w:val="center"/>
        </w:trPr>
        <w:tc>
          <w:tcPr>
            <w:tcW w:w="9706" w:type="dxa"/>
            <w:shd w:val="clear" w:color="auto" w:fill="EDF4FA"/>
            <w:tcMar>
              <w:top w:w="115" w:type="dxa"/>
              <w:left w:w="150" w:type="dxa"/>
              <w:bottom w:w="115" w:type="dxa"/>
              <w:right w:w="150" w:type="dxa"/>
            </w:tcMar>
          </w:tcPr>
          <w:p w14:paraId="5FF65F7E" w14:textId="77777777" w:rsidR="00EB0B6B" w:rsidRDefault="00000000">
            <w:pPr>
              <w:keepNext/>
              <w:spacing w:after="80"/>
            </w:pPr>
            <w:r>
              <w:rPr>
                <w:rFonts w:eastAsia="Arial" w:cs="Arial"/>
                <w:b/>
                <w:color w:val="145EA8"/>
                <w:sz w:val="19"/>
              </w:rPr>
              <w:t>SCOPE DISCIPLINE</w:t>
            </w:r>
          </w:p>
          <w:p w14:paraId="09BA5A7D" w14:textId="77777777" w:rsidR="00EB0B6B" w:rsidRDefault="00000000">
            <w:pPr>
              <w:spacing w:after="0" w:line="254" w:lineRule="auto"/>
            </w:pPr>
            <w:r>
              <w:rPr>
                <w:rFonts w:eastAsia="Arial" w:cs="Arial"/>
                <w:sz w:val="20"/>
              </w:rPr>
              <w:t>Begin with one planning decision and one accountable business owner. Establish data quality and reconciliation before adding forecasting, agentic actions or an enterprise-wide rollout.</w:t>
            </w:r>
          </w:p>
        </w:tc>
      </w:tr>
    </w:tbl>
    <w:p w14:paraId="7FBE7E77" w14:textId="77777777" w:rsidR="00EB0B6B" w:rsidRDefault="00EB0B6B">
      <w:pPr>
        <w:spacing w:after="0" w:line="120" w:lineRule="auto"/>
      </w:pPr>
    </w:p>
    <w:p w14:paraId="4A06A818" w14:textId="77777777" w:rsidR="00EB0B6B" w:rsidRDefault="00000000">
      <w:pPr>
        <w:pStyle w:val="Heading1"/>
        <w:pageBreakBefore/>
      </w:pPr>
      <w:bookmarkStart w:id="5" w:name="chapter_05"/>
      <w:r>
        <w:rPr>
          <w:rFonts w:ascii="Arial" w:eastAsia="Arial" w:hAnsi="Arial" w:cs="Arial"/>
        </w:rPr>
        <w:t>5. Prerequisites and supported environments</w:t>
      </w:r>
      <w:bookmarkEnd w:id="5"/>
    </w:p>
    <w:p w14:paraId="7C6B8D23" w14:textId="77777777" w:rsidR="00EB0B6B" w:rsidRDefault="00000000">
      <w:pPr>
        <w:keepNext/>
        <w:spacing w:after="240"/>
      </w:pPr>
      <w:r>
        <w:rPr>
          <w:rFonts w:eastAsia="Arial" w:cs="Arial"/>
          <w:color w:val="007D79"/>
          <w:sz w:val="20"/>
        </w:rPr>
        <w:t>A supported stack is a release-specific combination, not an OS name.</w:t>
      </w:r>
    </w:p>
    <w:p w14:paraId="4512718C" w14:textId="77777777" w:rsidR="00EB0B6B" w:rsidRDefault="00000000">
      <w:r>
        <w:rPr>
          <w:rFonts w:eastAsia="Arial" w:cs="Arial"/>
        </w:rPr>
        <w:t>Use IBM Software Product Compatibility Reports to generate the exact report for the product, release and component being installed. The interactive report, not a generic hardware checklist, is the authority for supported software and prerequisites. Archive the report with the approved deployment design.</w:t>
      </w:r>
      <w:r>
        <w:rPr>
          <w:rFonts w:eastAsia="Arial" w:cs="Arial"/>
          <w:color w:val="596C7B"/>
          <w:sz w:val="18"/>
        </w:rPr>
        <w:t xml:space="preserve">  </w:t>
      </w:r>
      <w:hyperlink w:anchor="ref_07" w:history="1">
        <w:r>
          <w:rPr>
            <w:color w:val="145EA8"/>
            <w:sz w:val="18"/>
            <w:szCs w:val="18"/>
          </w:rPr>
          <w:t>[R07]</w:t>
        </w:r>
      </w:hyperlink>
      <w:r>
        <w:rPr>
          <w:rFonts w:eastAsia="Arial" w:cs="Arial"/>
          <w:color w:val="596C7B"/>
          <w:sz w:val="18"/>
        </w:rPr>
        <w:t xml:space="preserve"> </w:t>
      </w:r>
      <w:hyperlink w:anchor="ref_25" w:history="1">
        <w:r>
          <w:rPr>
            <w:color w:val="145EA8"/>
            <w:sz w:val="18"/>
            <w:szCs w:val="18"/>
          </w:rPr>
          <w:t>[R25]</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074"/>
        <w:gridCol w:w="7632"/>
      </w:tblGrid>
      <w:tr w:rsidR="00EB0B6B" w14:paraId="3C205DE3" w14:textId="77777777">
        <w:trPr>
          <w:cantSplit/>
          <w:tblHeader/>
          <w:jc w:val="center"/>
        </w:trPr>
        <w:tc>
          <w:tcPr>
            <w:tcW w:w="2074" w:type="dxa"/>
            <w:shd w:val="clear" w:color="auto" w:fill="16324F"/>
            <w:tcMar>
              <w:top w:w="100" w:type="dxa"/>
              <w:left w:w="110" w:type="dxa"/>
              <w:bottom w:w="100" w:type="dxa"/>
              <w:right w:w="110" w:type="dxa"/>
            </w:tcMar>
            <w:vAlign w:val="center"/>
          </w:tcPr>
          <w:p w14:paraId="6F9AEF2F" w14:textId="77777777" w:rsidR="00EB0B6B" w:rsidRDefault="00000000">
            <w:pPr>
              <w:spacing w:after="0" w:line="252" w:lineRule="auto"/>
            </w:pPr>
            <w:r>
              <w:rPr>
                <w:rFonts w:eastAsia="Arial" w:cs="Arial"/>
                <w:b/>
                <w:color w:val="FFFFFF"/>
                <w:sz w:val="20"/>
              </w:rPr>
              <w:t>Check</w:t>
            </w:r>
          </w:p>
        </w:tc>
        <w:tc>
          <w:tcPr>
            <w:tcW w:w="7632" w:type="dxa"/>
            <w:shd w:val="clear" w:color="auto" w:fill="16324F"/>
            <w:tcMar>
              <w:top w:w="100" w:type="dxa"/>
              <w:left w:w="110" w:type="dxa"/>
              <w:bottom w:w="100" w:type="dxa"/>
              <w:right w:w="110" w:type="dxa"/>
            </w:tcMar>
            <w:vAlign w:val="center"/>
          </w:tcPr>
          <w:p w14:paraId="25D6CA6C" w14:textId="77777777" w:rsidR="00EB0B6B" w:rsidRDefault="00000000">
            <w:pPr>
              <w:spacing w:after="0" w:line="252" w:lineRule="auto"/>
            </w:pPr>
            <w:r>
              <w:rPr>
                <w:rFonts w:eastAsia="Arial" w:cs="Arial"/>
                <w:b/>
                <w:color w:val="FFFFFF"/>
                <w:sz w:val="20"/>
              </w:rPr>
              <w:t>What to record before installation</w:t>
            </w:r>
          </w:p>
        </w:tc>
      </w:tr>
      <w:tr w:rsidR="00EB0B6B" w14:paraId="36A80749" w14:textId="77777777">
        <w:trPr>
          <w:cantSplit/>
          <w:jc w:val="center"/>
        </w:trPr>
        <w:tc>
          <w:tcPr>
            <w:tcW w:w="2074" w:type="dxa"/>
            <w:tcMar>
              <w:top w:w="85" w:type="dxa"/>
              <w:left w:w="110" w:type="dxa"/>
              <w:bottom w:w="85" w:type="dxa"/>
              <w:right w:w="110" w:type="dxa"/>
            </w:tcMar>
            <w:vAlign w:val="center"/>
          </w:tcPr>
          <w:p w14:paraId="40BEA056" w14:textId="77777777" w:rsidR="00EB0B6B" w:rsidRDefault="00000000">
            <w:pPr>
              <w:spacing w:after="0" w:line="252" w:lineRule="auto"/>
            </w:pPr>
            <w:r>
              <w:rPr>
                <w:rFonts w:eastAsia="Arial" w:cs="Arial"/>
                <w:b/>
                <w:color w:val="16324F"/>
                <w:sz w:val="20"/>
              </w:rPr>
              <w:t>Product identity</w:t>
            </w:r>
          </w:p>
        </w:tc>
        <w:tc>
          <w:tcPr>
            <w:tcW w:w="7632" w:type="dxa"/>
            <w:tcMar>
              <w:top w:w="85" w:type="dxa"/>
              <w:left w:w="110" w:type="dxa"/>
              <w:bottom w:w="85" w:type="dxa"/>
              <w:right w:w="110" w:type="dxa"/>
            </w:tcMar>
            <w:vAlign w:val="center"/>
          </w:tcPr>
          <w:p w14:paraId="6C19D908" w14:textId="77777777" w:rsidR="00EB0B6B" w:rsidRDefault="00000000">
            <w:pPr>
              <w:spacing w:after="0" w:line="252" w:lineRule="auto"/>
            </w:pPr>
            <w:r>
              <w:rPr>
                <w:rFonts w:eastAsia="Arial" w:cs="Arial"/>
                <w:sz w:val="20"/>
              </w:rPr>
              <w:t>Offering, entitlement, release, database generation and every selected component version.</w:t>
            </w:r>
          </w:p>
        </w:tc>
      </w:tr>
      <w:tr w:rsidR="00EB0B6B" w14:paraId="0897D1EC" w14:textId="77777777">
        <w:trPr>
          <w:cantSplit/>
          <w:jc w:val="center"/>
        </w:trPr>
        <w:tc>
          <w:tcPr>
            <w:tcW w:w="2074" w:type="dxa"/>
            <w:tcMar>
              <w:top w:w="85" w:type="dxa"/>
              <w:left w:w="110" w:type="dxa"/>
              <w:bottom w:w="85" w:type="dxa"/>
              <w:right w:w="110" w:type="dxa"/>
            </w:tcMar>
            <w:vAlign w:val="center"/>
          </w:tcPr>
          <w:p w14:paraId="672C4D44" w14:textId="77777777" w:rsidR="00EB0B6B" w:rsidRDefault="00000000">
            <w:pPr>
              <w:spacing w:after="0" w:line="252" w:lineRule="auto"/>
            </w:pPr>
            <w:r>
              <w:rPr>
                <w:rFonts w:eastAsia="Arial" w:cs="Arial"/>
                <w:b/>
                <w:color w:val="16324F"/>
                <w:sz w:val="20"/>
              </w:rPr>
              <w:t>Server and runtime</w:t>
            </w:r>
          </w:p>
        </w:tc>
        <w:tc>
          <w:tcPr>
            <w:tcW w:w="7632" w:type="dxa"/>
            <w:tcMar>
              <w:top w:w="85" w:type="dxa"/>
              <w:left w:w="110" w:type="dxa"/>
              <w:bottom w:w="85" w:type="dxa"/>
              <w:right w:w="110" w:type="dxa"/>
            </w:tcMar>
            <w:vAlign w:val="center"/>
          </w:tcPr>
          <w:p w14:paraId="299D0A10" w14:textId="77777777" w:rsidR="00EB0B6B" w:rsidRDefault="00000000">
            <w:pPr>
              <w:spacing w:after="0" w:line="252" w:lineRule="auto"/>
            </w:pPr>
            <w:r>
              <w:rPr>
                <w:rFonts w:eastAsia="Arial" w:cs="Arial"/>
                <w:sz w:val="20"/>
              </w:rPr>
              <w:t>OS edition / version, architecture, required libraries, container runtime and approved patch level.</w:t>
            </w:r>
          </w:p>
        </w:tc>
      </w:tr>
      <w:tr w:rsidR="00EB0B6B" w14:paraId="457A5148" w14:textId="77777777">
        <w:trPr>
          <w:cantSplit/>
          <w:jc w:val="center"/>
        </w:trPr>
        <w:tc>
          <w:tcPr>
            <w:tcW w:w="2074" w:type="dxa"/>
            <w:tcMar>
              <w:top w:w="85" w:type="dxa"/>
              <w:left w:w="110" w:type="dxa"/>
              <w:bottom w:w="85" w:type="dxa"/>
              <w:right w:w="110" w:type="dxa"/>
            </w:tcMar>
            <w:vAlign w:val="center"/>
          </w:tcPr>
          <w:p w14:paraId="435CF080" w14:textId="77777777" w:rsidR="00EB0B6B" w:rsidRDefault="00000000">
            <w:pPr>
              <w:spacing w:after="0" w:line="252" w:lineRule="auto"/>
            </w:pPr>
            <w:r>
              <w:rPr>
                <w:rFonts w:eastAsia="Arial" w:cs="Arial"/>
                <w:b/>
                <w:color w:val="16324F"/>
                <w:sz w:val="20"/>
              </w:rPr>
              <w:t>Client stack</w:t>
            </w:r>
          </w:p>
        </w:tc>
        <w:tc>
          <w:tcPr>
            <w:tcW w:w="7632" w:type="dxa"/>
            <w:tcMar>
              <w:top w:w="85" w:type="dxa"/>
              <w:left w:w="110" w:type="dxa"/>
              <w:bottom w:w="85" w:type="dxa"/>
              <w:right w:w="110" w:type="dxa"/>
            </w:tcMar>
            <w:vAlign w:val="center"/>
          </w:tcPr>
          <w:p w14:paraId="5F8326F4" w14:textId="77777777" w:rsidR="00EB0B6B" w:rsidRDefault="00000000">
            <w:pPr>
              <w:spacing w:after="0" w:line="252" w:lineRule="auto"/>
            </w:pPr>
            <w:r>
              <w:rPr>
                <w:rFonts w:eastAsia="Arial" w:cs="Arial"/>
                <w:sz w:val="20"/>
              </w:rPr>
              <w:t>Browser, Windows / Office version, Excel bitness, PAfE build and required framework components.</w:t>
            </w:r>
          </w:p>
        </w:tc>
      </w:tr>
      <w:tr w:rsidR="00EB0B6B" w14:paraId="42BD211F" w14:textId="77777777">
        <w:trPr>
          <w:cantSplit/>
          <w:jc w:val="center"/>
        </w:trPr>
        <w:tc>
          <w:tcPr>
            <w:tcW w:w="2074" w:type="dxa"/>
            <w:tcMar>
              <w:top w:w="85" w:type="dxa"/>
              <w:left w:w="110" w:type="dxa"/>
              <w:bottom w:w="85" w:type="dxa"/>
              <w:right w:w="110" w:type="dxa"/>
            </w:tcMar>
            <w:vAlign w:val="center"/>
          </w:tcPr>
          <w:p w14:paraId="008D0D8E" w14:textId="77777777" w:rsidR="00EB0B6B" w:rsidRDefault="00000000">
            <w:pPr>
              <w:spacing w:after="0" w:line="252" w:lineRule="auto"/>
            </w:pPr>
            <w:r>
              <w:rPr>
                <w:rFonts w:eastAsia="Arial" w:cs="Arial"/>
                <w:b/>
                <w:color w:val="16324F"/>
                <w:sz w:val="20"/>
              </w:rPr>
              <w:t>Capacity</w:t>
            </w:r>
          </w:p>
        </w:tc>
        <w:tc>
          <w:tcPr>
            <w:tcW w:w="7632" w:type="dxa"/>
            <w:tcMar>
              <w:top w:w="85" w:type="dxa"/>
              <w:left w:w="110" w:type="dxa"/>
              <w:bottom w:w="85" w:type="dxa"/>
              <w:right w:w="110" w:type="dxa"/>
            </w:tcMar>
            <w:vAlign w:val="center"/>
          </w:tcPr>
          <w:p w14:paraId="3E4D9E42" w14:textId="77777777" w:rsidR="00EB0B6B" w:rsidRDefault="00000000">
            <w:pPr>
              <w:spacing w:after="0" w:line="252" w:lineRule="auto"/>
            </w:pPr>
            <w:r>
              <w:rPr>
                <w:rFonts w:eastAsia="Arial" w:cs="Arial"/>
                <w:sz w:val="20"/>
              </w:rPr>
              <w:t>Representative model size, peak users, concurrent calculations, TI workload, memory growth and recovery objectives.</w:t>
            </w:r>
          </w:p>
        </w:tc>
      </w:tr>
      <w:tr w:rsidR="00EB0B6B" w14:paraId="2A7738CE" w14:textId="77777777">
        <w:trPr>
          <w:cantSplit/>
          <w:jc w:val="center"/>
        </w:trPr>
        <w:tc>
          <w:tcPr>
            <w:tcW w:w="2074" w:type="dxa"/>
            <w:tcMar>
              <w:top w:w="85" w:type="dxa"/>
              <w:left w:w="110" w:type="dxa"/>
              <w:bottom w:w="85" w:type="dxa"/>
              <w:right w:w="110" w:type="dxa"/>
            </w:tcMar>
            <w:vAlign w:val="center"/>
          </w:tcPr>
          <w:p w14:paraId="6CAC6AB7" w14:textId="77777777" w:rsidR="00EB0B6B" w:rsidRDefault="00000000">
            <w:pPr>
              <w:spacing w:after="0" w:line="252" w:lineRule="auto"/>
            </w:pPr>
            <w:r>
              <w:rPr>
                <w:rFonts w:eastAsia="Arial" w:cs="Arial"/>
                <w:b/>
                <w:color w:val="16324F"/>
                <w:sz w:val="20"/>
              </w:rPr>
              <w:t>Network and identity</w:t>
            </w:r>
          </w:p>
        </w:tc>
        <w:tc>
          <w:tcPr>
            <w:tcW w:w="7632" w:type="dxa"/>
            <w:tcMar>
              <w:top w:w="85" w:type="dxa"/>
              <w:left w:w="110" w:type="dxa"/>
              <w:bottom w:w="85" w:type="dxa"/>
              <w:right w:w="110" w:type="dxa"/>
            </w:tcMar>
            <w:vAlign w:val="center"/>
          </w:tcPr>
          <w:p w14:paraId="2D86E11F" w14:textId="77777777" w:rsidR="00EB0B6B" w:rsidRDefault="00000000">
            <w:pPr>
              <w:spacing w:after="0" w:line="252" w:lineRule="auto"/>
            </w:pPr>
            <w:r>
              <w:rPr>
                <w:rFonts w:eastAsia="Arial" w:cs="Arial"/>
                <w:sz w:val="20"/>
              </w:rPr>
              <w:t>FQDNs, certificates, proxy bypasses, DNS, time synchronization, authentication mode and firewall flows.</w:t>
            </w:r>
          </w:p>
        </w:tc>
      </w:tr>
      <w:tr w:rsidR="00EB0B6B" w14:paraId="01C5EF31" w14:textId="77777777">
        <w:trPr>
          <w:cantSplit/>
          <w:jc w:val="center"/>
        </w:trPr>
        <w:tc>
          <w:tcPr>
            <w:tcW w:w="2074" w:type="dxa"/>
            <w:tcMar>
              <w:top w:w="85" w:type="dxa"/>
              <w:left w:w="110" w:type="dxa"/>
              <w:bottom w:w="85" w:type="dxa"/>
              <w:right w:w="110" w:type="dxa"/>
            </w:tcMar>
            <w:vAlign w:val="center"/>
          </w:tcPr>
          <w:p w14:paraId="3ACB08CF" w14:textId="77777777" w:rsidR="00EB0B6B" w:rsidRDefault="00000000">
            <w:pPr>
              <w:spacing w:after="0" w:line="252" w:lineRule="auto"/>
            </w:pPr>
            <w:r>
              <w:rPr>
                <w:rFonts w:eastAsia="Arial" w:cs="Arial"/>
                <w:b/>
                <w:color w:val="16324F"/>
                <w:sz w:val="20"/>
              </w:rPr>
              <w:t>Operations</w:t>
            </w:r>
          </w:p>
        </w:tc>
        <w:tc>
          <w:tcPr>
            <w:tcW w:w="7632" w:type="dxa"/>
            <w:tcMar>
              <w:top w:w="85" w:type="dxa"/>
              <w:left w:w="110" w:type="dxa"/>
              <w:bottom w:w="85" w:type="dxa"/>
              <w:right w:w="110" w:type="dxa"/>
            </w:tcMar>
            <w:vAlign w:val="center"/>
          </w:tcPr>
          <w:p w14:paraId="1A1DBC1A" w14:textId="77777777" w:rsidR="00EB0B6B" w:rsidRDefault="00000000">
            <w:pPr>
              <w:spacing w:after="0" w:line="252" w:lineRule="auto"/>
            </w:pPr>
            <w:r>
              <w:rPr>
                <w:rFonts w:eastAsia="Arial" w:cs="Arial"/>
                <w:sz w:val="20"/>
              </w:rPr>
              <w:t>Service identities, directory permissions, backup storage, monitoring, maintenance ownership and rollback artifacts.</w:t>
            </w:r>
          </w:p>
        </w:tc>
      </w:tr>
    </w:tbl>
    <w:p w14:paraId="2175D1B1" w14:textId="77777777" w:rsidR="00EB0B6B" w:rsidRDefault="00EB0B6B">
      <w:pPr>
        <w:spacing w:after="0" w:line="120" w:lineRule="auto"/>
      </w:pPr>
    </w:p>
    <w:p w14:paraId="3FFA3132" w14:textId="77777777" w:rsidR="00EB0B6B" w:rsidRDefault="00000000">
      <w:pPr>
        <w:pStyle w:val="Heading2"/>
      </w:pPr>
      <w:r>
        <w:rPr>
          <w:rFonts w:ascii="Arial" w:eastAsia="Arial" w:hAnsi="Arial" w:cs="Arial"/>
        </w:rPr>
        <w:t>Practical preparation sequence</w:t>
      </w:r>
    </w:p>
    <w:p w14:paraId="7C3E16FD"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Generate SPCR for the exact component set; do not reuse an older project report without checking it.</w:t>
      </w:r>
    </w:p>
    <w:p w14:paraId="7504E137"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Record a port and certificate inventory for every environment, including connector paths and management interfaces.</w:t>
      </w:r>
    </w:p>
    <w:p w14:paraId="5740FE2E"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Secure approved installation media from IBM channels and retain the associated release / fix documents.</w:t>
      </w:r>
    </w:p>
    <w:p w14:paraId="736406A5"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Provision nonproduction first, with representative data and the same authentication approach planned for production.</w:t>
      </w:r>
    </w:p>
    <w:p w14:paraId="5F5FE346"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Run concurrency, integration, restore and security tests before finalizing capacity and go-live dates.</w:t>
      </w:r>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39152313" w14:textId="77777777">
        <w:trPr>
          <w:cantSplit/>
          <w:jc w:val="center"/>
        </w:trPr>
        <w:tc>
          <w:tcPr>
            <w:tcW w:w="9706" w:type="dxa"/>
            <w:shd w:val="clear" w:color="auto" w:fill="FFF4DC"/>
            <w:tcMar>
              <w:top w:w="115" w:type="dxa"/>
              <w:left w:w="150" w:type="dxa"/>
              <w:bottom w:w="115" w:type="dxa"/>
              <w:right w:w="150" w:type="dxa"/>
            </w:tcMar>
          </w:tcPr>
          <w:p w14:paraId="7C9ECDAA" w14:textId="77777777" w:rsidR="00EB0B6B" w:rsidRDefault="00000000">
            <w:pPr>
              <w:keepNext/>
              <w:spacing w:after="80"/>
            </w:pPr>
            <w:r>
              <w:rPr>
                <w:rFonts w:eastAsia="Arial" w:cs="Arial"/>
                <w:b/>
                <w:color w:val="99620C"/>
                <w:sz w:val="19"/>
              </w:rPr>
              <w:t>IMPORTANT PLATFORM BOUNDARY</w:t>
            </w:r>
          </w:p>
          <w:p w14:paraId="7344FFC5" w14:textId="77777777" w:rsidR="00EB0B6B" w:rsidRDefault="00000000">
            <w:pPr>
              <w:spacing w:after="0" w:line="254" w:lineRule="auto"/>
            </w:pPr>
            <w:r>
              <w:rPr>
                <w:rFonts w:eastAsia="Arial" w:cs="Arial"/>
                <w:sz w:val="20"/>
              </w:rPr>
              <w:t>A WSL Ubuntu workstation can be used for administrative tooling where appropriate. It is not evidence that TM1 Server or Workspace is supported for production on WSL or Ubuntu. Workspace Local documentation identifies supported Windows Server and RHEL paths; SPCR must confirm the exact combination.</w:t>
            </w:r>
          </w:p>
        </w:tc>
      </w:tr>
    </w:tbl>
    <w:p w14:paraId="7AEF6923" w14:textId="77777777" w:rsidR="00EB0B6B" w:rsidRDefault="00EB0B6B">
      <w:pPr>
        <w:spacing w:after="0" w:line="120" w:lineRule="auto"/>
      </w:pPr>
    </w:p>
    <w:p w14:paraId="4DA170BB" w14:textId="77777777" w:rsidR="00EB0B6B" w:rsidRDefault="00000000">
      <w:r>
        <w:rPr>
          <w:rFonts w:eastAsia="Arial" w:cs="Arial"/>
        </w:rPr>
        <w:t>For Workspace Local, use the component installation guide and its platform prerequisites, not only the data-tier requirements.</w:t>
      </w:r>
      <w:r>
        <w:rPr>
          <w:rFonts w:eastAsia="Arial" w:cs="Arial"/>
          <w:color w:val="596C7B"/>
          <w:sz w:val="18"/>
        </w:rPr>
        <w:t xml:space="preserve">  </w:t>
      </w:r>
      <w:hyperlink w:anchor="ref_21" w:history="1">
        <w:r>
          <w:rPr>
            <w:color w:val="145EA8"/>
            <w:sz w:val="18"/>
            <w:szCs w:val="18"/>
          </w:rPr>
          <w:t>[R21]</w:t>
        </w:r>
      </w:hyperlink>
    </w:p>
    <w:p w14:paraId="456E8A14" w14:textId="77777777" w:rsidR="00EB0B6B" w:rsidRDefault="00000000">
      <w:pPr>
        <w:pStyle w:val="Heading1"/>
        <w:pageBreakBefore/>
      </w:pPr>
      <w:bookmarkStart w:id="6" w:name="chapter_06"/>
      <w:r>
        <w:rPr>
          <w:rFonts w:ascii="Arial" w:eastAsia="Arial" w:hAnsi="Arial" w:cs="Arial"/>
        </w:rPr>
        <w:t>6. Planning Analytics on Cloud: first access</w:t>
      </w:r>
      <w:bookmarkEnd w:id="6"/>
    </w:p>
    <w:p w14:paraId="3CB3FA6E" w14:textId="77777777" w:rsidR="00EB0B6B" w:rsidRDefault="00000000">
      <w:pPr>
        <w:keepNext/>
        <w:spacing w:after="240"/>
      </w:pPr>
      <w:r>
        <w:rPr>
          <w:rFonts w:eastAsia="Arial" w:cs="Arial"/>
          <w:color w:val="007D79"/>
          <w:sz w:val="20"/>
        </w:rPr>
        <w:t>Hosted deployment means onboarding and configuration, not server installation.</w:t>
      </w:r>
    </w:p>
    <w:p w14:paraId="5F9B2DA5" w14:textId="77777777" w:rsidR="00EB0B6B" w:rsidRDefault="00000000">
      <w:r>
        <w:rPr>
          <w:rFonts w:eastAsia="Arial" w:cs="Arial"/>
        </w:rPr>
        <w:t>The dedicated on Cloud offering is IBM-hosted. IBM onboarding guidance covers IBMid access, the welcome kit, support entitlement, user invitations, Excel tooling and notifications. Parts of older checklists describe retired Rich Tier or gateway arrangements; use the current Cloud 101 notices to identify the replacement workflow.</w:t>
      </w:r>
      <w:r>
        <w:rPr>
          <w:rFonts w:eastAsia="Arial" w:cs="Arial"/>
          <w:color w:val="596C7B"/>
          <w:sz w:val="18"/>
        </w:rPr>
        <w:t xml:space="preserve">  </w:t>
      </w:r>
      <w:hyperlink w:anchor="ref_03" w:history="1">
        <w:r>
          <w:rPr>
            <w:color w:val="145EA8"/>
            <w:sz w:val="18"/>
            <w:szCs w:val="18"/>
          </w:rPr>
          <w:t>[R03]</w:t>
        </w:r>
      </w:hyperlink>
      <w:r>
        <w:rPr>
          <w:rFonts w:eastAsia="Arial" w:cs="Arial"/>
          <w:color w:val="596C7B"/>
          <w:sz w:val="18"/>
        </w:rPr>
        <w:t xml:space="preserve"> </w:t>
      </w:r>
      <w:hyperlink w:anchor="ref_51" w:history="1">
        <w:r>
          <w:rPr>
            <w:color w:val="145EA8"/>
            <w:sz w:val="18"/>
            <w:szCs w:val="18"/>
          </w:rPr>
          <w:t>[R51]</w:t>
        </w:r>
      </w:hyperlink>
      <w:r>
        <w:rPr>
          <w:rFonts w:eastAsia="Arial" w:cs="Arial"/>
          <w:color w:val="596C7B"/>
          <w:sz w:val="18"/>
        </w:rPr>
        <w:t xml:space="preserve"> </w:t>
      </w:r>
      <w:hyperlink w:anchor="ref_14" w:history="1">
        <w:r>
          <w:rPr>
            <w:color w:val="145EA8"/>
            <w:sz w:val="18"/>
            <w:szCs w:val="18"/>
          </w:rPr>
          <w:t>[R14]</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872"/>
        <w:gridCol w:w="4752"/>
        <w:gridCol w:w="3082"/>
      </w:tblGrid>
      <w:tr w:rsidR="00EB0B6B" w14:paraId="3824E6D8" w14:textId="77777777">
        <w:trPr>
          <w:cantSplit/>
          <w:tblHeader/>
          <w:jc w:val="center"/>
        </w:trPr>
        <w:tc>
          <w:tcPr>
            <w:tcW w:w="1872" w:type="dxa"/>
            <w:shd w:val="clear" w:color="auto" w:fill="16324F"/>
            <w:tcMar>
              <w:top w:w="100" w:type="dxa"/>
              <w:left w:w="110" w:type="dxa"/>
              <w:bottom w:w="100" w:type="dxa"/>
              <w:right w:w="110" w:type="dxa"/>
            </w:tcMar>
            <w:vAlign w:val="center"/>
          </w:tcPr>
          <w:p w14:paraId="5F32EB0E" w14:textId="77777777" w:rsidR="00EB0B6B" w:rsidRDefault="00000000">
            <w:pPr>
              <w:spacing w:after="0" w:line="252" w:lineRule="auto"/>
            </w:pPr>
            <w:r>
              <w:rPr>
                <w:rFonts w:eastAsia="Arial" w:cs="Arial"/>
                <w:b/>
                <w:color w:val="FFFFFF"/>
                <w:sz w:val="20"/>
              </w:rPr>
              <w:t>Stage</w:t>
            </w:r>
          </w:p>
        </w:tc>
        <w:tc>
          <w:tcPr>
            <w:tcW w:w="4752" w:type="dxa"/>
            <w:shd w:val="clear" w:color="auto" w:fill="16324F"/>
            <w:tcMar>
              <w:top w:w="100" w:type="dxa"/>
              <w:left w:w="110" w:type="dxa"/>
              <w:bottom w:w="100" w:type="dxa"/>
              <w:right w:w="110" w:type="dxa"/>
            </w:tcMar>
            <w:vAlign w:val="center"/>
          </w:tcPr>
          <w:p w14:paraId="3F70694E" w14:textId="77777777" w:rsidR="00EB0B6B" w:rsidRDefault="00000000">
            <w:pPr>
              <w:spacing w:after="0" w:line="252" w:lineRule="auto"/>
            </w:pPr>
            <w:r>
              <w:rPr>
                <w:rFonts w:eastAsia="Arial" w:cs="Arial"/>
                <w:b/>
                <w:color w:val="FFFFFF"/>
                <w:sz w:val="20"/>
              </w:rPr>
              <w:t>Action</w:t>
            </w:r>
          </w:p>
        </w:tc>
        <w:tc>
          <w:tcPr>
            <w:tcW w:w="3082" w:type="dxa"/>
            <w:shd w:val="clear" w:color="auto" w:fill="16324F"/>
            <w:tcMar>
              <w:top w:w="100" w:type="dxa"/>
              <w:left w:w="110" w:type="dxa"/>
              <w:bottom w:w="100" w:type="dxa"/>
              <w:right w:w="110" w:type="dxa"/>
            </w:tcMar>
            <w:vAlign w:val="center"/>
          </w:tcPr>
          <w:p w14:paraId="56849A6B" w14:textId="77777777" w:rsidR="00EB0B6B" w:rsidRDefault="00000000">
            <w:pPr>
              <w:spacing w:after="0" w:line="252" w:lineRule="auto"/>
            </w:pPr>
            <w:r>
              <w:rPr>
                <w:rFonts w:eastAsia="Arial" w:cs="Arial"/>
                <w:b/>
                <w:color w:val="FFFFFF"/>
                <w:sz w:val="20"/>
              </w:rPr>
              <w:t>Evidence of completion</w:t>
            </w:r>
          </w:p>
        </w:tc>
      </w:tr>
      <w:tr w:rsidR="00EB0B6B" w14:paraId="0DC9A874" w14:textId="77777777">
        <w:trPr>
          <w:cantSplit/>
          <w:jc w:val="center"/>
        </w:trPr>
        <w:tc>
          <w:tcPr>
            <w:tcW w:w="1872" w:type="dxa"/>
            <w:tcMar>
              <w:top w:w="85" w:type="dxa"/>
              <w:left w:w="110" w:type="dxa"/>
              <w:bottom w:w="85" w:type="dxa"/>
              <w:right w:w="110" w:type="dxa"/>
            </w:tcMar>
            <w:vAlign w:val="center"/>
          </w:tcPr>
          <w:p w14:paraId="7AB8BC7D" w14:textId="77777777" w:rsidR="00EB0B6B" w:rsidRDefault="00000000">
            <w:pPr>
              <w:spacing w:after="0" w:line="252" w:lineRule="auto"/>
            </w:pPr>
            <w:r>
              <w:rPr>
                <w:rFonts w:eastAsia="Arial" w:cs="Arial"/>
                <w:b/>
                <w:color w:val="16324F"/>
                <w:sz w:val="20"/>
              </w:rPr>
              <w:t>Identity and subscription</w:t>
            </w:r>
          </w:p>
        </w:tc>
        <w:tc>
          <w:tcPr>
            <w:tcW w:w="4752" w:type="dxa"/>
            <w:tcMar>
              <w:top w:w="85" w:type="dxa"/>
              <w:left w:w="110" w:type="dxa"/>
              <w:bottom w:w="85" w:type="dxa"/>
              <w:right w:w="110" w:type="dxa"/>
            </w:tcMar>
            <w:vAlign w:val="center"/>
          </w:tcPr>
          <w:p w14:paraId="1C240751" w14:textId="77777777" w:rsidR="00EB0B6B" w:rsidRDefault="00000000">
            <w:pPr>
              <w:spacing w:after="0" w:line="252" w:lineRule="auto"/>
            </w:pPr>
            <w:r>
              <w:rPr>
                <w:rFonts w:eastAsia="Arial" w:cs="Arial"/>
                <w:sz w:val="20"/>
              </w:rPr>
              <w:t>Identify the subscription owner; accept the invitation using the correct IBMid; associate the support entitlement.</w:t>
            </w:r>
          </w:p>
        </w:tc>
        <w:tc>
          <w:tcPr>
            <w:tcW w:w="3082" w:type="dxa"/>
            <w:tcMar>
              <w:top w:w="85" w:type="dxa"/>
              <w:left w:w="110" w:type="dxa"/>
              <w:bottom w:w="85" w:type="dxa"/>
              <w:right w:w="110" w:type="dxa"/>
            </w:tcMar>
            <w:vAlign w:val="center"/>
          </w:tcPr>
          <w:p w14:paraId="2D39644D" w14:textId="77777777" w:rsidR="00EB0B6B" w:rsidRDefault="00000000">
            <w:pPr>
              <w:spacing w:after="0" w:line="252" w:lineRule="auto"/>
            </w:pPr>
            <w:r>
              <w:rPr>
                <w:rFonts w:eastAsia="Arial" w:cs="Arial"/>
                <w:sz w:val="20"/>
              </w:rPr>
              <w:t>Named owner, environment URL and working support access.</w:t>
            </w:r>
          </w:p>
        </w:tc>
      </w:tr>
      <w:tr w:rsidR="00EB0B6B" w14:paraId="1E2B98F2" w14:textId="77777777">
        <w:trPr>
          <w:cantSplit/>
          <w:jc w:val="center"/>
        </w:trPr>
        <w:tc>
          <w:tcPr>
            <w:tcW w:w="1872" w:type="dxa"/>
            <w:tcMar>
              <w:top w:w="85" w:type="dxa"/>
              <w:left w:w="110" w:type="dxa"/>
              <w:bottom w:w="85" w:type="dxa"/>
              <w:right w:w="110" w:type="dxa"/>
            </w:tcMar>
            <w:vAlign w:val="center"/>
          </w:tcPr>
          <w:p w14:paraId="0C5032C0" w14:textId="77777777" w:rsidR="00EB0B6B" w:rsidRDefault="00000000">
            <w:pPr>
              <w:spacing w:after="0" w:line="252" w:lineRule="auto"/>
            </w:pPr>
            <w:r>
              <w:rPr>
                <w:rFonts w:eastAsia="Arial" w:cs="Arial"/>
                <w:b/>
                <w:color w:val="16324F"/>
                <w:sz w:val="20"/>
              </w:rPr>
              <w:t>Environment handover</w:t>
            </w:r>
          </w:p>
        </w:tc>
        <w:tc>
          <w:tcPr>
            <w:tcW w:w="4752" w:type="dxa"/>
            <w:tcMar>
              <w:top w:w="85" w:type="dxa"/>
              <w:left w:w="110" w:type="dxa"/>
              <w:bottom w:w="85" w:type="dxa"/>
              <w:right w:w="110" w:type="dxa"/>
            </w:tcMar>
            <w:vAlign w:val="center"/>
          </w:tcPr>
          <w:p w14:paraId="7BB7A399" w14:textId="77777777" w:rsidR="00EB0B6B" w:rsidRDefault="00000000">
            <w:pPr>
              <w:spacing w:after="0" w:line="252" w:lineRule="auto"/>
            </w:pPr>
            <w:r>
              <w:rPr>
                <w:rFonts w:eastAsia="Arial" w:cs="Arial"/>
                <w:sz w:val="20"/>
              </w:rPr>
              <w:t>Retrieve the welcome / environment information using the available administration experience; inventory development and production.</w:t>
            </w:r>
          </w:p>
        </w:tc>
        <w:tc>
          <w:tcPr>
            <w:tcW w:w="3082" w:type="dxa"/>
            <w:tcMar>
              <w:top w:w="85" w:type="dxa"/>
              <w:left w:w="110" w:type="dxa"/>
              <w:bottom w:w="85" w:type="dxa"/>
              <w:right w:w="110" w:type="dxa"/>
            </w:tcMar>
            <w:vAlign w:val="center"/>
          </w:tcPr>
          <w:p w14:paraId="4F0C1918" w14:textId="77777777" w:rsidR="00EB0B6B" w:rsidRDefault="00000000">
            <w:pPr>
              <w:spacing w:after="0" w:line="252" w:lineRule="auto"/>
            </w:pPr>
            <w:r>
              <w:rPr>
                <w:rFonts w:eastAsia="Arial" w:cs="Arial"/>
                <w:sz w:val="20"/>
              </w:rPr>
              <w:t>Recorded URLs, administrators and approved environment purpose.</w:t>
            </w:r>
          </w:p>
        </w:tc>
      </w:tr>
      <w:tr w:rsidR="00EB0B6B" w14:paraId="688BB10C" w14:textId="77777777">
        <w:trPr>
          <w:cantSplit/>
          <w:jc w:val="center"/>
        </w:trPr>
        <w:tc>
          <w:tcPr>
            <w:tcW w:w="1872" w:type="dxa"/>
            <w:tcMar>
              <w:top w:w="85" w:type="dxa"/>
              <w:left w:w="110" w:type="dxa"/>
              <w:bottom w:w="85" w:type="dxa"/>
              <w:right w:w="110" w:type="dxa"/>
            </w:tcMar>
            <w:vAlign w:val="center"/>
          </w:tcPr>
          <w:p w14:paraId="09972C9F" w14:textId="77777777" w:rsidR="00EB0B6B" w:rsidRDefault="00000000">
            <w:pPr>
              <w:spacing w:after="0" w:line="252" w:lineRule="auto"/>
            </w:pPr>
            <w:r>
              <w:rPr>
                <w:rFonts w:eastAsia="Arial" w:cs="Arial"/>
                <w:b/>
                <w:color w:val="16324F"/>
                <w:sz w:val="20"/>
              </w:rPr>
              <w:t>Initial administration</w:t>
            </w:r>
          </w:p>
        </w:tc>
        <w:tc>
          <w:tcPr>
            <w:tcW w:w="4752" w:type="dxa"/>
            <w:tcMar>
              <w:top w:w="85" w:type="dxa"/>
              <w:left w:w="110" w:type="dxa"/>
              <w:bottom w:w="85" w:type="dxa"/>
              <w:right w:w="110" w:type="dxa"/>
            </w:tcMar>
            <w:vAlign w:val="center"/>
          </w:tcPr>
          <w:p w14:paraId="079785CA" w14:textId="77777777" w:rsidR="00EB0B6B" w:rsidRDefault="00000000">
            <w:pPr>
              <w:spacing w:after="0" w:line="252" w:lineRule="auto"/>
            </w:pPr>
            <w:r>
              <w:rPr>
                <w:rFonts w:eastAsia="Arial" w:cs="Arial"/>
                <w:sz w:val="20"/>
              </w:rPr>
              <w:t>Open Workspace, review users / groups and establish a second authorized administrator.</w:t>
            </w:r>
          </w:p>
        </w:tc>
        <w:tc>
          <w:tcPr>
            <w:tcW w:w="3082" w:type="dxa"/>
            <w:tcMar>
              <w:top w:w="85" w:type="dxa"/>
              <w:left w:w="110" w:type="dxa"/>
              <w:bottom w:w="85" w:type="dxa"/>
              <w:right w:w="110" w:type="dxa"/>
            </w:tcMar>
            <w:vAlign w:val="center"/>
          </w:tcPr>
          <w:p w14:paraId="5AF4486F" w14:textId="77777777" w:rsidR="00EB0B6B" w:rsidRDefault="00000000">
            <w:pPr>
              <w:spacing w:after="0" w:line="252" w:lineRule="auto"/>
            </w:pPr>
            <w:r>
              <w:rPr>
                <w:rFonts w:eastAsia="Arial" w:cs="Arial"/>
                <w:sz w:val="20"/>
              </w:rPr>
              <w:t>A second administrator can sign in independently.</w:t>
            </w:r>
          </w:p>
        </w:tc>
      </w:tr>
      <w:tr w:rsidR="00EB0B6B" w14:paraId="27B2EE75" w14:textId="77777777">
        <w:trPr>
          <w:cantSplit/>
          <w:jc w:val="center"/>
        </w:trPr>
        <w:tc>
          <w:tcPr>
            <w:tcW w:w="1872" w:type="dxa"/>
            <w:tcMar>
              <w:top w:w="85" w:type="dxa"/>
              <w:left w:w="110" w:type="dxa"/>
              <w:bottom w:w="85" w:type="dxa"/>
              <w:right w:w="110" w:type="dxa"/>
            </w:tcMar>
            <w:vAlign w:val="center"/>
          </w:tcPr>
          <w:p w14:paraId="52141AAF" w14:textId="77777777" w:rsidR="00EB0B6B" w:rsidRDefault="00000000">
            <w:pPr>
              <w:spacing w:after="0" w:line="252" w:lineRule="auto"/>
            </w:pPr>
            <w:r>
              <w:rPr>
                <w:rFonts w:eastAsia="Arial" w:cs="Arial"/>
                <w:b/>
                <w:color w:val="16324F"/>
                <w:sz w:val="20"/>
              </w:rPr>
              <w:t>Business users</w:t>
            </w:r>
          </w:p>
        </w:tc>
        <w:tc>
          <w:tcPr>
            <w:tcW w:w="4752" w:type="dxa"/>
            <w:tcMar>
              <w:top w:w="85" w:type="dxa"/>
              <w:left w:w="110" w:type="dxa"/>
              <w:bottom w:w="85" w:type="dxa"/>
              <w:right w:w="110" w:type="dxa"/>
            </w:tcMar>
            <w:vAlign w:val="center"/>
          </w:tcPr>
          <w:p w14:paraId="6850990B" w14:textId="77777777" w:rsidR="00EB0B6B" w:rsidRDefault="00000000">
            <w:pPr>
              <w:spacing w:after="0" w:line="252" w:lineRule="auto"/>
            </w:pPr>
            <w:r>
              <w:rPr>
                <w:rFonts w:eastAsia="Arial" w:cs="Arial"/>
                <w:sz w:val="20"/>
              </w:rPr>
              <w:t>Invite the pilot cohort, assign subscription roles, content access and database permissions.</w:t>
            </w:r>
          </w:p>
        </w:tc>
        <w:tc>
          <w:tcPr>
            <w:tcW w:w="3082" w:type="dxa"/>
            <w:tcMar>
              <w:top w:w="85" w:type="dxa"/>
              <w:left w:w="110" w:type="dxa"/>
              <w:bottom w:w="85" w:type="dxa"/>
              <w:right w:w="110" w:type="dxa"/>
            </w:tcMar>
            <w:vAlign w:val="center"/>
          </w:tcPr>
          <w:p w14:paraId="770C234B" w14:textId="77777777" w:rsidR="00EB0B6B" w:rsidRDefault="00000000">
            <w:pPr>
              <w:spacing w:after="0" w:line="252" w:lineRule="auto"/>
            </w:pPr>
            <w:r>
              <w:rPr>
                <w:rFonts w:eastAsia="Arial" w:cs="Arial"/>
                <w:sz w:val="20"/>
              </w:rPr>
              <w:t>A non-admin user sees only the intended data and books.</w:t>
            </w:r>
          </w:p>
        </w:tc>
      </w:tr>
      <w:tr w:rsidR="00EB0B6B" w14:paraId="0AB12845" w14:textId="77777777">
        <w:trPr>
          <w:cantSplit/>
          <w:jc w:val="center"/>
        </w:trPr>
        <w:tc>
          <w:tcPr>
            <w:tcW w:w="1872" w:type="dxa"/>
            <w:tcMar>
              <w:top w:w="85" w:type="dxa"/>
              <w:left w:w="110" w:type="dxa"/>
              <w:bottom w:w="85" w:type="dxa"/>
              <w:right w:w="110" w:type="dxa"/>
            </w:tcMar>
            <w:vAlign w:val="center"/>
          </w:tcPr>
          <w:p w14:paraId="1672BBDF" w14:textId="77777777" w:rsidR="00EB0B6B" w:rsidRDefault="00000000">
            <w:pPr>
              <w:spacing w:after="0" w:line="252" w:lineRule="auto"/>
            </w:pPr>
            <w:r>
              <w:rPr>
                <w:rFonts w:eastAsia="Arial" w:cs="Arial"/>
                <w:b/>
                <w:color w:val="16324F"/>
                <w:sz w:val="20"/>
              </w:rPr>
              <w:t>First usable model</w:t>
            </w:r>
          </w:p>
        </w:tc>
        <w:tc>
          <w:tcPr>
            <w:tcW w:w="4752" w:type="dxa"/>
            <w:tcMar>
              <w:top w:w="85" w:type="dxa"/>
              <w:left w:w="110" w:type="dxa"/>
              <w:bottom w:w="85" w:type="dxa"/>
              <w:right w:w="110" w:type="dxa"/>
            </w:tcMar>
            <w:vAlign w:val="center"/>
          </w:tcPr>
          <w:p w14:paraId="4A9E2AC9" w14:textId="77777777" w:rsidR="00EB0B6B" w:rsidRDefault="00000000">
            <w:pPr>
              <w:spacing w:after="0" w:line="252" w:lineRule="auto"/>
            </w:pPr>
            <w:r>
              <w:rPr>
                <w:rFonts w:eastAsia="Arial" w:cs="Arial"/>
                <w:sz w:val="20"/>
              </w:rPr>
              <w:t>Build or migrate a small validated database, load actuals and publish a pilot book.</w:t>
            </w:r>
          </w:p>
        </w:tc>
        <w:tc>
          <w:tcPr>
            <w:tcW w:w="3082" w:type="dxa"/>
            <w:tcMar>
              <w:top w:w="85" w:type="dxa"/>
              <w:left w:w="110" w:type="dxa"/>
              <w:bottom w:w="85" w:type="dxa"/>
              <w:right w:w="110" w:type="dxa"/>
            </w:tcMar>
            <w:vAlign w:val="center"/>
          </w:tcPr>
          <w:p w14:paraId="30DC3384" w14:textId="77777777" w:rsidR="00EB0B6B" w:rsidRDefault="00000000">
            <w:pPr>
              <w:spacing w:after="0" w:line="252" w:lineRule="auto"/>
            </w:pPr>
            <w:r>
              <w:rPr>
                <w:rFonts w:eastAsia="Arial" w:cs="Arial"/>
                <w:sz w:val="20"/>
              </w:rPr>
              <w:t>Totals reconcile; authorized input and refresh work.</w:t>
            </w:r>
          </w:p>
        </w:tc>
      </w:tr>
      <w:tr w:rsidR="00EB0B6B" w14:paraId="7ADA65D8" w14:textId="77777777">
        <w:trPr>
          <w:cantSplit/>
          <w:jc w:val="center"/>
        </w:trPr>
        <w:tc>
          <w:tcPr>
            <w:tcW w:w="1872" w:type="dxa"/>
            <w:tcMar>
              <w:top w:w="85" w:type="dxa"/>
              <w:left w:w="110" w:type="dxa"/>
              <w:bottom w:w="85" w:type="dxa"/>
              <w:right w:w="110" w:type="dxa"/>
            </w:tcMar>
            <w:vAlign w:val="center"/>
          </w:tcPr>
          <w:p w14:paraId="4962A653" w14:textId="77777777" w:rsidR="00EB0B6B" w:rsidRDefault="00000000">
            <w:pPr>
              <w:spacing w:after="0" w:line="252" w:lineRule="auto"/>
            </w:pPr>
            <w:r>
              <w:rPr>
                <w:rFonts w:eastAsia="Arial" w:cs="Arial"/>
                <w:b/>
                <w:color w:val="16324F"/>
                <w:sz w:val="20"/>
              </w:rPr>
              <w:t>Client and service readiness</w:t>
            </w:r>
          </w:p>
        </w:tc>
        <w:tc>
          <w:tcPr>
            <w:tcW w:w="4752" w:type="dxa"/>
            <w:tcMar>
              <w:top w:w="85" w:type="dxa"/>
              <w:left w:w="110" w:type="dxa"/>
              <w:bottom w:w="85" w:type="dxa"/>
              <w:right w:w="110" w:type="dxa"/>
            </w:tcMar>
            <w:vAlign w:val="center"/>
          </w:tcPr>
          <w:p w14:paraId="68938E06" w14:textId="77777777" w:rsidR="00EB0B6B" w:rsidRDefault="00000000">
            <w:pPr>
              <w:spacing w:after="0" w:line="252" w:lineRule="auto"/>
            </w:pPr>
            <w:r>
              <w:rPr>
                <w:rFonts w:eastAsia="Arial" w:cs="Arial"/>
                <w:sz w:val="20"/>
              </w:rPr>
              <w:t>Install a compatible Excel add-in; subscribe to maintenance and status notices.</w:t>
            </w:r>
          </w:p>
        </w:tc>
        <w:tc>
          <w:tcPr>
            <w:tcW w:w="3082" w:type="dxa"/>
            <w:tcMar>
              <w:top w:w="85" w:type="dxa"/>
              <w:left w:w="110" w:type="dxa"/>
              <w:bottom w:w="85" w:type="dxa"/>
              <w:right w:w="110" w:type="dxa"/>
            </w:tcMar>
            <w:vAlign w:val="center"/>
          </w:tcPr>
          <w:p w14:paraId="7FBC6E24" w14:textId="77777777" w:rsidR="00EB0B6B" w:rsidRDefault="00000000">
            <w:pPr>
              <w:spacing w:after="0" w:line="252" w:lineRule="auto"/>
            </w:pPr>
            <w:r>
              <w:rPr>
                <w:rFonts w:eastAsia="Arial" w:cs="Arial"/>
                <w:sz w:val="20"/>
              </w:rPr>
              <w:t>Excel connects and operational contacts receive notifications.</w:t>
            </w:r>
          </w:p>
        </w:tc>
      </w:tr>
    </w:tbl>
    <w:p w14:paraId="2781F898" w14:textId="77777777" w:rsidR="00EB0B6B" w:rsidRDefault="00EB0B6B">
      <w:pPr>
        <w:spacing w:after="0" w:line="120" w:lineRule="auto"/>
      </w:pPr>
    </w:p>
    <w:p w14:paraId="402AB310" w14:textId="77777777" w:rsidR="00EB0B6B" w:rsidRDefault="00000000">
      <w:pPr>
        <w:pStyle w:val="Heading2"/>
      </w:pPr>
      <w:r>
        <w:rPr>
          <w:rFonts w:ascii="Arial" w:eastAsia="Arial" w:hAnsi="Arial" w:cs="Arial"/>
        </w:rPr>
        <w:t>Recommended onboarding control</w:t>
      </w:r>
    </w:p>
    <w:p w14:paraId="41245078" w14:textId="77777777" w:rsidR="00EB0B6B" w:rsidRDefault="00000000">
      <w:r>
        <w:rPr>
          <w:rFonts w:eastAsia="Arial" w:cs="Arial"/>
        </w:rPr>
        <w:t>Keep an environment register containing the exact offering, tenant / environment identifiers, owner, URLs, identity domain, model inventory, connector responsibility and support escalation contacts. Store credentials in approved secret management, not in the register.</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32C71F6D" w14:textId="77777777">
        <w:trPr>
          <w:cantSplit/>
          <w:jc w:val="center"/>
        </w:trPr>
        <w:tc>
          <w:tcPr>
            <w:tcW w:w="9706" w:type="dxa"/>
            <w:shd w:val="clear" w:color="auto" w:fill="EAF5F2"/>
            <w:tcMar>
              <w:top w:w="115" w:type="dxa"/>
              <w:left w:w="150" w:type="dxa"/>
              <w:bottom w:w="115" w:type="dxa"/>
              <w:right w:w="150" w:type="dxa"/>
            </w:tcMar>
          </w:tcPr>
          <w:p w14:paraId="292FD566" w14:textId="77777777" w:rsidR="00EB0B6B" w:rsidRDefault="00000000">
            <w:pPr>
              <w:keepNext/>
              <w:spacing w:after="80"/>
            </w:pPr>
            <w:r>
              <w:rPr>
                <w:rFonts w:eastAsia="Arial" w:cs="Arial"/>
                <w:b/>
                <w:color w:val="007D79"/>
                <w:sz w:val="19"/>
              </w:rPr>
              <w:t>ACCEPTANCE TEST</w:t>
            </w:r>
          </w:p>
          <w:p w14:paraId="2B1A80AC" w14:textId="77777777" w:rsidR="00EB0B6B" w:rsidRDefault="00000000">
            <w:pPr>
              <w:spacing w:after="0" w:line="254" w:lineRule="auto"/>
            </w:pPr>
            <w:r>
              <w:rPr>
                <w:rFonts w:eastAsia="Arial" w:cs="Arial"/>
                <w:sz w:val="20"/>
              </w:rPr>
              <w:t>Use an ordinary contributor account to open a book, read an approved slice, enter a test value, refresh it from Excel and confirm that an unauthorized slice remains inaccessible. Administrator-only testing is insufficient.</w:t>
            </w:r>
          </w:p>
        </w:tc>
      </w:tr>
    </w:tbl>
    <w:p w14:paraId="1C0D6361" w14:textId="77777777" w:rsidR="00EB0B6B" w:rsidRDefault="00EB0B6B">
      <w:pPr>
        <w:spacing w:after="0" w:line="120" w:lineRule="auto"/>
      </w:pPr>
    </w:p>
    <w:p w14:paraId="48AA3E5B" w14:textId="77777777" w:rsidR="00EB0B6B" w:rsidRDefault="00000000">
      <w:pPr>
        <w:pStyle w:val="Heading1"/>
        <w:pageBreakBefore/>
      </w:pPr>
      <w:bookmarkStart w:id="7" w:name="chapter_07"/>
      <w:r>
        <w:rPr>
          <w:rFonts w:ascii="Arial" w:eastAsia="Arial" w:hAnsi="Arial" w:cs="Arial"/>
        </w:rPr>
        <w:t>7. On Cloud: connectivity and administration</w:t>
      </w:r>
      <w:bookmarkEnd w:id="7"/>
    </w:p>
    <w:p w14:paraId="4626F2CA" w14:textId="77777777" w:rsidR="00EB0B6B" w:rsidRDefault="00000000">
      <w:pPr>
        <w:keepNext/>
        <w:spacing w:after="240"/>
      </w:pPr>
      <w:r>
        <w:rPr>
          <w:rFonts w:eastAsia="Arial" w:cs="Arial"/>
          <w:color w:val="007D79"/>
          <w:sz w:val="20"/>
        </w:rPr>
        <w:t>Treat private data access as a managed integration boundary.</w:t>
      </w:r>
    </w:p>
    <w:p w14:paraId="5F3CFF08" w14:textId="77777777" w:rsidR="00EB0B6B" w:rsidRDefault="00000000">
      <w:r>
        <w:rPr>
          <w:rFonts w:eastAsia="Arial" w:cs="Arial"/>
        </w:rPr>
        <w:t>Current Cloud 101 material highlights the retirement of the hosted Rich Tier desktop and the replacement of Secure Gateway by Satellite Connector. Consequently, an old RDP-based installation tutorial is not a current onboarding plan. Use the supported administration interface and confirm any service-side task with IBM Support.</w:t>
      </w:r>
      <w:r>
        <w:rPr>
          <w:rFonts w:eastAsia="Arial" w:cs="Arial"/>
          <w:color w:val="596C7B"/>
          <w:sz w:val="18"/>
        </w:rPr>
        <w:t xml:space="preserve">  </w:t>
      </w:r>
      <w:hyperlink w:anchor="ref_14" w:history="1">
        <w:r>
          <w:rPr>
            <w:color w:val="145EA8"/>
            <w:sz w:val="18"/>
            <w:szCs w:val="18"/>
          </w:rPr>
          <w:t>[R14]</w:t>
        </w:r>
      </w:hyperlink>
    </w:p>
    <w:p w14:paraId="4210B2F8" w14:textId="77777777" w:rsidR="00EB0B6B" w:rsidRDefault="00000000">
      <w:pPr>
        <w:pStyle w:val="Heading2"/>
      </w:pPr>
      <w:r>
        <w:rPr>
          <w:rFonts w:ascii="Arial" w:eastAsia="Arial" w:hAnsi="Arial" w:cs="Arial"/>
        </w:rPr>
        <w:t>Recommended connector implementation workflow</w:t>
      </w:r>
    </w:p>
    <w:p w14:paraId="15AE9E80"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Inventory each source: hostname, database, driver, port, authentication method, data classification and required load frequency.</w:t>
      </w:r>
    </w:p>
    <w:p w14:paraId="67035623"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Confirm the connector technology and entitlement applicable to the ordered offering. Do not assume a SaaS ODBCIS procedure is the dedicated-cloud Satellite procedure.</w:t>
      </w:r>
    </w:p>
    <w:p w14:paraId="060C5B0E"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Place the connector / agent in an approved network segment with reachability to the source and the IBM service.</w:t>
      </w:r>
    </w:p>
    <w:p w14:paraId="230DCF80"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Implement DNS, TLS trust and firewall rules for the documented flows; keep credentials outside scripts and shared files.</w:t>
      </w:r>
    </w:p>
    <w:p w14:paraId="63DE29CE"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Test connectivity from the actual execution path, then run a small TI load and reconcile counts / totals.</w:t>
      </w:r>
    </w:p>
    <w:p w14:paraId="5CF6A88A"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Record ownership, availability monitoring, certificate renewal and failure-handling procedures.</w:t>
      </w:r>
    </w:p>
    <w:p w14:paraId="7DAC94C4" w14:textId="77777777" w:rsidR="00EB0B6B" w:rsidRDefault="00000000">
      <w:r>
        <w:rPr>
          <w:rFonts w:eastAsia="Arial" w:cs="Arial"/>
        </w:rPr>
        <w:t>IBM publishes Satellite Connector entitlement guidance and a dedicated must-gather. Entitlements and operational limits must be checked against the current contract. The must-gather can include sensitive connector configuration, so redact API keys before sharing diagnostics.</w:t>
      </w:r>
      <w:r>
        <w:rPr>
          <w:rFonts w:eastAsia="Arial" w:cs="Arial"/>
          <w:color w:val="596C7B"/>
          <w:sz w:val="18"/>
        </w:rPr>
        <w:t xml:space="preserve">  </w:t>
      </w:r>
      <w:hyperlink w:anchor="ref_61" w:history="1">
        <w:r>
          <w:rPr>
            <w:color w:val="145EA8"/>
            <w:sz w:val="18"/>
            <w:szCs w:val="18"/>
          </w:rPr>
          <w:t>[R61]</w:t>
        </w:r>
      </w:hyperlink>
      <w:r>
        <w:rPr>
          <w:rFonts w:eastAsia="Arial" w:cs="Arial"/>
          <w:color w:val="596C7B"/>
          <w:sz w:val="18"/>
        </w:rPr>
        <w:t xml:space="preserve"> </w:t>
      </w:r>
      <w:hyperlink w:anchor="ref_60" w:history="1">
        <w:r>
          <w:rPr>
            <w:color w:val="145EA8"/>
            <w:sz w:val="18"/>
            <w:szCs w:val="18"/>
          </w:rPr>
          <w:t>[R60]</w:t>
        </w:r>
      </w:hyperlink>
    </w:p>
    <w:p w14:paraId="60D40CDA" w14:textId="77777777" w:rsidR="00EB0B6B" w:rsidRDefault="00000000">
      <w:pPr>
        <w:pStyle w:val="Heading2"/>
      </w:pPr>
      <w:r>
        <w:rPr>
          <w:rFonts w:ascii="Arial" w:eastAsia="Arial" w:hAnsi="Arial" w:cs="Arial"/>
        </w:rPr>
        <w:t>Recommended steady-state checks</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520"/>
        <w:gridCol w:w="7186"/>
      </w:tblGrid>
      <w:tr w:rsidR="00EB0B6B" w14:paraId="0085B362" w14:textId="77777777">
        <w:trPr>
          <w:cantSplit/>
          <w:tblHeader/>
          <w:jc w:val="center"/>
        </w:trPr>
        <w:tc>
          <w:tcPr>
            <w:tcW w:w="2520" w:type="dxa"/>
            <w:shd w:val="clear" w:color="auto" w:fill="16324F"/>
            <w:tcMar>
              <w:top w:w="100" w:type="dxa"/>
              <w:left w:w="110" w:type="dxa"/>
              <w:bottom w:w="100" w:type="dxa"/>
              <w:right w:w="110" w:type="dxa"/>
            </w:tcMar>
            <w:vAlign w:val="center"/>
          </w:tcPr>
          <w:p w14:paraId="41FDE588" w14:textId="77777777" w:rsidR="00EB0B6B" w:rsidRDefault="00000000">
            <w:pPr>
              <w:spacing w:after="0" w:line="252" w:lineRule="auto"/>
            </w:pPr>
            <w:r>
              <w:rPr>
                <w:rFonts w:eastAsia="Arial" w:cs="Arial"/>
                <w:b/>
                <w:color w:val="FFFFFF"/>
                <w:sz w:val="20"/>
              </w:rPr>
              <w:t>Frequency</w:t>
            </w:r>
          </w:p>
        </w:tc>
        <w:tc>
          <w:tcPr>
            <w:tcW w:w="7186" w:type="dxa"/>
            <w:shd w:val="clear" w:color="auto" w:fill="16324F"/>
            <w:tcMar>
              <w:top w:w="100" w:type="dxa"/>
              <w:left w:w="110" w:type="dxa"/>
              <w:bottom w:w="100" w:type="dxa"/>
              <w:right w:w="110" w:type="dxa"/>
            </w:tcMar>
            <w:vAlign w:val="center"/>
          </w:tcPr>
          <w:p w14:paraId="445B602F" w14:textId="77777777" w:rsidR="00EB0B6B" w:rsidRDefault="00000000">
            <w:pPr>
              <w:spacing w:after="0" w:line="252" w:lineRule="auto"/>
            </w:pPr>
            <w:r>
              <w:rPr>
                <w:rFonts w:eastAsia="Arial" w:cs="Arial"/>
                <w:b/>
                <w:color w:val="FFFFFF"/>
                <w:sz w:val="20"/>
              </w:rPr>
              <w:t>Operational check</w:t>
            </w:r>
          </w:p>
        </w:tc>
      </w:tr>
      <w:tr w:rsidR="00EB0B6B" w14:paraId="1BBDA03A" w14:textId="77777777">
        <w:trPr>
          <w:cantSplit/>
          <w:jc w:val="center"/>
        </w:trPr>
        <w:tc>
          <w:tcPr>
            <w:tcW w:w="2520" w:type="dxa"/>
            <w:tcMar>
              <w:top w:w="85" w:type="dxa"/>
              <w:left w:w="110" w:type="dxa"/>
              <w:bottom w:w="85" w:type="dxa"/>
              <w:right w:w="110" w:type="dxa"/>
            </w:tcMar>
            <w:vAlign w:val="center"/>
          </w:tcPr>
          <w:p w14:paraId="243F74F2" w14:textId="77777777" w:rsidR="00EB0B6B" w:rsidRDefault="00000000">
            <w:pPr>
              <w:spacing w:after="0" w:line="252" w:lineRule="auto"/>
            </w:pPr>
            <w:r>
              <w:rPr>
                <w:rFonts w:eastAsia="Arial" w:cs="Arial"/>
                <w:b/>
                <w:color w:val="16324F"/>
                <w:sz w:val="20"/>
              </w:rPr>
              <w:t>After each scheduled load</w:t>
            </w:r>
          </w:p>
        </w:tc>
        <w:tc>
          <w:tcPr>
            <w:tcW w:w="7186" w:type="dxa"/>
            <w:tcMar>
              <w:top w:w="85" w:type="dxa"/>
              <w:left w:w="110" w:type="dxa"/>
              <w:bottom w:w="85" w:type="dxa"/>
              <w:right w:w="110" w:type="dxa"/>
            </w:tcMar>
            <w:vAlign w:val="center"/>
          </w:tcPr>
          <w:p w14:paraId="31762030" w14:textId="77777777" w:rsidR="00EB0B6B" w:rsidRDefault="00000000">
            <w:pPr>
              <w:spacing w:after="0" w:line="252" w:lineRule="auto"/>
            </w:pPr>
            <w:r>
              <w:rPr>
                <w:rFonts w:eastAsia="Arial" w:cs="Arial"/>
                <w:sz w:val="20"/>
              </w:rPr>
              <w:t>Check completion, rejected records, data recency and reconciliation totals.</w:t>
            </w:r>
          </w:p>
        </w:tc>
      </w:tr>
      <w:tr w:rsidR="00EB0B6B" w14:paraId="67BDD60A" w14:textId="77777777">
        <w:trPr>
          <w:cantSplit/>
          <w:jc w:val="center"/>
        </w:trPr>
        <w:tc>
          <w:tcPr>
            <w:tcW w:w="2520" w:type="dxa"/>
            <w:tcMar>
              <w:top w:w="85" w:type="dxa"/>
              <w:left w:w="110" w:type="dxa"/>
              <w:bottom w:w="85" w:type="dxa"/>
              <w:right w:w="110" w:type="dxa"/>
            </w:tcMar>
            <w:vAlign w:val="center"/>
          </w:tcPr>
          <w:p w14:paraId="54B8978A" w14:textId="77777777" w:rsidR="00EB0B6B" w:rsidRDefault="00000000">
            <w:pPr>
              <w:spacing w:after="0" w:line="252" w:lineRule="auto"/>
            </w:pPr>
            <w:r>
              <w:rPr>
                <w:rFonts w:eastAsia="Arial" w:cs="Arial"/>
                <w:b/>
                <w:color w:val="16324F"/>
                <w:sz w:val="20"/>
              </w:rPr>
              <w:t>Daily / business critical window</w:t>
            </w:r>
          </w:p>
        </w:tc>
        <w:tc>
          <w:tcPr>
            <w:tcW w:w="7186" w:type="dxa"/>
            <w:tcMar>
              <w:top w:w="85" w:type="dxa"/>
              <w:left w:w="110" w:type="dxa"/>
              <w:bottom w:w="85" w:type="dxa"/>
              <w:right w:w="110" w:type="dxa"/>
            </w:tcMar>
            <w:vAlign w:val="center"/>
          </w:tcPr>
          <w:p w14:paraId="489A6FBF" w14:textId="77777777" w:rsidR="00EB0B6B" w:rsidRDefault="00000000">
            <w:pPr>
              <w:spacing w:after="0" w:line="252" w:lineRule="auto"/>
            </w:pPr>
            <w:r>
              <w:rPr>
                <w:rFonts w:eastAsia="Arial" w:cs="Arial"/>
                <w:sz w:val="20"/>
              </w:rPr>
              <w:t>Review database availability, integration failures and capacity alerts.</w:t>
            </w:r>
          </w:p>
        </w:tc>
      </w:tr>
      <w:tr w:rsidR="00EB0B6B" w14:paraId="604A934B" w14:textId="77777777">
        <w:trPr>
          <w:cantSplit/>
          <w:jc w:val="center"/>
        </w:trPr>
        <w:tc>
          <w:tcPr>
            <w:tcW w:w="2520" w:type="dxa"/>
            <w:tcMar>
              <w:top w:w="85" w:type="dxa"/>
              <w:left w:w="110" w:type="dxa"/>
              <w:bottom w:w="85" w:type="dxa"/>
              <w:right w:w="110" w:type="dxa"/>
            </w:tcMar>
            <w:vAlign w:val="center"/>
          </w:tcPr>
          <w:p w14:paraId="78C92DCC" w14:textId="77777777" w:rsidR="00EB0B6B" w:rsidRDefault="00000000">
            <w:pPr>
              <w:spacing w:after="0" w:line="252" w:lineRule="auto"/>
            </w:pPr>
            <w:r>
              <w:rPr>
                <w:rFonts w:eastAsia="Arial" w:cs="Arial"/>
                <w:b/>
                <w:color w:val="16324F"/>
                <w:sz w:val="20"/>
              </w:rPr>
              <w:t>Before maintenance</w:t>
            </w:r>
          </w:p>
        </w:tc>
        <w:tc>
          <w:tcPr>
            <w:tcW w:w="7186" w:type="dxa"/>
            <w:tcMar>
              <w:top w:w="85" w:type="dxa"/>
              <w:left w:w="110" w:type="dxa"/>
              <w:bottom w:w="85" w:type="dxa"/>
              <w:right w:w="110" w:type="dxa"/>
            </w:tcMar>
            <w:vAlign w:val="center"/>
          </w:tcPr>
          <w:p w14:paraId="58EEE817" w14:textId="77777777" w:rsidR="00EB0B6B" w:rsidRDefault="00000000">
            <w:pPr>
              <w:spacing w:after="0" w:line="252" w:lineRule="auto"/>
            </w:pPr>
            <w:r>
              <w:rPr>
                <w:rFonts w:eastAsia="Arial" w:cs="Arial"/>
                <w:sz w:val="20"/>
              </w:rPr>
              <w:t>Confirm affected environments, business freeze periods, test ownership and communication.</w:t>
            </w:r>
          </w:p>
        </w:tc>
      </w:tr>
      <w:tr w:rsidR="00EB0B6B" w14:paraId="510B6E25" w14:textId="77777777">
        <w:trPr>
          <w:cantSplit/>
          <w:jc w:val="center"/>
        </w:trPr>
        <w:tc>
          <w:tcPr>
            <w:tcW w:w="2520" w:type="dxa"/>
            <w:tcMar>
              <w:top w:w="85" w:type="dxa"/>
              <w:left w:w="110" w:type="dxa"/>
              <w:bottom w:w="85" w:type="dxa"/>
              <w:right w:w="110" w:type="dxa"/>
            </w:tcMar>
            <w:vAlign w:val="center"/>
          </w:tcPr>
          <w:p w14:paraId="28019564" w14:textId="77777777" w:rsidR="00EB0B6B" w:rsidRDefault="00000000">
            <w:pPr>
              <w:spacing w:after="0" w:line="252" w:lineRule="auto"/>
            </w:pPr>
            <w:r>
              <w:rPr>
                <w:rFonts w:eastAsia="Arial" w:cs="Arial"/>
                <w:b/>
                <w:color w:val="16324F"/>
                <w:sz w:val="20"/>
              </w:rPr>
              <w:t>After maintenance</w:t>
            </w:r>
          </w:p>
        </w:tc>
        <w:tc>
          <w:tcPr>
            <w:tcW w:w="7186" w:type="dxa"/>
            <w:tcMar>
              <w:top w:w="85" w:type="dxa"/>
              <w:left w:w="110" w:type="dxa"/>
              <w:bottom w:w="85" w:type="dxa"/>
              <w:right w:w="110" w:type="dxa"/>
            </w:tcMar>
            <w:vAlign w:val="center"/>
          </w:tcPr>
          <w:p w14:paraId="5FCCDB71" w14:textId="77777777" w:rsidR="00EB0B6B" w:rsidRDefault="00000000">
            <w:pPr>
              <w:spacing w:after="0" w:line="252" w:lineRule="auto"/>
            </w:pPr>
            <w:r>
              <w:rPr>
                <w:rFonts w:eastAsia="Arial" w:cs="Arial"/>
                <w:sz w:val="20"/>
              </w:rPr>
              <w:t>Run login, load, calculation, Excel and websheet smoke tests; record results.</w:t>
            </w:r>
          </w:p>
        </w:tc>
      </w:tr>
    </w:tbl>
    <w:p w14:paraId="3E8D5117" w14:textId="77777777" w:rsidR="00EB0B6B" w:rsidRDefault="00EB0B6B">
      <w:pPr>
        <w:spacing w:after="0" w:line="120" w:lineRule="auto"/>
      </w:pPr>
    </w:p>
    <w:p w14:paraId="4E6CBC6A" w14:textId="77777777" w:rsidR="00EB0B6B" w:rsidRDefault="00000000">
      <w:r>
        <w:rPr>
          <w:rFonts w:eastAsia="Arial" w:cs="Arial"/>
        </w:rPr>
        <w:t>Use IBM service-status and maintenance resources for actual notices rather than assuming a fixed maintenance time from an older onboarding article.</w:t>
      </w:r>
      <w:r>
        <w:rPr>
          <w:rFonts w:eastAsia="Arial" w:cs="Arial"/>
          <w:color w:val="596C7B"/>
          <w:sz w:val="18"/>
        </w:rPr>
        <w:t xml:space="preserve">  </w:t>
      </w:r>
      <w:hyperlink w:anchor="ref_65" w:history="1">
        <w:r>
          <w:rPr>
            <w:color w:val="145EA8"/>
            <w:sz w:val="18"/>
            <w:szCs w:val="18"/>
          </w:rPr>
          <w:t>[R65]</w:t>
        </w:r>
      </w:hyperlink>
      <w:r>
        <w:rPr>
          <w:rFonts w:eastAsia="Arial" w:cs="Arial"/>
          <w:color w:val="596C7B"/>
          <w:sz w:val="18"/>
        </w:rPr>
        <w:t xml:space="preserve"> </w:t>
      </w:r>
      <w:hyperlink w:anchor="ref_66" w:history="1">
        <w:r>
          <w:rPr>
            <w:color w:val="145EA8"/>
            <w:sz w:val="18"/>
            <w:szCs w:val="18"/>
          </w:rPr>
          <w:t>[R66]</w:t>
        </w:r>
      </w:hyperlink>
    </w:p>
    <w:p w14:paraId="3C851F47" w14:textId="77777777" w:rsidR="00EB0B6B" w:rsidRDefault="00000000">
      <w:pPr>
        <w:pStyle w:val="Heading1"/>
        <w:pageBreakBefore/>
      </w:pPr>
      <w:bookmarkStart w:id="8" w:name="chapter_08"/>
      <w:r>
        <w:rPr>
          <w:rFonts w:ascii="Arial" w:eastAsia="Arial" w:hAnsi="Arial" w:cs="Arial"/>
        </w:rPr>
        <w:t>8. Planning Analytics as a Service: onboarding</w:t>
      </w:r>
      <w:bookmarkEnd w:id="8"/>
    </w:p>
    <w:p w14:paraId="5A0DA86E" w14:textId="77777777" w:rsidR="00EB0B6B" w:rsidRDefault="00000000">
      <w:pPr>
        <w:keepNext/>
        <w:spacing w:after="240"/>
      </w:pPr>
      <w:r>
        <w:rPr>
          <w:rFonts w:eastAsia="Arial" w:cs="Arial"/>
          <w:color w:val="007D79"/>
          <w:sz w:val="20"/>
        </w:rPr>
        <w:t>Keep the SaaS control plane distinct from dedicated on Cloud.</w:t>
      </w:r>
    </w:p>
    <w:p w14:paraId="5903624B" w14:textId="77777777" w:rsidR="00EB0B6B" w:rsidRDefault="00000000">
      <w:r>
        <w:rPr>
          <w:rFonts w:eastAsia="Arial" w:cs="Arial"/>
        </w:rPr>
        <w:t>IBM SaaS onboarding guidance starts with provisioning through the SaaS console, preparing the environment, creating a database, adding users and configuring connectivity. The associated 101 hub has separate engine, migration and ODBC connector support resources. Use these rather than reusing dedicated-cloud administrative credentials or paths.</w:t>
      </w:r>
      <w:r>
        <w:rPr>
          <w:rFonts w:eastAsia="Arial" w:cs="Arial"/>
          <w:color w:val="596C7B"/>
          <w:sz w:val="18"/>
        </w:rPr>
        <w:t xml:space="preserve">  </w:t>
      </w:r>
      <w:hyperlink w:anchor="ref_52" w:history="1">
        <w:r>
          <w:rPr>
            <w:color w:val="145EA8"/>
            <w:sz w:val="18"/>
            <w:szCs w:val="18"/>
          </w:rPr>
          <w:t>[R52]</w:t>
        </w:r>
      </w:hyperlink>
      <w:r>
        <w:rPr>
          <w:rFonts w:eastAsia="Arial" w:cs="Arial"/>
          <w:color w:val="596C7B"/>
          <w:sz w:val="18"/>
        </w:rPr>
        <w:t xml:space="preserve"> </w:t>
      </w:r>
      <w:hyperlink w:anchor="ref_56" w:history="1">
        <w:r>
          <w:rPr>
            <w:color w:val="145EA8"/>
            <w:sz w:val="18"/>
            <w:szCs w:val="18"/>
          </w:rPr>
          <w:t>[R56]</w:t>
        </w:r>
      </w:hyperlink>
      <w:r>
        <w:rPr>
          <w:rFonts w:eastAsia="Arial" w:cs="Arial"/>
          <w:color w:val="596C7B"/>
          <w:sz w:val="18"/>
        </w:rPr>
        <w:t xml:space="preserve"> </w:t>
      </w:r>
      <w:hyperlink w:anchor="ref_16" w:history="1">
        <w:r>
          <w:rPr>
            <w:color w:val="145EA8"/>
            <w:sz w:val="18"/>
            <w:szCs w:val="18"/>
          </w:rPr>
          <w:t>[R16]</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864"/>
        <w:gridCol w:w="4968"/>
        <w:gridCol w:w="3874"/>
      </w:tblGrid>
      <w:tr w:rsidR="00EB0B6B" w14:paraId="0CA6B813" w14:textId="77777777">
        <w:trPr>
          <w:cantSplit/>
          <w:tblHeader/>
          <w:jc w:val="center"/>
        </w:trPr>
        <w:tc>
          <w:tcPr>
            <w:tcW w:w="864" w:type="dxa"/>
            <w:shd w:val="clear" w:color="auto" w:fill="16324F"/>
            <w:tcMar>
              <w:top w:w="100" w:type="dxa"/>
              <w:left w:w="110" w:type="dxa"/>
              <w:bottom w:w="100" w:type="dxa"/>
              <w:right w:w="110" w:type="dxa"/>
            </w:tcMar>
            <w:vAlign w:val="center"/>
          </w:tcPr>
          <w:p w14:paraId="71DECB62" w14:textId="77777777" w:rsidR="00EB0B6B" w:rsidRDefault="00000000">
            <w:pPr>
              <w:spacing w:after="0" w:line="252" w:lineRule="auto"/>
            </w:pPr>
            <w:r>
              <w:rPr>
                <w:rFonts w:eastAsia="Arial" w:cs="Arial"/>
                <w:b/>
                <w:color w:val="FFFFFF"/>
                <w:sz w:val="20"/>
              </w:rPr>
              <w:t>Step</w:t>
            </w:r>
          </w:p>
        </w:tc>
        <w:tc>
          <w:tcPr>
            <w:tcW w:w="4968" w:type="dxa"/>
            <w:shd w:val="clear" w:color="auto" w:fill="16324F"/>
            <w:tcMar>
              <w:top w:w="100" w:type="dxa"/>
              <w:left w:w="110" w:type="dxa"/>
              <w:bottom w:w="100" w:type="dxa"/>
              <w:right w:w="110" w:type="dxa"/>
            </w:tcMar>
            <w:vAlign w:val="center"/>
          </w:tcPr>
          <w:p w14:paraId="0B2D5D46" w14:textId="77777777" w:rsidR="00EB0B6B" w:rsidRDefault="00000000">
            <w:pPr>
              <w:spacing w:after="0" w:line="252" w:lineRule="auto"/>
            </w:pPr>
            <w:r>
              <w:rPr>
                <w:rFonts w:eastAsia="Arial" w:cs="Arial"/>
                <w:b/>
                <w:color w:val="FFFFFF"/>
                <w:sz w:val="20"/>
              </w:rPr>
              <w:t>Configuration task</w:t>
            </w:r>
          </w:p>
        </w:tc>
        <w:tc>
          <w:tcPr>
            <w:tcW w:w="3874" w:type="dxa"/>
            <w:shd w:val="clear" w:color="auto" w:fill="16324F"/>
            <w:tcMar>
              <w:top w:w="100" w:type="dxa"/>
              <w:left w:w="110" w:type="dxa"/>
              <w:bottom w:w="100" w:type="dxa"/>
              <w:right w:w="110" w:type="dxa"/>
            </w:tcMar>
            <w:vAlign w:val="center"/>
          </w:tcPr>
          <w:p w14:paraId="666004D8" w14:textId="77777777" w:rsidR="00EB0B6B" w:rsidRDefault="00000000">
            <w:pPr>
              <w:spacing w:after="0" w:line="252" w:lineRule="auto"/>
            </w:pPr>
            <w:r>
              <w:rPr>
                <w:rFonts w:eastAsia="Arial" w:cs="Arial"/>
                <w:b/>
                <w:color w:val="FFFFFF"/>
                <w:sz w:val="20"/>
              </w:rPr>
              <w:t>Acceptance outcome</w:t>
            </w:r>
          </w:p>
        </w:tc>
      </w:tr>
      <w:tr w:rsidR="00EB0B6B" w14:paraId="2DC498DE" w14:textId="77777777">
        <w:trPr>
          <w:cantSplit/>
          <w:jc w:val="center"/>
        </w:trPr>
        <w:tc>
          <w:tcPr>
            <w:tcW w:w="864" w:type="dxa"/>
            <w:tcMar>
              <w:top w:w="85" w:type="dxa"/>
              <w:left w:w="110" w:type="dxa"/>
              <w:bottom w:w="85" w:type="dxa"/>
              <w:right w:w="110" w:type="dxa"/>
            </w:tcMar>
            <w:vAlign w:val="center"/>
          </w:tcPr>
          <w:p w14:paraId="72F07010" w14:textId="77777777" w:rsidR="00EB0B6B" w:rsidRDefault="00000000">
            <w:pPr>
              <w:spacing w:after="0" w:line="252" w:lineRule="auto"/>
            </w:pPr>
            <w:r>
              <w:rPr>
                <w:rFonts w:eastAsia="Arial" w:cs="Arial"/>
                <w:b/>
                <w:color w:val="16324F"/>
                <w:sz w:val="20"/>
              </w:rPr>
              <w:t>1</w:t>
            </w:r>
          </w:p>
        </w:tc>
        <w:tc>
          <w:tcPr>
            <w:tcW w:w="4968" w:type="dxa"/>
            <w:tcMar>
              <w:top w:w="85" w:type="dxa"/>
              <w:left w:w="110" w:type="dxa"/>
              <w:bottom w:w="85" w:type="dxa"/>
              <w:right w:w="110" w:type="dxa"/>
            </w:tcMar>
            <w:vAlign w:val="center"/>
          </w:tcPr>
          <w:p w14:paraId="0D081ABD" w14:textId="77777777" w:rsidR="00EB0B6B" w:rsidRDefault="00000000">
            <w:pPr>
              <w:spacing w:after="0" w:line="252" w:lineRule="auto"/>
            </w:pPr>
            <w:r>
              <w:rPr>
                <w:rFonts w:eastAsia="Arial" w:cs="Arial"/>
                <w:sz w:val="20"/>
              </w:rPr>
              <w:t>Confirm tenant owner, subscription, region and environments in the console.</w:t>
            </w:r>
          </w:p>
        </w:tc>
        <w:tc>
          <w:tcPr>
            <w:tcW w:w="3874" w:type="dxa"/>
            <w:tcMar>
              <w:top w:w="85" w:type="dxa"/>
              <w:left w:w="110" w:type="dxa"/>
              <w:bottom w:w="85" w:type="dxa"/>
              <w:right w:w="110" w:type="dxa"/>
            </w:tcMar>
            <w:vAlign w:val="center"/>
          </w:tcPr>
          <w:p w14:paraId="0AF68121" w14:textId="77777777" w:rsidR="00EB0B6B" w:rsidRDefault="00000000">
            <w:pPr>
              <w:spacing w:after="0" w:line="252" w:lineRule="auto"/>
            </w:pPr>
            <w:r>
              <w:rPr>
                <w:rFonts w:eastAsia="Arial" w:cs="Arial"/>
                <w:sz w:val="20"/>
              </w:rPr>
              <w:t>Owner can administer the correct service instance.</w:t>
            </w:r>
          </w:p>
        </w:tc>
      </w:tr>
      <w:tr w:rsidR="00EB0B6B" w14:paraId="7E7C3E2D" w14:textId="77777777">
        <w:trPr>
          <w:cantSplit/>
          <w:jc w:val="center"/>
        </w:trPr>
        <w:tc>
          <w:tcPr>
            <w:tcW w:w="864" w:type="dxa"/>
            <w:tcMar>
              <w:top w:w="85" w:type="dxa"/>
              <w:left w:w="110" w:type="dxa"/>
              <w:bottom w:w="85" w:type="dxa"/>
              <w:right w:w="110" w:type="dxa"/>
            </w:tcMar>
            <w:vAlign w:val="center"/>
          </w:tcPr>
          <w:p w14:paraId="6A295A3B" w14:textId="77777777" w:rsidR="00EB0B6B" w:rsidRDefault="00000000">
            <w:pPr>
              <w:spacing w:after="0" w:line="252" w:lineRule="auto"/>
            </w:pPr>
            <w:r>
              <w:rPr>
                <w:rFonts w:eastAsia="Arial" w:cs="Arial"/>
                <w:b/>
                <w:color w:val="16324F"/>
                <w:sz w:val="20"/>
              </w:rPr>
              <w:t>2</w:t>
            </w:r>
          </w:p>
        </w:tc>
        <w:tc>
          <w:tcPr>
            <w:tcW w:w="4968" w:type="dxa"/>
            <w:tcMar>
              <w:top w:w="85" w:type="dxa"/>
              <w:left w:w="110" w:type="dxa"/>
              <w:bottom w:w="85" w:type="dxa"/>
              <w:right w:w="110" w:type="dxa"/>
            </w:tcMar>
            <w:vAlign w:val="center"/>
          </w:tcPr>
          <w:p w14:paraId="4F77849D" w14:textId="77777777" w:rsidR="00EB0B6B" w:rsidRDefault="00000000">
            <w:pPr>
              <w:spacing w:after="0" w:line="252" w:lineRule="auto"/>
            </w:pPr>
            <w:r>
              <w:rPr>
                <w:rFonts w:eastAsia="Arial" w:cs="Arial"/>
                <w:sz w:val="20"/>
              </w:rPr>
              <w:t>Create or allocate the planning database using the supported administration workflow.</w:t>
            </w:r>
          </w:p>
        </w:tc>
        <w:tc>
          <w:tcPr>
            <w:tcW w:w="3874" w:type="dxa"/>
            <w:tcMar>
              <w:top w:w="85" w:type="dxa"/>
              <w:left w:w="110" w:type="dxa"/>
              <w:bottom w:w="85" w:type="dxa"/>
              <w:right w:w="110" w:type="dxa"/>
            </w:tcMar>
            <w:vAlign w:val="center"/>
          </w:tcPr>
          <w:p w14:paraId="37276C8D" w14:textId="77777777" w:rsidR="00EB0B6B" w:rsidRDefault="00000000">
            <w:pPr>
              <w:spacing w:after="0" w:line="252" w:lineRule="auto"/>
            </w:pPr>
            <w:r>
              <w:rPr>
                <w:rFonts w:eastAsia="Arial" w:cs="Arial"/>
                <w:sz w:val="20"/>
              </w:rPr>
              <w:t>Database is available within the approved capacity allocation.</w:t>
            </w:r>
          </w:p>
        </w:tc>
      </w:tr>
      <w:tr w:rsidR="00EB0B6B" w14:paraId="2BDDE894" w14:textId="77777777">
        <w:trPr>
          <w:cantSplit/>
          <w:jc w:val="center"/>
        </w:trPr>
        <w:tc>
          <w:tcPr>
            <w:tcW w:w="864" w:type="dxa"/>
            <w:tcMar>
              <w:top w:w="85" w:type="dxa"/>
              <w:left w:w="110" w:type="dxa"/>
              <w:bottom w:w="85" w:type="dxa"/>
              <w:right w:w="110" w:type="dxa"/>
            </w:tcMar>
            <w:vAlign w:val="center"/>
          </w:tcPr>
          <w:p w14:paraId="7F6A4632" w14:textId="77777777" w:rsidR="00EB0B6B" w:rsidRDefault="00000000">
            <w:pPr>
              <w:spacing w:after="0" w:line="252" w:lineRule="auto"/>
            </w:pPr>
            <w:r>
              <w:rPr>
                <w:rFonts w:eastAsia="Arial" w:cs="Arial"/>
                <w:b/>
                <w:color w:val="16324F"/>
                <w:sz w:val="20"/>
              </w:rPr>
              <w:t>3</w:t>
            </w:r>
          </w:p>
        </w:tc>
        <w:tc>
          <w:tcPr>
            <w:tcW w:w="4968" w:type="dxa"/>
            <w:tcMar>
              <w:top w:w="85" w:type="dxa"/>
              <w:left w:w="110" w:type="dxa"/>
              <w:bottom w:w="85" w:type="dxa"/>
              <w:right w:w="110" w:type="dxa"/>
            </w:tcMar>
            <w:vAlign w:val="center"/>
          </w:tcPr>
          <w:p w14:paraId="2B13E420" w14:textId="77777777" w:rsidR="00EB0B6B" w:rsidRDefault="00000000">
            <w:pPr>
              <w:spacing w:after="0" w:line="252" w:lineRule="auto"/>
            </w:pPr>
            <w:r>
              <w:rPr>
                <w:rFonts w:eastAsia="Arial" w:cs="Arial"/>
                <w:sz w:val="20"/>
              </w:rPr>
              <w:t>Invite users and assign environment, Workspace and database access.</w:t>
            </w:r>
          </w:p>
        </w:tc>
        <w:tc>
          <w:tcPr>
            <w:tcW w:w="3874" w:type="dxa"/>
            <w:tcMar>
              <w:top w:w="85" w:type="dxa"/>
              <w:left w:w="110" w:type="dxa"/>
              <w:bottom w:w="85" w:type="dxa"/>
              <w:right w:w="110" w:type="dxa"/>
            </w:tcMar>
            <w:vAlign w:val="center"/>
          </w:tcPr>
          <w:p w14:paraId="3523721F" w14:textId="77777777" w:rsidR="00EB0B6B" w:rsidRDefault="00000000">
            <w:pPr>
              <w:spacing w:after="0" w:line="252" w:lineRule="auto"/>
            </w:pPr>
            <w:r>
              <w:rPr>
                <w:rFonts w:eastAsia="Arial" w:cs="Arial"/>
                <w:sz w:val="20"/>
              </w:rPr>
              <w:t>Pilot contributor has only the intended privileges.</w:t>
            </w:r>
          </w:p>
        </w:tc>
      </w:tr>
      <w:tr w:rsidR="00EB0B6B" w14:paraId="2B28EF16" w14:textId="77777777">
        <w:trPr>
          <w:cantSplit/>
          <w:jc w:val="center"/>
        </w:trPr>
        <w:tc>
          <w:tcPr>
            <w:tcW w:w="864" w:type="dxa"/>
            <w:tcMar>
              <w:top w:w="85" w:type="dxa"/>
              <w:left w:w="110" w:type="dxa"/>
              <w:bottom w:w="85" w:type="dxa"/>
              <w:right w:w="110" w:type="dxa"/>
            </w:tcMar>
            <w:vAlign w:val="center"/>
          </w:tcPr>
          <w:p w14:paraId="7B303D05" w14:textId="77777777" w:rsidR="00EB0B6B" w:rsidRDefault="00000000">
            <w:pPr>
              <w:spacing w:after="0" w:line="252" w:lineRule="auto"/>
            </w:pPr>
            <w:r>
              <w:rPr>
                <w:rFonts w:eastAsia="Arial" w:cs="Arial"/>
                <w:b/>
                <w:color w:val="16324F"/>
                <w:sz w:val="20"/>
              </w:rPr>
              <w:t>4</w:t>
            </w:r>
          </w:p>
        </w:tc>
        <w:tc>
          <w:tcPr>
            <w:tcW w:w="4968" w:type="dxa"/>
            <w:tcMar>
              <w:top w:w="85" w:type="dxa"/>
              <w:left w:w="110" w:type="dxa"/>
              <w:bottom w:w="85" w:type="dxa"/>
              <w:right w:w="110" w:type="dxa"/>
            </w:tcMar>
            <w:vAlign w:val="center"/>
          </w:tcPr>
          <w:p w14:paraId="04A1DF0F" w14:textId="77777777" w:rsidR="00EB0B6B" w:rsidRDefault="00000000">
            <w:pPr>
              <w:spacing w:after="0" w:line="252" w:lineRule="auto"/>
            </w:pPr>
            <w:r>
              <w:rPr>
                <w:rFonts w:eastAsia="Arial" w:cs="Arial"/>
                <w:sz w:val="20"/>
              </w:rPr>
              <w:t>Create approved data connections and migrate / build a small representative model.</w:t>
            </w:r>
          </w:p>
        </w:tc>
        <w:tc>
          <w:tcPr>
            <w:tcW w:w="3874" w:type="dxa"/>
            <w:tcMar>
              <w:top w:w="85" w:type="dxa"/>
              <w:left w:w="110" w:type="dxa"/>
              <w:bottom w:w="85" w:type="dxa"/>
              <w:right w:w="110" w:type="dxa"/>
            </w:tcMar>
            <w:vAlign w:val="center"/>
          </w:tcPr>
          <w:p w14:paraId="50F6E7D6" w14:textId="77777777" w:rsidR="00EB0B6B" w:rsidRDefault="00000000">
            <w:pPr>
              <w:spacing w:after="0" w:line="252" w:lineRule="auto"/>
            </w:pPr>
            <w:r>
              <w:rPr>
                <w:rFonts w:eastAsia="Arial" w:cs="Arial"/>
                <w:sz w:val="20"/>
              </w:rPr>
              <w:t>Source-to-cube reconciliation and error reporting are proven.</w:t>
            </w:r>
          </w:p>
        </w:tc>
      </w:tr>
      <w:tr w:rsidR="00EB0B6B" w14:paraId="57948B01" w14:textId="77777777">
        <w:trPr>
          <w:cantSplit/>
          <w:jc w:val="center"/>
        </w:trPr>
        <w:tc>
          <w:tcPr>
            <w:tcW w:w="864" w:type="dxa"/>
            <w:tcMar>
              <w:top w:w="85" w:type="dxa"/>
              <w:left w:w="110" w:type="dxa"/>
              <w:bottom w:w="85" w:type="dxa"/>
              <w:right w:w="110" w:type="dxa"/>
            </w:tcMar>
            <w:vAlign w:val="center"/>
          </w:tcPr>
          <w:p w14:paraId="5C68D983" w14:textId="77777777" w:rsidR="00EB0B6B" w:rsidRDefault="00000000">
            <w:pPr>
              <w:spacing w:after="0" w:line="252" w:lineRule="auto"/>
            </w:pPr>
            <w:r>
              <w:rPr>
                <w:rFonts w:eastAsia="Arial" w:cs="Arial"/>
                <w:b/>
                <w:color w:val="16324F"/>
                <w:sz w:val="20"/>
              </w:rPr>
              <w:t>5</w:t>
            </w:r>
          </w:p>
        </w:tc>
        <w:tc>
          <w:tcPr>
            <w:tcW w:w="4968" w:type="dxa"/>
            <w:tcMar>
              <w:top w:w="85" w:type="dxa"/>
              <w:left w:w="110" w:type="dxa"/>
              <w:bottom w:w="85" w:type="dxa"/>
              <w:right w:w="110" w:type="dxa"/>
            </w:tcMar>
            <w:vAlign w:val="center"/>
          </w:tcPr>
          <w:p w14:paraId="3D6D4B1C" w14:textId="77777777" w:rsidR="00EB0B6B" w:rsidRDefault="00000000">
            <w:pPr>
              <w:spacing w:after="0" w:line="252" w:lineRule="auto"/>
            </w:pPr>
            <w:r>
              <w:rPr>
                <w:rFonts w:eastAsia="Arial" w:cs="Arial"/>
                <w:sz w:val="20"/>
              </w:rPr>
              <w:t>Configure compatible Excel access and publish the pilot planning content.</w:t>
            </w:r>
          </w:p>
        </w:tc>
        <w:tc>
          <w:tcPr>
            <w:tcW w:w="3874" w:type="dxa"/>
            <w:tcMar>
              <w:top w:w="85" w:type="dxa"/>
              <w:left w:w="110" w:type="dxa"/>
              <w:bottom w:w="85" w:type="dxa"/>
              <w:right w:w="110" w:type="dxa"/>
            </w:tcMar>
            <w:vAlign w:val="center"/>
          </w:tcPr>
          <w:p w14:paraId="24E746D1" w14:textId="77777777" w:rsidR="00EB0B6B" w:rsidRDefault="00000000">
            <w:pPr>
              <w:spacing w:after="0" w:line="252" w:lineRule="auto"/>
            </w:pPr>
            <w:r>
              <w:rPr>
                <w:rFonts w:eastAsia="Arial" w:cs="Arial"/>
                <w:sz w:val="20"/>
              </w:rPr>
              <w:t>Web and Excel produce consistent results.</w:t>
            </w:r>
          </w:p>
        </w:tc>
      </w:tr>
      <w:tr w:rsidR="00EB0B6B" w14:paraId="4B3DF806" w14:textId="77777777">
        <w:trPr>
          <w:cantSplit/>
          <w:jc w:val="center"/>
        </w:trPr>
        <w:tc>
          <w:tcPr>
            <w:tcW w:w="864" w:type="dxa"/>
            <w:tcMar>
              <w:top w:w="85" w:type="dxa"/>
              <w:left w:w="110" w:type="dxa"/>
              <w:bottom w:w="85" w:type="dxa"/>
              <w:right w:w="110" w:type="dxa"/>
            </w:tcMar>
            <w:vAlign w:val="center"/>
          </w:tcPr>
          <w:p w14:paraId="78A57F59" w14:textId="77777777" w:rsidR="00EB0B6B" w:rsidRDefault="00000000">
            <w:pPr>
              <w:spacing w:after="0" w:line="252" w:lineRule="auto"/>
            </w:pPr>
            <w:r>
              <w:rPr>
                <w:rFonts w:eastAsia="Arial" w:cs="Arial"/>
                <w:b/>
                <w:color w:val="16324F"/>
                <w:sz w:val="20"/>
              </w:rPr>
              <w:t>6</w:t>
            </w:r>
          </w:p>
        </w:tc>
        <w:tc>
          <w:tcPr>
            <w:tcW w:w="4968" w:type="dxa"/>
            <w:tcMar>
              <w:top w:w="85" w:type="dxa"/>
              <w:left w:w="110" w:type="dxa"/>
              <w:bottom w:w="85" w:type="dxa"/>
              <w:right w:w="110" w:type="dxa"/>
            </w:tcMar>
            <w:vAlign w:val="center"/>
          </w:tcPr>
          <w:p w14:paraId="00137F4F" w14:textId="77777777" w:rsidR="00EB0B6B" w:rsidRDefault="00000000">
            <w:pPr>
              <w:spacing w:after="0" w:line="252" w:lineRule="auto"/>
            </w:pPr>
            <w:r>
              <w:rPr>
                <w:rFonts w:eastAsia="Arial" w:cs="Arial"/>
                <w:sz w:val="20"/>
              </w:rPr>
              <w:t>Test API access, backups, administrative handover and support access.</w:t>
            </w:r>
          </w:p>
        </w:tc>
        <w:tc>
          <w:tcPr>
            <w:tcW w:w="3874" w:type="dxa"/>
            <w:tcMar>
              <w:top w:w="85" w:type="dxa"/>
              <w:left w:w="110" w:type="dxa"/>
              <w:bottom w:w="85" w:type="dxa"/>
              <w:right w:w="110" w:type="dxa"/>
            </w:tcMar>
            <w:vAlign w:val="center"/>
          </w:tcPr>
          <w:p w14:paraId="0707A47D" w14:textId="77777777" w:rsidR="00EB0B6B" w:rsidRDefault="00000000">
            <w:pPr>
              <w:spacing w:after="0" w:line="252" w:lineRule="auto"/>
            </w:pPr>
            <w:r>
              <w:rPr>
                <w:rFonts w:eastAsia="Arial" w:cs="Arial"/>
                <w:sz w:val="20"/>
              </w:rPr>
              <w:t>The service can be operated without dependence on one individual.</w:t>
            </w:r>
          </w:p>
        </w:tc>
      </w:tr>
    </w:tbl>
    <w:p w14:paraId="2360D08C" w14:textId="77777777" w:rsidR="00EB0B6B" w:rsidRDefault="00EB0B6B">
      <w:pPr>
        <w:spacing w:after="0" w:line="120" w:lineRule="auto"/>
      </w:pPr>
    </w:p>
    <w:p w14:paraId="542D4E5E" w14:textId="77777777" w:rsidR="00EB0B6B" w:rsidRDefault="00000000">
      <w:pPr>
        <w:pStyle w:val="Heading2"/>
      </w:pPr>
      <w:r>
        <w:rPr>
          <w:rFonts w:ascii="Arial" w:eastAsia="Arial" w:hAnsi="Arial" w:cs="Arial"/>
        </w:rPr>
        <w:t>Automation identity</w:t>
      </w:r>
    </w:p>
    <w:p w14:paraId="69245F3C" w14:textId="77777777" w:rsidR="00EB0B6B" w:rsidRDefault="00000000">
      <w:r>
        <w:rPr>
          <w:rFonts w:eastAsia="Arial" w:cs="Arial"/>
        </w:rPr>
        <w:t>IBM states that a dedicated noninteractive account cannot be created in this offering in the same way as older cloud accounts. Invite an appropriate user from the company directory, grant the required permissions and generate an API key. A key has the rights of its user; lifecycle, licensing and rotation must be considered.</w:t>
      </w:r>
      <w:r>
        <w:rPr>
          <w:rFonts w:eastAsia="Arial" w:cs="Arial"/>
          <w:color w:val="596C7B"/>
          <w:sz w:val="18"/>
        </w:rPr>
        <w:t xml:space="preserve">  </w:t>
      </w:r>
      <w:hyperlink w:anchor="ref_57" w:history="1">
        <w:r>
          <w:rPr>
            <w:color w:val="145EA8"/>
            <w:sz w:val="18"/>
            <w:szCs w:val="18"/>
          </w:rPr>
          <w:t>[R57]</w:t>
        </w:r>
      </w:hyperlink>
      <w:r>
        <w:rPr>
          <w:rFonts w:eastAsia="Arial" w:cs="Arial"/>
          <w:color w:val="596C7B"/>
          <w:sz w:val="18"/>
        </w:rPr>
        <w:t xml:space="preserve"> </w:t>
      </w:r>
      <w:hyperlink w:anchor="ref_58" w:history="1">
        <w:r>
          <w:rPr>
            <w:color w:val="145EA8"/>
            <w:sz w:val="18"/>
            <w:szCs w:val="18"/>
          </w:rPr>
          <w:t>[R58]</w:t>
        </w:r>
      </w:hyperlink>
    </w:p>
    <w:p w14:paraId="33668100" w14:textId="77777777" w:rsidR="00EB0B6B" w:rsidRDefault="00000000">
      <w:pPr>
        <w:pStyle w:val="Heading2"/>
      </w:pPr>
      <w:r>
        <w:rPr>
          <w:rFonts w:ascii="Arial" w:eastAsia="Arial" w:hAnsi="Arial" w:cs="Arial"/>
        </w:rPr>
        <w:t>Ownership handover</w:t>
      </w:r>
    </w:p>
    <w:p w14:paraId="7E6FAEAB" w14:textId="77777777" w:rsidR="00EB0B6B" w:rsidRDefault="00000000">
      <w:r>
        <w:rPr>
          <w:rFonts w:eastAsia="Arial" w:cs="Arial"/>
        </w:rPr>
        <w:t>Assign the replacement owner / administrator before removing an existing owner. Keep at least two authorized operational contacts as a project control and test the handover. Consult IBM administrative ownership guidance for the supported service workflow.</w:t>
      </w:r>
      <w:r>
        <w:rPr>
          <w:rFonts w:eastAsia="Arial" w:cs="Arial"/>
          <w:color w:val="596C7B"/>
          <w:sz w:val="18"/>
        </w:rPr>
        <w:t xml:space="preserve">  </w:t>
      </w:r>
      <w:hyperlink w:anchor="ref_59" w:history="1">
        <w:r>
          <w:rPr>
            <w:color w:val="145EA8"/>
            <w:sz w:val="18"/>
            <w:szCs w:val="18"/>
          </w:rPr>
          <w:t>[R59]</w:t>
        </w:r>
      </w:hyperlink>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74ED7F91" w14:textId="77777777">
        <w:trPr>
          <w:cantSplit/>
          <w:jc w:val="center"/>
        </w:trPr>
        <w:tc>
          <w:tcPr>
            <w:tcW w:w="9706" w:type="dxa"/>
            <w:shd w:val="clear" w:color="auto" w:fill="FFF4DC"/>
            <w:tcMar>
              <w:top w:w="115" w:type="dxa"/>
              <w:left w:w="150" w:type="dxa"/>
              <w:bottom w:w="115" w:type="dxa"/>
              <w:right w:w="150" w:type="dxa"/>
            </w:tcMar>
          </w:tcPr>
          <w:p w14:paraId="1D8CD5E0" w14:textId="77777777" w:rsidR="00EB0B6B" w:rsidRDefault="00000000">
            <w:pPr>
              <w:keepNext/>
              <w:spacing w:after="80"/>
            </w:pPr>
            <w:r>
              <w:rPr>
                <w:rFonts w:eastAsia="Arial" w:cs="Arial"/>
                <w:b/>
                <w:color w:val="99620C"/>
                <w:sz w:val="19"/>
              </w:rPr>
              <w:t>TM1 12 AWARENESS</w:t>
            </w:r>
          </w:p>
          <w:p w14:paraId="3EF5C0AD" w14:textId="77777777" w:rsidR="00EB0B6B" w:rsidRDefault="00000000">
            <w:pPr>
              <w:spacing w:after="0" w:line="254" w:lineRule="auto"/>
            </w:pPr>
            <w:r>
              <w:rPr>
                <w:rFonts w:eastAsia="Arial" w:cs="Arial"/>
                <w:sz w:val="20"/>
              </w:rPr>
              <w:t>Database generation affects migration, endpoints and available administrative operations. Do not assume local TM1 11 file paths or authentication examples apply unchanged to this service.</w:t>
            </w:r>
          </w:p>
        </w:tc>
      </w:tr>
    </w:tbl>
    <w:p w14:paraId="5643CBE5" w14:textId="77777777" w:rsidR="00EB0B6B" w:rsidRDefault="00EB0B6B">
      <w:pPr>
        <w:spacing w:after="0" w:line="120" w:lineRule="auto"/>
      </w:pPr>
    </w:p>
    <w:p w14:paraId="01F1F187" w14:textId="77777777" w:rsidR="00EB0B6B" w:rsidRDefault="00000000">
      <w:pPr>
        <w:pStyle w:val="Heading1"/>
        <w:pageBreakBefore/>
      </w:pPr>
      <w:bookmarkStart w:id="9" w:name="chapter_09"/>
      <w:r>
        <w:rPr>
          <w:rFonts w:ascii="Arial" w:eastAsia="Arial" w:hAnsi="Arial" w:cs="Arial"/>
        </w:rPr>
        <w:t>9. Local: install and register the TM1 data tier</w:t>
      </w:r>
      <w:bookmarkEnd w:id="9"/>
    </w:p>
    <w:p w14:paraId="39CB79A5" w14:textId="77777777" w:rsidR="00EB0B6B" w:rsidRDefault="00000000">
      <w:pPr>
        <w:keepNext/>
        <w:spacing w:after="240"/>
      </w:pPr>
      <w:r>
        <w:rPr>
          <w:rFonts w:eastAsia="Arial" w:cs="Arial"/>
          <w:color w:val="007D79"/>
          <w:sz w:val="20"/>
        </w:rPr>
        <w:t>Apply the exact release procedure to supported Windows or Linux hosts.</w:t>
      </w:r>
    </w:p>
    <w:p w14:paraId="4E069239" w14:textId="77777777" w:rsidR="00EB0B6B" w:rsidRDefault="00000000">
      <w:r>
        <w:rPr>
          <w:rFonts w:eastAsia="Arial" w:cs="Arial"/>
        </w:rPr>
        <w:t>The data-tier guide for 2.0.9.21 and later lists TM1 Server, Admin Server, tools, samples, core-dump support and the Administration agent. IBM changed the installer at that boundary and removed Cognos Configuration from the new data-tier installation. Older installation screenshots therefore need careful interpretation.</w:t>
      </w:r>
      <w:r>
        <w:rPr>
          <w:rFonts w:eastAsia="Arial" w:cs="Arial"/>
          <w:color w:val="596C7B"/>
          <w:sz w:val="18"/>
        </w:rPr>
        <w:t xml:space="preserve">  </w:t>
      </w:r>
      <w:hyperlink w:anchor="ref_23" w:history="1">
        <w:r>
          <w:rPr>
            <w:color w:val="145EA8"/>
            <w:sz w:val="18"/>
            <w:szCs w:val="18"/>
          </w:rPr>
          <w:t>[R23]</w:t>
        </w:r>
      </w:hyperlink>
      <w:r>
        <w:rPr>
          <w:rFonts w:eastAsia="Arial" w:cs="Arial"/>
          <w:color w:val="596C7B"/>
          <w:sz w:val="18"/>
        </w:rPr>
        <w:t xml:space="preserve"> </w:t>
      </w:r>
      <w:hyperlink w:anchor="ref_24" w:history="1">
        <w:r>
          <w:rPr>
            <w:color w:val="145EA8"/>
            <w:sz w:val="18"/>
            <w:szCs w:val="18"/>
          </w:rPr>
          <w:t>[R24]</w:t>
        </w:r>
      </w:hyperlink>
    </w:p>
    <w:p w14:paraId="6D247909" w14:textId="77777777" w:rsidR="00EB0B6B" w:rsidRDefault="00000000">
      <w:pPr>
        <w:pStyle w:val="Heading2"/>
      </w:pPr>
      <w:r>
        <w:rPr>
          <w:rFonts w:ascii="Arial" w:eastAsia="Arial" w:hAnsi="Arial" w:cs="Arial"/>
        </w:rPr>
        <w:t>Recommended installation sequence</w:t>
      </w:r>
    </w:p>
    <w:p w14:paraId="2B44306D"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Obtain the matching IBM installation kit and read its prerequisites and upgrade notes. Confirm SPCR, platform, disk layout and service accounts.</w:t>
      </w:r>
    </w:p>
    <w:p w14:paraId="72029DA3"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For an upgrade, capture a restorable backup and the previous service definitions before uninstalling or replacing anything.</w:t>
      </w:r>
    </w:p>
    <w:p w14:paraId="69666076"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Keep production model data outside the product installation directory. Record separate data, log, backup and installation locations.</w:t>
      </w:r>
    </w:p>
    <w:p w14:paraId="178F7E97"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Run the supported installer, select the required components and retain the installer log.</w:t>
      </w:r>
    </w:p>
    <w:p w14:paraId="76F813A9"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Create / restore the database configuration and use the documented platform-specific service registration or startup procedure.</w:t>
      </w:r>
    </w:p>
    <w:p w14:paraId="26172C10"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Start the Admin Server and database as applicable; verify logs and connectivity before enabling scheduled jobs.</w:t>
      </w:r>
    </w:p>
    <w:p w14:paraId="62022A6B" w14:textId="77777777" w:rsidR="00EB0B6B" w:rsidRDefault="00000000">
      <w:pPr>
        <w:pStyle w:val="Heading2"/>
      </w:pPr>
      <w:r>
        <w:rPr>
          <w:rFonts w:ascii="Arial" w:eastAsia="Arial" w:hAnsi="Arial" w:cs="Arial"/>
        </w:rPr>
        <w:t>Windows service registration example</w:t>
      </w:r>
    </w:p>
    <w:p w14:paraId="08222517" w14:textId="77777777" w:rsidR="00EB0B6B" w:rsidRDefault="00000000">
      <w:r>
        <w:rPr>
          <w:rFonts w:eastAsia="Arial" w:cs="Arial"/>
        </w:rPr>
        <w:t>Illustrative commands for the newer TM1 data-tier packaging; run from an elevated Command Prompt after replacing the paths. They register services, not a complete secured deployment. Follow the selected release manual for service identities and startup.</w:t>
      </w:r>
    </w:p>
    <w:tbl>
      <w:tblPr>
        <w:tblW w:w="0" w:type="auto"/>
        <w:jc w:val="center"/>
        <w:tblBorders>
          <w:top w:val="single" w:sz="4" w:space="0" w:color="E0E7ED"/>
          <w:left w:val="single" w:sz="4" w:space="0" w:color="E0E7ED"/>
          <w:bottom w:val="single" w:sz="4" w:space="0" w:color="E0E7ED"/>
          <w:right w:val="single" w:sz="4" w:space="0" w:color="E0E7ED"/>
          <w:insideH w:val="single" w:sz="4" w:space="0" w:color="E0E7ED"/>
          <w:insideV w:val="single" w:sz="4" w:space="0" w:color="E0E7ED"/>
        </w:tblBorders>
        <w:tblLayout w:type="fixed"/>
        <w:tblLook w:val="04A0" w:firstRow="1" w:lastRow="0" w:firstColumn="1" w:lastColumn="0" w:noHBand="0" w:noVBand="1"/>
      </w:tblPr>
      <w:tblGrid>
        <w:gridCol w:w="9706"/>
      </w:tblGrid>
      <w:tr w:rsidR="00EB0B6B" w14:paraId="06E7CF3B" w14:textId="77777777">
        <w:trPr>
          <w:cantSplit/>
          <w:jc w:val="center"/>
        </w:trPr>
        <w:tc>
          <w:tcPr>
            <w:tcW w:w="9706" w:type="dxa"/>
            <w:shd w:val="clear" w:color="auto" w:fill="F3F6F8"/>
            <w:tcMar>
              <w:top w:w="105" w:type="dxa"/>
              <w:left w:w="145" w:type="dxa"/>
              <w:bottom w:w="105" w:type="dxa"/>
              <w:right w:w="145" w:type="dxa"/>
            </w:tcMar>
          </w:tcPr>
          <w:p w14:paraId="20F58B25" w14:textId="77777777" w:rsidR="00EB0B6B" w:rsidRDefault="00000000">
            <w:pPr>
              <w:spacing w:after="0" w:line="252" w:lineRule="auto"/>
            </w:pPr>
            <w:r>
              <w:rPr>
                <w:rFonts w:ascii="DejaVu Sans Mono" w:eastAsia="DejaVu Sans Mono" w:hAnsi="DejaVu Sans Mono" w:cs="DejaVu Sans Mono"/>
                <w:color w:val="16324F"/>
                <w:sz w:val="17"/>
              </w:rPr>
              <w:t>cd /d "C:\IBM\tm1_64\bin64"</w:t>
            </w:r>
            <w:r>
              <w:rPr>
                <w:rFonts w:ascii="DejaVu Sans Mono" w:eastAsia="DejaVu Sans Mono" w:hAnsi="DejaVu Sans Mono" w:cs="DejaVu Sans Mono"/>
                <w:color w:val="16324F"/>
                <w:sz w:val="17"/>
              </w:rPr>
              <w:br/>
              <w:t>tm1admsd.exe -install</w:t>
            </w:r>
            <w:r>
              <w:rPr>
                <w:rFonts w:ascii="DejaVu Sans Mono" w:eastAsia="DejaVu Sans Mono" w:hAnsi="DejaVu Sans Mono" w:cs="DejaVu Sans Mono"/>
                <w:color w:val="16324F"/>
                <w:sz w:val="17"/>
              </w:rPr>
              <w:br/>
              <w:t>tm1sd.exe -install -n "Finance" -z "D:\PA\Models\Finance"</w:t>
            </w:r>
          </w:p>
        </w:tc>
      </w:tr>
    </w:tbl>
    <w:p w14:paraId="0605B42C" w14:textId="77777777" w:rsidR="00EB0B6B" w:rsidRDefault="00EB0B6B">
      <w:pPr>
        <w:spacing w:after="0" w:line="120" w:lineRule="auto"/>
      </w:pPr>
    </w:p>
    <w:p w14:paraId="23DDB621" w14:textId="77777777" w:rsidR="00EB0B6B" w:rsidRDefault="00000000">
      <w:r>
        <w:rPr>
          <w:rFonts w:eastAsia="Arial" w:cs="Arial"/>
        </w:rPr>
        <w:t>IBM documents these registration switches and the new config.tm1admsrv.json configuration file. The transition from the older installer can require an uninstall rather than an in-place overwrite; preserve databases and custom configuration first.</w:t>
      </w:r>
      <w:r>
        <w:rPr>
          <w:rFonts w:eastAsia="Arial" w:cs="Arial"/>
          <w:color w:val="596C7B"/>
          <w:sz w:val="18"/>
        </w:rPr>
        <w:t xml:space="preserve">  </w:t>
      </w:r>
      <w:hyperlink w:anchor="ref_24" w:history="1">
        <w:r>
          <w:rPr>
            <w:color w:val="145EA8"/>
            <w:sz w:val="18"/>
            <w:szCs w:val="18"/>
          </w:rPr>
          <w:t>[R24]</w:t>
        </w:r>
      </w:hyperlink>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065FBAF4" w14:textId="77777777">
        <w:trPr>
          <w:cantSplit/>
          <w:jc w:val="center"/>
        </w:trPr>
        <w:tc>
          <w:tcPr>
            <w:tcW w:w="9706" w:type="dxa"/>
            <w:shd w:val="clear" w:color="auto" w:fill="EAF5F2"/>
            <w:tcMar>
              <w:top w:w="115" w:type="dxa"/>
              <w:left w:w="150" w:type="dxa"/>
              <w:bottom w:w="115" w:type="dxa"/>
              <w:right w:w="150" w:type="dxa"/>
            </w:tcMar>
          </w:tcPr>
          <w:p w14:paraId="0BA0E808" w14:textId="77777777" w:rsidR="00EB0B6B" w:rsidRDefault="00000000">
            <w:pPr>
              <w:keepNext/>
              <w:spacing w:after="80"/>
            </w:pPr>
            <w:r>
              <w:rPr>
                <w:rFonts w:eastAsia="Arial" w:cs="Arial"/>
                <w:b/>
                <w:color w:val="007D79"/>
                <w:sz w:val="19"/>
              </w:rPr>
              <w:t>PRODUCTION GATE</w:t>
            </w:r>
          </w:p>
          <w:p w14:paraId="36F23ECB" w14:textId="77777777" w:rsidR="00EB0B6B" w:rsidRDefault="00000000">
            <w:pPr>
              <w:spacing w:after="0" w:line="254" w:lineRule="auto"/>
            </w:pPr>
            <w:r>
              <w:rPr>
                <w:rFonts w:eastAsia="Arial" w:cs="Arial"/>
                <w:sz w:val="20"/>
              </w:rPr>
              <w:t>Do not enable integration schedules until the restored model, security, TLS, backup and rollback have been tested. A successfully installed binary is not yet an accepted planning service.</w:t>
            </w:r>
          </w:p>
        </w:tc>
      </w:tr>
    </w:tbl>
    <w:p w14:paraId="2193E7E0" w14:textId="77777777" w:rsidR="00EB0B6B" w:rsidRDefault="00EB0B6B">
      <w:pPr>
        <w:spacing w:after="0" w:line="120" w:lineRule="auto"/>
      </w:pPr>
    </w:p>
    <w:p w14:paraId="42334FEC" w14:textId="77777777" w:rsidR="00EB0B6B" w:rsidRDefault="00000000">
      <w:pPr>
        <w:pStyle w:val="Heading1"/>
        <w:pageBreakBefore/>
      </w:pPr>
      <w:bookmarkStart w:id="10" w:name="chapter_10"/>
      <w:r>
        <w:rPr>
          <w:rFonts w:ascii="Arial" w:eastAsia="Arial" w:hAnsi="Arial" w:cs="Arial"/>
        </w:rPr>
        <w:t>10. Local: database configuration and connectivity</w:t>
      </w:r>
      <w:bookmarkEnd w:id="10"/>
    </w:p>
    <w:p w14:paraId="458DD884" w14:textId="77777777" w:rsidR="00EB0B6B" w:rsidRDefault="00000000">
      <w:pPr>
        <w:keepNext/>
        <w:spacing w:after="240"/>
      </w:pPr>
      <w:r>
        <w:rPr>
          <w:rFonts w:eastAsia="Arial" w:cs="Arial"/>
          <w:color w:val="007D79"/>
          <w:sz w:val="20"/>
        </w:rPr>
        <w:t>Make every database and network path explicit.</w:t>
      </w:r>
    </w:p>
    <w:p w14:paraId="6DB81A3D" w14:textId="77777777" w:rsidR="00EB0B6B" w:rsidRDefault="00000000">
      <w:r>
        <w:rPr>
          <w:rFonts w:eastAsia="Arial" w:cs="Arial"/>
        </w:rPr>
        <w:t>For TM1 Local, tm1s.cfg identifies the model and its connections. The REST listener is controlled by HTTPPortNumber, which is distinct from the native database port. The API metadata exposes configuration information; use the proper endpoint rather than treating all TM1 ports as equivalent.</w:t>
      </w:r>
      <w:r>
        <w:rPr>
          <w:rFonts w:eastAsia="Arial" w:cs="Arial"/>
          <w:color w:val="596C7B"/>
          <w:sz w:val="18"/>
        </w:rPr>
        <w:t xml:space="preserve">  </w:t>
      </w:r>
      <w:hyperlink w:anchor="ref_37" w:history="1">
        <w:r>
          <w:rPr>
            <w:color w:val="145EA8"/>
            <w:sz w:val="18"/>
            <w:szCs w:val="18"/>
          </w:rPr>
          <w:t>[R37]</w:t>
        </w:r>
      </w:hyperlink>
      <w:r>
        <w:rPr>
          <w:rFonts w:eastAsia="Arial" w:cs="Arial"/>
          <w:color w:val="596C7B"/>
          <w:sz w:val="18"/>
        </w:rPr>
        <w:t xml:space="preserve"> </w:t>
      </w:r>
      <w:hyperlink w:anchor="ref_38" w:history="1">
        <w:r>
          <w:rPr>
            <w:color w:val="145EA8"/>
            <w:sz w:val="18"/>
            <w:szCs w:val="18"/>
          </w:rPr>
          <w:t>[R38]</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304"/>
        <w:gridCol w:w="7402"/>
      </w:tblGrid>
      <w:tr w:rsidR="00EB0B6B" w14:paraId="290735C9" w14:textId="77777777">
        <w:trPr>
          <w:cantSplit/>
          <w:tblHeader/>
          <w:jc w:val="center"/>
        </w:trPr>
        <w:tc>
          <w:tcPr>
            <w:tcW w:w="2304" w:type="dxa"/>
            <w:shd w:val="clear" w:color="auto" w:fill="16324F"/>
            <w:tcMar>
              <w:top w:w="100" w:type="dxa"/>
              <w:left w:w="110" w:type="dxa"/>
              <w:bottom w:w="100" w:type="dxa"/>
              <w:right w:w="110" w:type="dxa"/>
            </w:tcMar>
            <w:vAlign w:val="center"/>
          </w:tcPr>
          <w:p w14:paraId="4AD391A4" w14:textId="77777777" w:rsidR="00EB0B6B" w:rsidRDefault="00000000">
            <w:pPr>
              <w:spacing w:after="0" w:line="252" w:lineRule="auto"/>
            </w:pPr>
            <w:r>
              <w:rPr>
                <w:rFonts w:eastAsia="Arial" w:cs="Arial"/>
                <w:b/>
                <w:color w:val="FFFFFF"/>
                <w:sz w:val="20"/>
              </w:rPr>
              <w:t>Configuration concern</w:t>
            </w:r>
          </w:p>
        </w:tc>
        <w:tc>
          <w:tcPr>
            <w:tcW w:w="7402" w:type="dxa"/>
            <w:shd w:val="clear" w:color="auto" w:fill="16324F"/>
            <w:tcMar>
              <w:top w:w="100" w:type="dxa"/>
              <w:left w:w="110" w:type="dxa"/>
              <w:bottom w:w="100" w:type="dxa"/>
              <w:right w:w="110" w:type="dxa"/>
            </w:tcMar>
            <w:vAlign w:val="center"/>
          </w:tcPr>
          <w:p w14:paraId="3187279B" w14:textId="77777777" w:rsidR="00EB0B6B" w:rsidRDefault="00000000">
            <w:pPr>
              <w:spacing w:after="0" w:line="252" w:lineRule="auto"/>
            </w:pPr>
            <w:r>
              <w:rPr>
                <w:rFonts w:eastAsia="Arial" w:cs="Arial"/>
                <w:b/>
                <w:color w:val="FFFFFF"/>
                <w:sz w:val="20"/>
              </w:rPr>
              <w:t>Implementation action</w:t>
            </w:r>
          </w:p>
        </w:tc>
      </w:tr>
      <w:tr w:rsidR="00EB0B6B" w14:paraId="04B5FE00" w14:textId="77777777">
        <w:trPr>
          <w:cantSplit/>
          <w:jc w:val="center"/>
        </w:trPr>
        <w:tc>
          <w:tcPr>
            <w:tcW w:w="2304" w:type="dxa"/>
            <w:tcMar>
              <w:top w:w="85" w:type="dxa"/>
              <w:left w:w="110" w:type="dxa"/>
              <w:bottom w:w="85" w:type="dxa"/>
              <w:right w:w="110" w:type="dxa"/>
            </w:tcMar>
            <w:vAlign w:val="center"/>
          </w:tcPr>
          <w:p w14:paraId="14A716A5" w14:textId="77777777" w:rsidR="00EB0B6B" w:rsidRDefault="00000000">
            <w:pPr>
              <w:spacing w:after="0" w:line="252" w:lineRule="auto"/>
            </w:pPr>
            <w:r>
              <w:rPr>
                <w:rFonts w:eastAsia="Arial" w:cs="Arial"/>
                <w:b/>
                <w:color w:val="16324F"/>
                <w:sz w:val="20"/>
              </w:rPr>
              <w:t>Identity and directories</w:t>
            </w:r>
          </w:p>
        </w:tc>
        <w:tc>
          <w:tcPr>
            <w:tcW w:w="7402" w:type="dxa"/>
            <w:tcMar>
              <w:top w:w="85" w:type="dxa"/>
              <w:left w:w="110" w:type="dxa"/>
              <w:bottom w:w="85" w:type="dxa"/>
              <w:right w:w="110" w:type="dxa"/>
            </w:tcMar>
            <w:vAlign w:val="center"/>
          </w:tcPr>
          <w:p w14:paraId="691C7B60" w14:textId="77777777" w:rsidR="00EB0B6B" w:rsidRDefault="00000000">
            <w:pPr>
              <w:spacing w:after="0" w:line="252" w:lineRule="auto"/>
            </w:pPr>
            <w:r>
              <w:rPr>
                <w:rFonts w:eastAsia="Arial" w:cs="Arial"/>
                <w:sz w:val="20"/>
              </w:rPr>
              <w:t>Assign a meaningful ServerName; keep database and logging locations outside installation media and grant only the required filesystem access.</w:t>
            </w:r>
          </w:p>
        </w:tc>
      </w:tr>
      <w:tr w:rsidR="00EB0B6B" w14:paraId="0E733FA7" w14:textId="77777777">
        <w:trPr>
          <w:cantSplit/>
          <w:jc w:val="center"/>
        </w:trPr>
        <w:tc>
          <w:tcPr>
            <w:tcW w:w="2304" w:type="dxa"/>
            <w:tcMar>
              <w:top w:w="85" w:type="dxa"/>
              <w:left w:w="110" w:type="dxa"/>
              <w:bottom w:w="85" w:type="dxa"/>
              <w:right w:w="110" w:type="dxa"/>
            </w:tcMar>
            <w:vAlign w:val="center"/>
          </w:tcPr>
          <w:p w14:paraId="54DDFD99" w14:textId="77777777" w:rsidR="00EB0B6B" w:rsidRDefault="00000000">
            <w:pPr>
              <w:spacing w:after="0" w:line="252" w:lineRule="auto"/>
            </w:pPr>
            <w:r>
              <w:rPr>
                <w:rFonts w:eastAsia="Arial" w:cs="Arial"/>
                <w:b/>
                <w:color w:val="16324F"/>
                <w:sz w:val="20"/>
              </w:rPr>
              <w:t>Ports</w:t>
            </w:r>
          </w:p>
        </w:tc>
        <w:tc>
          <w:tcPr>
            <w:tcW w:w="7402" w:type="dxa"/>
            <w:tcMar>
              <w:top w:w="85" w:type="dxa"/>
              <w:left w:w="110" w:type="dxa"/>
              <w:bottom w:w="85" w:type="dxa"/>
              <w:right w:w="110" w:type="dxa"/>
            </w:tcMar>
            <w:vAlign w:val="center"/>
          </w:tcPr>
          <w:p w14:paraId="6356A7E1" w14:textId="77777777" w:rsidR="00EB0B6B" w:rsidRDefault="00000000">
            <w:pPr>
              <w:spacing w:after="0" w:line="252" w:lineRule="auto"/>
            </w:pPr>
            <w:r>
              <w:rPr>
                <w:rFonts w:eastAsia="Arial" w:cs="Arial"/>
                <w:sz w:val="20"/>
              </w:rPr>
              <w:t>Reserve distinct native and REST ports for databases on the same host; record every allowed source and destination.</w:t>
            </w:r>
          </w:p>
        </w:tc>
      </w:tr>
      <w:tr w:rsidR="00EB0B6B" w14:paraId="0AF5E2F5" w14:textId="77777777">
        <w:trPr>
          <w:cantSplit/>
          <w:jc w:val="center"/>
        </w:trPr>
        <w:tc>
          <w:tcPr>
            <w:tcW w:w="2304" w:type="dxa"/>
            <w:tcMar>
              <w:top w:w="85" w:type="dxa"/>
              <w:left w:w="110" w:type="dxa"/>
              <w:bottom w:w="85" w:type="dxa"/>
              <w:right w:w="110" w:type="dxa"/>
            </w:tcMar>
            <w:vAlign w:val="center"/>
          </w:tcPr>
          <w:p w14:paraId="765DA622" w14:textId="77777777" w:rsidR="00EB0B6B" w:rsidRDefault="00000000">
            <w:pPr>
              <w:spacing w:after="0" w:line="252" w:lineRule="auto"/>
            </w:pPr>
            <w:r>
              <w:rPr>
                <w:rFonts w:eastAsia="Arial" w:cs="Arial"/>
                <w:b/>
                <w:color w:val="16324F"/>
                <w:sz w:val="20"/>
              </w:rPr>
              <w:t>TLS</w:t>
            </w:r>
          </w:p>
        </w:tc>
        <w:tc>
          <w:tcPr>
            <w:tcW w:w="7402" w:type="dxa"/>
            <w:tcMar>
              <w:top w:w="85" w:type="dxa"/>
              <w:left w:w="110" w:type="dxa"/>
              <w:bottom w:w="85" w:type="dxa"/>
              <w:right w:w="110" w:type="dxa"/>
            </w:tcMar>
            <w:vAlign w:val="center"/>
          </w:tcPr>
          <w:p w14:paraId="01BB5699" w14:textId="77777777" w:rsidR="00EB0B6B" w:rsidRDefault="00000000">
            <w:pPr>
              <w:spacing w:after="0" w:line="252" w:lineRule="auto"/>
            </w:pPr>
            <w:r>
              <w:rPr>
                <w:rFonts w:eastAsia="Arial" w:cs="Arial"/>
                <w:sz w:val="20"/>
              </w:rPr>
              <w:t>Use trusted certificates and complete chains. Check FQDN matching, expiration, private-key protection and client trust.</w:t>
            </w:r>
          </w:p>
        </w:tc>
      </w:tr>
      <w:tr w:rsidR="00EB0B6B" w14:paraId="5F8DB5C2" w14:textId="77777777">
        <w:trPr>
          <w:cantSplit/>
          <w:jc w:val="center"/>
        </w:trPr>
        <w:tc>
          <w:tcPr>
            <w:tcW w:w="2304" w:type="dxa"/>
            <w:tcMar>
              <w:top w:w="85" w:type="dxa"/>
              <w:left w:w="110" w:type="dxa"/>
              <w:bottom w:w="85" w:type="dxa"/>
              <w:right w:w="110" w:type="dxa"/>
            </w:tcMar>
            <w:vAlign w:val="center"/>
          </w:tcPr>
          <w:p w14:paraId="16108D67" w14:textId="77777777" w:rsidR="00EB0B6B" w:rsidRDefault="00000000">
            <w:pPr>
              <w:spacing w:after="0" w:line="252" w:lineRule="auto"/>
            </w:pPr>
            <w:r>
              <w:rPr>
                <w:rFonts w:eastAsia="Arial" w:cs="Arial"/>
                <w:b/>
                <w:color w:val="16324F"/>
                <w:sz w:val="20"/>
              </w:rPr>
              <w:t>Authentication</w:t>
            </w:r>
          </w:p>
        </w:tc>
        <w:tc>
          <w:tcPr>
            <w:tcW w:w="7402" w:type="dxa"/>
            <w:tcMar>
              <w:top w:w="85" w:type="dxa"/>
              <w:left w:w="110" w:type="dxa"/>
              <w:bottom w:w="85" w:type="dxa"/>
              <w:right w:w="110" w:type="dxa"/>
            </w:tcMar>
            <w:vAlign w:val="center"/>
          </w:tcPr>
          <w:p w14:paraId="140D5BF6" w14:textId="77777777" w:rsidR="00EB0B6B" w:rsidRDefault="00000000">
            <w:pPr>
              <w:spacing w:after="0" w:line="252" w:lineRule="auto"/>
            </w:pPr>
            <w:r>
              <w:rPr>
                <w:rFonts w:eastAsia="Arial" w:cs="Arial"/>
                <w:sz w:val="20"/>
              </w:rPr>
              <w:t>Select and document the supported TM1 / Cognos identity configuration for the release. Do not change modes without testing existing identities and permissions.</w:t>
            </w:r>
          </w:p>
        </w:tc>
      </w:tr>
      <w:tr w:rsidR="00EB0B6B" w14:paraId="3C8D2E10" w14:textId="77777777">
        <w:trPr>
          <w:cantSplit/>
          <w:jc w:val="center"/>
        </w:trPr>
        <w:tc>
          <w:tcPr>
            <w:tcW w:w="2304" w:type="dxa"/>
            <w:tcMar>
              <w:top w:w="85" w:type="dxa"/>
              <w:left w:w="110" w:type="dxa"/>
              <w:bottom w:w="85" w:type="dxa"/>
              <w:right w:w="110" w:type="dxa"/>
            </w:tcMar>
            <w:vAlign w:val="center"/>
          </w:tcPr>
          <w:p w14:paraId="5A82BD50" w14:textId="77777777" w:rsidR="00EB0B6B" w:rsidRDefault="00000000">
            <w:pPr>
              <w:spacing w:after="0" w:line="252" w:lineRule="auto"/>
            </w:pPr>
            <w:r>
              <w:rPr>
                <w:rFonts w:eastAsia="Arial" w:cs="Arial"/>
                <w:b/>
                <w:color w:val="16324F"/>
                <w:sz w:val="20"/>
              </w:rPr>
              <w:t>Administration</w:t>
            </w:r>
          </w:p>
        </w:tc>
        <w:tc>
          <w:tcPr>
            <w:tcW w:w="7402" w:type="dxa"/>
            <w:tcMar>
              <w:top w:w="85" w:type="dxa"/>
              <w:left w:w="110" w:type="dxa"/>
              <w:bottom w:w="85" w:type="dxa"/>
              <w:right w:w="110" w:type="dxa"/>
            </w:tcMar>
            <w:vAlign w:val="center"/>
          </w:tcPr>
          <w:p w14:paraId="64A58286" w14:textId="77777777" w:rsidR="00EB0B6B" w:rsidRDefault="00000000">
            <w:pPr>
              <w:spacing w:after="0" w:line="252" w:lineRule="auto"/>
            </w:pPr>
            <w:r>
              <w:rPr>
                <w:rFonts w:eastAsia="Arial" w:cs="Arial"/>
                <w:sz w:val="20"/>
              </w:rPr>
              <w:t>Separate business administration from OS / container access and protect management endpoints.</w:t>
            </w:r>
          </w:p>
        </w:tc>
      </w:tr>
    </w:tbl>
    <w:p w14:paraId="0F2CFE6C" w14:textId="77777777" w:rsidR="00EB0B6B" w:rsidRDefault="00EB0B6B">
      <w:pPr>
        <w:spacing w:after="0" w:line="120" w:lineRule="auto"/>
      </w:pPr>
    </w:p>
    <w:p w14:paraId="4C292A35" w14:textId="77777777" w:rsidR="00EB0B6B" w:rsidRDefault="00000000">
      <w:pPr>
        <w:pStyle w:val="Heading2"/>
      </w:pPr>
      <w:r>
        <w:rPr>
          <w:rFonts w:ascii="Arial" w:eastAsia="Arial" w:hAnsi="Arial" w:cs="Arial"/>
        </w:rPr>
        <w:t>Illustrative TM1 11 configuration fragment</w:t>
      </w:r>
    </w:p>
    <w:tbl>
      <w:tblPr>
        <w:tblW w:w="0" w:type="auto"/>
        <w:jc w:val="center"/>
        <w:tblBorders>
          <w:top w:val="single" w:sz="4" w:space="0" w:color="E0E7ED"/>
          <w:left w:val="single" w:sz="4" w:space="0" w:color="E0E7ED"/>
          <w:bottom w:val="single" w:sz="4" w:space="0" w:color="E0E7ED"/>
          <w:right w:val="single" w:sz="4" w:space="0" w:color="E0E7ED"/>
          <w:insideH w:val="single" w:sz="4" w:space="0" w:color="E0E7ED"/>
          <w:insideV w:val="single" w:sz="4" w:space="0" w:color="E0E7ED"/>
        </w:tblBorders>
        <w:tblLayout w:type="fixed"/>
        <w:tblLook w:val="04A0" w:firstRow="1" w:lastRow="0" w:firstColumn="1" w:lastColumn="0" w:noHBand="0" w:noVBand="1"/>
      </w:tblPr>
      <w:tblGrid>
        <w:gridCol w:w="9706"/>
      </w:tblGrid>
      <w:tr w:rsidR="00EB0B6B" w14:paraId="107E2797" w14:textId="77777777">
        <w:trPr>
          <w:cantSplit/>
          <w:jc w:val="center"/>
        </w:trPr>
        <w:tc>
          <w:tcPr>
            <w:tcW w:w="9706" w:type="dxa"/>
            <w:shd w:val="clear" w:color="auto" w:fill="F3F6F8"/>
            <w:tcMar>
              <w:top w:w="105" w:type="dxa"/>
              <w:left w:w="145" w:type="dxa"/>
              <w:bottom w:w="105" w:type="dxa"/>
              <w:right w:w="145" w:type="dxa"/>
            </w:tcMar>
          </w:tcPr>
          <w:p w14:paraId="62451D33" w14:textId="77777777" w:rsidR="00EB0B6B" w:rsidRDefault="00000000">
            <w:pPr>
              <w:spacing w:after="0" w:line="252" w:lineRule="auto"/>
            </w:pPr>
            <w:r>
              <w:rPr>
                <w:rFonts w:ascii="DejaVu Sans Mono" w:eastAsia="DejaVu Sans Mono" w:hAnsi="DejaVu Sans Mono" w:cs="DejaVu Sans Mono"/>
                <w:color w:val="16324F"/>
                <w:sz w:val="17"/>
              </w:rPr>
              <w:t>ServerName=Finance</w:t>
            </w:r>
            <w:r>
              <w:rPr>
                <w:rFonts w:ascii="DejaVu Sans Mono" w:eastAsia="DejaVu Sans Mono" w:hAnsi="DejaVu Sans Mono" w:cs="DejaVu Sans Mono"/>
                <w:color w:val="16324F"/>
                <w:sz w:val="17"/>
              </w:rPr>
              <w:br/>
              <w:t>DataBaseDirectory=D:\PA\Models\Finance\data</w:t>
            </w:r>
            <w:r>
              <w:rPr>
                <w:rFonts w:ascii="DejaVu Sans Mono" w:eastAsia="DejaVu Sans Mono" w:hAnsi="DejaVu Sans Mono" w:cs="DejaVu Sans Mono"/>
                <w:color w:val="16324F"/>
                <w:sz w:val="17"/>
              </w:rPr>
              <w:br/>
              <w:t>LoggingDirectory=D:\PA\Models\Finance\logs</w:t>
            </w:r>
            <w:r>
              <w:rPr>
                <w:rFonts w:ascii="DejaVu Sans Mono" w:eastAsia="DejaVu Sans Mono" w:hAnsi="DejaVu Sans Mono" w:cs="DejaVu Sans Mono"/>
                <w:color w:val="16324F"/>
                <w:sz w:val="17"/>
              </w:rPr>
              <w:br/>
              <w:t>PortNumber=12345</w:t>
            </w:r>
            <w:r>
              <w:rPr>
                <w:rFonts w:ascii="DejaVu Sans Mono" w:eastAsia="DejaVu Sans Mono" w:hAnsi="DejaVu Sans Mono" w:cs="DejaVu Sans Mono"/>
                <w:color w:val="16324F"/>
                <w:sz w:val="17"/>
              </w:rPr>
              <w:br/>
              <w:t>HTTPPortNumber=12354</w:t>
            </w:r>
            <w:r>
              <w:rPr>
                <w:rFonts w:ascii="DejaVu Sans Mono" w:eastAsia="DejaVu Sans Mono" w:hAnsi="DejaVu Sans Mono" w:cs="DejaVu Sans Mono"/>
                <w:color w:val="16324F"/>
                <w:sz w:val="17"/>
              </w:rPr>
              <w:br/>
              <w:t>UseSSL=T</w:t>
            </w:r>
          </w:p>
        </w:tc>
      </w:tr>
    </w:tbl>
    <w:p w14:paraId="52C17B36" w14:textId="77777777" w:rsidR="00EB0B6B" w:rsidRDefault="00EB0B6B">
      <w:pPr>
        <w:spacing w:after="0" w:line="120" w:lineRule="auto"/>
      </w:pPr>
    </w:p>
    <w:p w14:paraId="63A098A9" w14:textId="77777777" w:rsidR="00EB0B6B" w:rsidRDefault="00000000">
      <w:r>
        <w:rPr>
          <w:rFonts w:eastAsia="Arial" w:cs="Arial"/>
        </w:rPr>
        <w:t>The ports and paths above are examples, not IBM-required values. This fragment omits environment-specific authentication and certificate settings; it is not a complete production configuration. Apply the correct reference parameters for your selected release.</w:t>
      </w:r>
      <w:r>
        <w:rPr>
          <w:rFonts w:eastAsia="Arial" w:cs="Arial"/>
          <w:color w:val="596C7B"/>
          <w:sz w:val="18"/>
        </w:rPr>
        <w:t xml:space="preserve">  </w:t>
      </w:r>
      <w:hyperlink w:anchor="ref_37" w:history="1">
        <w:r>
          <w:rPr>
            <w:color w:val="145EA8"/>
            <w:sz w:val="18"/>
            <w:szCs w:val="18"/>
          </w:rPr>
          <w:t>[R37]</w:t>
        </w:r>
      </w:hyperlink>
      <w:r>
        <w:rPr>
          <w:rFonts w:eastAsia="Arial" w:cs="Arial"/>
          <w:color w:val="596C7B"/>
          <w:sz w:val="18"/>
        </w:rPr>
        <w:t xml:space="preserve"> </w:t>
      </w:r>
      <w:hyperlink w:anchor="ref_38" w:history="1">
        <w:r>
          <w:rPr>
            <w:color w:val="145EA8"/>
            <w:sz w:val="18"/>
            <w:szCs w:val="18"/>
          </w:rPr>
          <w:t>[R38]</w:t>
        </w:r>
      </w:hyperlink>
    </w:p>
    <w:p w14:paraId="230D87A1" w14:textId="77777777" w:rsidR="00EB0B6B" w:rsidRDefault="00000000">
      <w:pPr>
        <w:pStyle w:val="Heading2"/>
      </w:pPr>
      <w:r>
        <w:rPr>
          <w:rFonts w:ascii="Arial" w:eastAsia="Arial" w:hAnsi="Arial" w:cs="Arial"/>
        </w:rPr>
        <w:t>Recommended verification</w:t>
      </w:r>
    </w:p>
    <w:p w14:paraId="5918E51B" w14:textId="77777777" w:rsidR="00EB0B6B" w:rsidRDefault="00000000">
      <w:r>
        <w:rPr>
          <w:rFonts w:eastAsia="Arial" w:cs="Arial"/>
        </w:rPr>
        <w:t>Check service start and logs, resolve the FQDN from each client tier, validate the TLS chain, authenticate with a non-admin account, retrieve REST metadata and open a governed cube view. A successful TCP connection alone does not validate identity or data permissions.</w:t>
      </w:r>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69E13F0D" w14:textId="77777777">
        <w:trPr>
          <w:cantSplit/>
          <w:jc w:val="center"/>
        </w:trPr>
        <w:tc>
          <w:tcPr>
            <w:tcW w:w="9706" w:type="dxa"/>
            <w:shd w:val="clear" w:color="auto" w:fill="FFF4DC"/>
            <w:tcMar>
              <w:top w:w="115" w:type="dxa"/>
              <w:left w:w="150" w:type="dxa"/>
              <w:bottom w:w="115" w:type="dxa"/>
              <w:right w:w="150" w:type="dxa"/>
            </w:tcMar>
          </w:tcPr>
          <w:p w14:paraId="2B1A30CD" w14:textId="77777777" w:rsidR="00EB0B6B" w:rsidRDefault="00000000">
            <w:pPr>
              <w:keepNext/>
              <w:spacing w:after="80"/>
            </w:pPr>
            <w:r>
              <w:rPr>
                <w:rFonts w:eastAsia="Arial" w:cs="Arial"/>
                <w:b/>
                <w:color w:val="99620C"/>
                <w:sz w:val="19"/>
              </w:rPr>
              <w:t>AVOID UNSAFE SHORTCUTS</w:t>
            </w:r>
          </w:p>
          <w:p w14:paraId="26CEE2D8" w14:textId="77777777" w:rsidR="00EB0B6B" w:rsidRDefault="00000000">
            <w:pPr>
              <w:spacing w:after="0" w:line="254" w:lineRule="auto"/>
            </w:pPr>
            <w:r>
              <w:rPr>
                <w:rFonts w:eastAsia="Arial" w:cs="Arial"/>
                <w:sz w:val="20"/>
              </w:rPr>
              <w:t>Do not use disabled certificate verification, broad firewall openings or a shared administrator password as a permanent fix. Diagnose the failed layer and correct that layer.</w:t>
            </w:r>
          </w:p>
        </w:tc>
      </w:tr>
    </w:tbl>
    <w:p w14:paraId="013CB39D" w14:textId="77777777" w:rsidR="00EB0B6B" w:rsidRDefault="00EB0B6B">
      <w:pPr>
        <w:spacing w:after="0" w:line="120" w:lineRule="auto"/>
      </w:pPr>
    </w:p>
    <w:p w14:paraId="10C33201" w14:textId="77777777" w:rsidR="00EB0B6B" w:rsidRDefault="00000000">
      <w:pPr>
        <w:pStyle w:val="Heading1"/>
        <w:pageBreakBefore/>
      </w:pPr>
      <w:bookmarkStart w:id="11" w:name="chapter_11"/>
      <w:r>
        <w:rPr>
          <w:rFonts w:ascii="Arial" w:eastAsia="Arial" w:hAnsi="Arial" w:cs="Arial"/>
        </w:rPr>
        <w:t>11. Local: install Planning Analytics Workspace</w:t>
      </w:r>
      <w:bookmarkEnd w:id="11"/>
    </w:p>
    <w:p w14:paraId="2B620B09" w14:textId="77777777" w:rsidR="00EB0B6B" w:rsidRDefault="00000000">
      <w:pPr>
        <w:keepNext/>
        <w:spacing w:after="240"/>
      </w:pPr>
      <w:r>
        <w:rPr>
          <w:rFonts w:eastAsia="Arial" w:cs="Arial"/>
          <w:color w:val="007D79"/>
          <w:sz w:val="20"/>
        </w:rPr>
        <w:t>Choose the platform-specific container procedure from IBM documentation.</w:t>
      </w:r>
    </w:p>
    <w:p w14:paraId="6B4E1FDC" w14:textId="77777777" w:rsidR="00EB0B6B" w:rsidRDefault="00000000">
      <w:r>
        <w:rPr>
          <w:rFonts w:eastAsia="Arial" w:cs="Arial"/>
        </w:rPr>
        <w:t>Workspace Local is a containerized web experience. IBM provides separate Windows and RHEL instructions, with prerequisites tied to the Workspace release. The installation entry point uses Start.ps1 on Windows and Start.sh on Linux. A dedicated Workspace host is recommended in IBM guidance.</w:t>
      </w:r>
      <w:r>
        <w:rPr>
          <w:rFonts w:eastAsia="Arial" w:cs="Arial"/>
          <w:color w:val="596C7B"/>
          <w:sz w:val="18"/>
        </w:rPr>
        <w:t xml:space="preserve">  </w:t>
      </w:r>
      <w:hyperlink w:anchor="ref_21" w:history="1">
        <w:r>
          <w:rPr>
            <w:color w:val="145EA8"/>
            <w:sz w:val="18"/>
            <w:szCs w:val="18"/>
          </w:rPr>
          <w:t>[R21]</w:t>
        </w:r>
      </w:hyperlink>
      <w:r>
        <w:rPr>
          <w:rFonts w:eastAsia="Arial" w:cs="Arial"/>
          <w:color w:val="596C7B"/>
          <w:sz w:val="18"/>
        </w:rPr>
        <w:t xml:space="preserve"> </w:t>
      </w:r>
      <w:hyperlink w:anchor="ref_26" w:history="1">
        <w:r>
          <w:rPr>
            <w:color w:val="145EA8"/>
            <w:sz w:val="18"/>
            <w:szCs w:val="18"/>
          </w:rPr>
          <w:t>[R26]</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368"/>
        <w:gridCol w:w="4176"/>
        <w:gridCol w:w="4162"/>
      </w:tblGrid>
      <w:tr w:rsidR="00EB0B6B" w14:paraId="7A41400A" w14:textId="77777777">
        <w:trPr>
          <w:cantSplit/>
          <w:tblHeader/>
          <w:jc w:val="center"/>
        </w:trPr>
        <w:tc>
          <w:tcPr>
            <w:tcW w:w="1368" w:type="dxa"/>
            <w:shd w:val="clear" w:color="auto" w:fill="16324F"/>
            <w:tcMar>
              <w:top w:w="100" w:type="dxa"/>
              <w:left w:w="110" w:type="dxa"/>
              <w:bottom w:w="100" w:type="dxa"/>
              <w:right w:w="110" w:type="dxa"/>
            </w:tcMar>
            <w:vAlign w:val="center"/>
          </w:tcPr>
          <w:p w14:paraId="2F293D56" w14:textId="77777777" w:rsidR="00EB0B6B" w:rsidRDefault="00000000">
            <w:pPr>
              <w:spacing w:after="0" w:line="252" w:lineRule="auto"/>
            </w:pPr>
            <w:r>
              <w:rPr>
                <w:rFonts w:eastAsia="Arial" w:cs="Arial"/>
                <w:b/>
                <w:color w:val="FFFFFF"/>
                <w:sz w:val="20"/>
              </w:rPr>
              <w:t>Phase</w:t>
            </w:r>
          </w:p>
        </w:tc>
        <w:tc>
          <w:tcPr>
            <w:tcW w:w="4176" w:type="dxa"/>
            <w:shd w:val="clear" w:color="auto" w:fill="16324F"/>
            <w:tcMar>
              <w:top w:w="100" w:type="dxa"/>
              <w:left w:w="110" w:type="dxa"/>
              <w:bottom w:w="100" w:type="dxa"/>
              <w:right w:w="110" w:type="dxa"/>
            </w:tcMar>
            <w:vAlign w:val="center"/>
          </w:tcPr>
          <w:p w14:paraId="5C22D898" w14:textId="77777777" w:rsidR="00EB0B6B" w:rsidRDefault="00000000">
            <w:pPr>
              <w:spacing w:after="0" w:line="252" w:lineRule="auto"/>
            </w:pPr>
            <w:r>
              <w:rPr>
                <w:rFonts w:eastAsia="Arial" w:cs="Arial"/>
                <w:b/>
                <w:color w:val="FFFFFF"/>
                <w:sz w:val="20"/>
              </w:rPr>
              <w:t>Windows Server</w:t>
            </w:r>
          </w:p>
        </w:tc>
        <w:tc>
          <w:tcPr>
            <w:tcW w:w="4162" w:type="dxa"/>
            <w:shd w:val="clear" w:color="auto" w:fill="16324F"/>
            <w:tcMar>
              <w:top w:w="100" w:type="dxa"/>
              <w:left w:w="110" w:type="dxa"/>
              <w:bottom w:w="100" w:type="dxa"/>
              <w:right w:w="110" w:type="dxa"/>
            </w:tcMar>
            <w:vAlign w:val="center"/>
          </w:tcPr>
          <w:p w14:paraId="3FDC1C94" w14:textId="77777777" w:rsidR="00EB0B6B" w:rsidRDefault="00000000">
            <w:pPr>
              <w:spacing w:after="0" w:line="252" w:lineRule="auto"/>
            </w:pPr>
            <w:r>
              <w:rPr>
                <w:rFonts w:eastAsia="Arial" w:cs="Arial"/>
                <w:b/>
                <w:color w:val="FFFFFF"/>
                <w:sz w:val="20"/>
              </w:rPr>
              <w:t>RHEL</w:t>
            </w:r>
          </w:p>
        </w:tc>
      </w:tr>
      <w:tr w:rsidR="00EB0B6B" w14:paraId="407E74A5" w14:textId="77777777">
        <w:trPr>
          <w:cantSplit/>
          <w:jc w:val="center"/>
        </w:trPr>
        <w:tc>
          <w:tcPr>
            <w:tcW w:w="1368" w:type="dxa"/>
            <w:tcMar>
              <w:top w:w="85" w:type="dxa"/>
              <w:left w:w="110" w:type="dxa"/>
              <w:bottom w:w="85" w:type="dxa"/>
              <w:right w:w="110" w:type="dxa"/>
            </w:tcMar>
            <w:vAlign w:val="center"/>
          </w:tcPr>
          <w:p w14:paraId="3442BD83" w14:textId="77777777" w:rsidR="00EB0B6B" w:rsidRDefault="00000000">
            <w:pPr>
              <w:spacing w:after="0" w:line="252" w:lineRule="auto"/>
            </w:pPr>
            <w:r>
              <w:rPr>
                <w:rFonts w:eastAsia="Arial" w:cs="Arial"/>
                <w:b/>
                <w:color w:val="16324F"/>
                <w:sz w:val="20"/>
              </w:rPr>
              <w:t>Validate</w:t>
            </w:r>
          </w:p>
        </w:tc>
        <w:tc>
          <w:tcPr>
            <w:tcW w:w="4176" w:type="dxa"/>
            <w:tcMar>
              <w:top w:w="85" w:type="dxa"/>
              <w:left w:w="110" w:type="dxa"/>
              <w:bottom w:w="85" w:type="dxa"/>
              <w:right w:w="110" w:type="dxa"/>
            </w:tcMar>
            <w:vAlign w:val="center"/>
          </w:tcPr>
          <w:p w14:paraId="7F6D2A6B" w14:textId="77777777" w:rsidR="00EB0B6B" w:rsidRDefault="00000000">
            <w:pPr>
              <w:spacing w:after="0" w:line="252" w:lineRule="auto"/>
            </w:pPr>
            <w:r>
              <w:rPr>
                <w:rFonts w:eastAsia="Arial" w:cs="Arial"/>
                <w:sz w:val="20"/>
              </w:rPr>
              <w:t>Confirm the supported Server edition, container runtime and virtualization / container prerequisites.</w:t>
            </w:r>
          </w:p>
        </w:tc>
        <w:tc>
          <w:tcPr>
            <w:tcW w:w="4162" w:type="dxa"/>
            <w:tcMar>
              <w:top w:w="85" w:type="dxa"/>
              <w:left w:w="110" w:type="dxa"/>
              <w:bottom w:w="85" w:type="dxa"/>
              <w:right w:w="110" w:type="dxa"/>
            </w:tcMar>
            <w:vAlign w:val="center"/>
          </w:tcPr>
          <w:p w14:paraId="1A01574A" w14:textId="77777777" w:rsidR="00EB0B6B" w:rsidRDefault="00000000">
            <w:pPr>
              <w:spacing w:after="0" w:line="252" w:lineRule="auto"/>
            </w:pPr>
            <w:r>
              <w:rPr>
                <w:rFonts w:eastAsia="Arial" w:cs="Arial"/>
                <w:sz w:val="20"/>
              </w:rPr>
              <w:t>Confirm the exact RHEL release and IBM-prescribed runtime; do not assume generic Ubuntu / Docker compatibility.</w:t>
            </w:r>
          </w:p>
        </w:tc>
      </w:tr>
      <w:tr w:rsidR="00EB0B6B" w14:paraId="63F8B215" w14:textId="77777777">
        <w:trPr>
          <w:cantSplit/>
          <w:jc w:val="center"/>
        </w:trPr>
        <w:tc>
          <w:tcPr>
            <w:tcW w:w="1368" w:type="dxa"/>
            <w:tcMar>
              <w:top w:w="85" w:type="dxa"/>
              <w:left w:w="110" w:type="dxa"/>
              <w:bottom w:w="85" w:type="dxa"/>
              <w:right w:w="110" w:type="dxa"/>
            </w:tcMar>
            <w:vAlign w:val="center"/>
          </w:tcPr>
          <w:p w14:paraId="4E4DB1B6" w14:textId="77777777" w:rsidR="00EB0B6B" w:rsidRDefault="00000000">
            <w:pPr>
              <w:spacing w:after="0" w:line="252" w:lineRule="auto"/>
            </w:pPr>
            <w:r>
              <w:rPr>
                <w:rFonts w:eastAsia="Arial" w:cs="Arial"/>
                <w:b/>
                <w:color w:val="16324F"/>
                <w:sz w:val="20"/>
              </w:rPr>
              <w:t>Prepare</w:t>
            </w:r>
          </w:p>
        </w:tc>
        <w:tc>
          <w:tcPr>
            <w:tcW w:w="4176" w:type="dxa"/>
            <w:tcMar>
              <w:top w:w="85" w:type="dxa"/>
              <w:left w:w="110" w:type="dxa"/>
              <w:bottom w:w="85" w:type="dxa"/>
              <w:right w:w="110" w:type="dxa"/>
            </w:tcMar>
            <w:vAlign w:val="center"/>
          </w:tcPr>
          <w:p w14:paraId="15A76FCE" w14:textId="77777777" w:rsidR="00EB0B6B" w:rsidRDefault="00000000">
            <w:pPr>
              <w:spacing w:after="0" w:line="252" w:lineRule="auto"/>
            </w:pPr>
            <w:r>
              <w:rPr>
                <w:rFonts w:eastAsia="Arial" w:cs="Arial"/>
                <w:sz w:val="20"/>
              </w:rPr>
              <w:t>Use approved administrative privileges, storage and network configuration.</w:t>
            </w:r>
          </w:p>
        </w:tc>
        <w:tc>
          <w:tcPr>
            <w:tcW w:w="4162" w:type="dxa"/>
            <w:tcMar>
              <w:top w:w="85" w:type="dxa"/>
              <w:left w:w="110" w:type="dxa"/>
              <w:bottom w:w="85" w:type="dxa"/>
              <w:right w:w="110" w:type="dxa"/>
            </w:tcMar>
            <w:vAlign w:val="center"/>
          </w:tcPr>
          <w:p w14:paraId="5378FFC3" w14:textId="77777777" w:rsidR="00EB0B6B" w:rsidRDefault="00000000">
            <w:pPr>
              <w:spacing w:after="0" w:line="252" w:lineRule="auto"/>
            </w:pPr>
            <w:r>
              <w:rPr>
                <w:rFonts w:eastAsia="Arial" w:cs="Arial"/>
                <w:sz w:val="20"/>
              </w:rPr>
              <w:t>Prepare container storage, runtime permissions, hostname and required network access.</w:t>
            </w:r>
          </w:p>
        </w:tc>
      </w:tr>
      <w:tr w:rsidR="00EB0B6B" w14:paraId="6E11420A" w14:textId="77777777">
        <w:trPr>
          <w:cantSplit/>
          <w:jc w:val="center"/>
        </w:trPr>
        <w:tc>
          <w:tcPr>
            <w:tcW w:w="1368" w:type="dxa"/>
            <w:tcMar>
              <w:top w:w="85" w:type="dxa"/>
              <w:left w:w="110" w:type="dxa"/>
              <w:bottom w:w="85" w:type="dxa"/>
              <w:right w:w="110" w:type="dxa"/>
            </w:tcMar>
            <w:vAlign w:val="center"/>
          </w:tcPr>
          <w:p w14:paraId="56D4AC17" w14:textId="77777777" w:rsidR="00EB0B6B" w:rsidRDefault="00000000">
            <w:pPr>
              <w:spacing w:after="0" w:line="252" w:lineRule="auto"/>
            </w:pPr>
            <w:r>
              <w:rPr>
                <w:rFonts w:eastAsia="Arial" w:cs="Arial"/>
                <w:b/>
                <w:color w:val="16324F"/>
                <w:sz w:val="20"/>
              </w:rPr>
              <w:t>Extract and start</w:t>
            </w:r>
          </w:p>
        </w:tc>
        <w:tc>
          <w:tcPr>
            <w:tcW w:w="4176" w:type="dxa"/>
            <w:tcMar>
              <w:top w:w="85" w:type="dxa"/>
              <w:left w:w="110" w:type="dxa"/>
              <w:bottom w:w="85" w:type="dxa"/>
              <w:right w:w="110" w:type="dxa"/>
            </w:tcMar>
            <w:vAlign w:val="center"/>
          </w:tcPr>
          <w:p w14:paraId="37DACDBD" w14:textId="77777777" w:rsidR="00EB0B6B" w:rsidRDefault="00000000">
            <w:pPr>
              <w:spacing w:after="0" w:line="252" w:lineRule="auto"/>
            </w:pPr>
            <w:r>
              <w:rPr>
                <w:rFonts w:eastAsia="Arial" w:cs="Arial"/>
                <w:sz w:val="20"/>
              </w:rPr>
              <w:t>Extract the selected kit to its intended location and use the shipped PowerShell startup script.</w:t>
            </w:r>
          </w:p>
        </w:tc>
        <w:tc>
          <w:tcPr>
            <w:tcW w:w="4162" w:type="dxa"/>
            <w:tcMar>
              <w:top w:w="85" w:type="dxa"/>
              <w:left w:w="110" w:type="dxa"/>
              <w:bottom w:w="85" w:type="dxa"/>
              <w:right w:w="110" w:type="dxa"/>
            </w:tcMar>
            <w:vAlign w:val="center"/>
          </w:tcPr>
          <w:p w14:paraId="6013AE44" w14:textId="77777777" w:rsidR="00EB0B6B" w:rsidRDefault="00000000">
            <w:pPr>
              <w:spacing w:after="0" w:line="252" w:lineRule="auto"/>
            </w:pPr>
            <w:r>
              <w:rPr>
                <w:rFonts w:eastAsia="Arial" w:cs="Arial"/>
                <w:sz w:val="20"/>
              </w:rPr>
              <w:t>Extract the selected kit and use its Linux startup script.</w:t>
            </w:r>
          </w:p>
        </w:tc>
      </w:tr>
      <w:tr w:rsidR="00EB0B6B" w14:paraId="2D5F947E" w14:textId="77777777">
        <w:trPr>
          <w:cantSplit/>
          <w:jc w:val="center"/>
        </w:trPr>
        <w:tc>
          <w:tcPr>
            <w:tcW w:w="1368" w:type="dxa"/>
            <w:tcMar>
              <w:top w:w="85" w:type="dxa"/>
              <w:left w:w="110" w:type="dxa"/>
              <w:bottom w:w="85" w:type="dxa"/>
              <w:right w:w="110" w:type="dxa"/>
            </w:tcMar>
            <w:vAlign w:val="center"/>
          </w:tcPr>
          <w:p w14:paraId="271F6395" w14:textId="77777777" w:rsidR="00EB0B6B" w:rsidRDefault="00000000">
            <w:pPr>
              <w:spacing w:after="0" w:line="252" w:lineRule="auto"/>
            </w:pPr>
            <w:r>
              <w:rPr>
                <w:rFonts w:eastAsia="Arial" w:cs="Arial"/>
                <w:b/>
                <w:color w:val="16324F"/>
                <w:sz w:val="20"/>
              </w:rPr>
              <w:t>Configure</w:t>
            </w:r>
          </w:p>
        </w:tc>
        <w:tc>
          <w:tcPr>
            <w:tcW w:w="4176" w:type="dxa"/>
            <w:tcMar>
              <w:top w:w="85" w:type="dxa"/>
              <w:left w:w="110" w:type="dxa"/>
              <w:bottom w:w="85" w:type="dxa"/>
              <w:right w:w="110" w:type="dxa"/>
            </w:tcMar>
            <w:vAlign w:val="center"/>
          </w:tcPr>
          <w:p w14:paraId="7A3C1EF8" w14:textId="77777777" w:rsidR="00EB0B6B" w:rsidRDefault="00000000">
            <w:pPr>
              <w:spacing w:after="0" w:line="252" w:lineRule="auto"/>
            </w:pPr>
            <w:r>
              <w:rPr>
                <w:rFonts w:eastAsia="Arial" w:cs="Arial"/>
                <w:sz w:val="20"/>
              </w:rPr>
              <w:t>Enter the applicable TM1, authentication and web endpoints in the administration tool.</w:t>
            </w:r>
          </w:p>
        </w:tc>
        <w:tc>
          <w:tcPr>
            <w:tcW w:w="4162" w:type="dxa"/>
            <w:tcMar>
              <w:top w:w="85" w:type="dxa"/>
              <w:left w:w="110" w:type="dxa"/>
              <w:bottom w:w="85" w:type="dxa"/>
              <w:right w:w="110" w:type="dxa"/>
            </w:tcMar>
            <w:vAlign w:val="center"/>
          </w:tcPr>
          <w:p w14:paraId="6F7D1A1C" w14:textId="77777777" w:rsidR="00EB0B6B" w:rsidRDefault="00000000">
            <w:pPr>
              <w:spacing w:after="0" w:line="252" w:lineRule="auto"/>
            </w:pPr>
            <w:r>
              <w:rPr>
                <w:rFonts w:eastAsia="Arial" w:cs="Arial"/>
                <w:sz w:val="20"/>
              </w:rPr>
              <w:t>Apply equivalent endpoints and authentication settings through the supported tool.</w:t>
            </w:r>
          </w:p>
        </w:tc>
      </w:tr>
      <w:tr w:rsidR="00EB0B6B" w14:paraId="68A6170C" w14:textId="77777777">
        <w:trPr>
          <w:cantSplit/>
          <w:jc w:val="center"/>
        </w:trPr>
        <w:tc>
          <w:tcPr>
            <w:tcW w:w="1368" w:type="dxa"/>
            <w:tcMar>
              <w:top w:w="85" w:type="dxa"/>
              <w:left w:w="110" w:type="dxa"/>
              <w:bottom w:w="85" w:type="dxa"/>
              <w:right w:w="110" w:type="dxa"/>
            </w:tcMar>
            <w:vAlign w:val="center"/>
          </w:tcPr>
          <w:p w14:paraId="46D0640A" w14:textId="77777777" w:rsidR="00EB0B6B" w:rsidRDefault="00000000">
            <w:pPr>
              <w:spacing w:after="0" w:line="252" w:lineRule="auto"/>
            </w:pPr>
            <w:r>
              <w:rPr>
                <w:rFonts w:eastAsia="Arial" w:cs="Arial"/>
                <w:b/>
                <w:color w:val="16324F"/>
                <w:sz w:val="20"/>
              </w:rPr>
              <w:t>Verify</w:t>
            </w:r>
          </w:p>
        </w:tc>
        <w:tc>
          <w:tcPr>
            <w:tcW w:w="4176" w:type="dxa"/>
            <w:tcMar>
              <w:top w:w="85" w:type="dxa"/>
              <w:left w:w="110" w:type="dxa"/>
              <w:bottom w:w="85" w:type="dxa"/>
              <w:right w:w="110" w:type="dxa"/>
            </w:tcMar>
            <w:vAlign w:val="center"/>
          </w:tcPr>
          <w:p w14:paraId="439AAB4D" w14:textId="77777777" w:rsidR="00EB0B6B" w:rsidRDefault="00000000">
            <w:pPr>
              <w:spacing w:after="0" w:line="252" w:lineRule="auto"/>
            </w:pPr>
            <w:r>
              <w:rPr>
                <w:rFonts w:eastAsia="Arial" w:cs="Arial"/>
                <w:sz w:val="20"/>
              </w:rPr>
              <w:t>Confirm service / container health, user login and access to a test database.</w:t>
            </w:r>
          </w:p>
        </w:tc>
        <w:tc>
          <w:tcPr>
            <w:tcW w:w="4162" w:type="dxa"/>
            <w:tcMar>
              <w:top w:w="85" w:type="dxa"/>
              <w:left w:w="110" w:type="dxa"/>
              <w:bottom w:w="85" w:type="dxa"/>
              <w:right w:w="110" w:type="dxa"/>
            </w:tcMar>
            <w:vAlign w:val="center"/>
          </w:tcPr>
          <w:p w14:paraId="1FAA7062" w14:textId="77777777" w:rsidR="00EB0B6B" w:rsidRDefault="00000000">
            <w:pPr>
              <w:spacing w:after="0" w:line="252" w:lineRule="auto"/>
            </w:pPr>
            <w:r>
              <w:rPr>
                <w:rFonts w:eastAsia="Arial" w:cs="Arial"/>
                <w:sz w:val="20"/>
              </w:rPr>
              <w:t>Verify health and a controlled reboot / restart recovery test.</w:t>
            </w:r>
          </w:p>
        </w:tc>
      </w:tr>
    </w:tbl>
    <w:p w14:paraId="46CF1115" w14:textId="77777777" w:rsidR="00EB0B6B" w:rsidRDefault="00EB0B6B">
      <w:pPr>
        <w:spacing w:after="0" w:line="120" w:lineRule="auto"/>
      </w:pPr>
    </w:p>
    <w:p w14:paraId="10CF37C9" w14:textId="77777777" w:rsidR="00EB0B6B" w:rsidRDefault="00000000">
      <w:pPr>
        <w:pStyle w:val="Heading2"/>
      </w:pPr>
      <w:r>
        <w:rPr>
          <w:rFonts w:ascii="Arial" w:eastAsia="Arial" w:hAnsi="Arial" w:cs="Arial"/>
        </w:rPr>
        <w:t>Startup entry points</w:t>
      </w:r>
    </w:p>
    <w:tbl>
      <w:tblPr>
        <w:tblW w:w="0" w:type="auto"/>
        <w:jc w:val="center"/>
        <w:tblBorders>
          <w:top w:val="single" w:sz="4" w:space="0" w:color="E0E7ED"/>
          <w:left w:val="single" w:sz="4" w:space="0" w:color="E0E7ED"/>
          <w:bottom w:val="single" w:sz="4" w:space="0" w:color="E0E7ED"/>
          <w:right w:val="single" w:sz="4" w:space="0" w:color="E0E7ED"/>
          <w:insideH w:val="single" w:sz="4" w:space="0" w:color="E0E7ED"/>
          <w:insideV w:val="single" w:sz="4" w:space="0" w:color="E0E7ED"/>
        </w:tblBorders>
        <w:tblLayout w:type="fixed"/>
        <w:tblLook w:val="04A0" w:firstRow="1" w:lastRow="0" w:firstColumn="1" w:lastColumn="0" w:noHBand="0" w:noVBand="1"/>
      </w:tblPr>
      <w:tblGrid>
        <w:gridCol w:w="9706"/>
      </w:tblGrid>
      <w:tr w:rsidR="00EB0B6B" w14:paraId="0D638496" w14:textId="77777777">
        <w:trPr>
          <w:cantSplit/>
          <w:jc w:val="center"/>
        </w:trPr>
        <w:tc>
          <w:tcPr>
            <w:tcW w:w="9706" w:type="dxa"/>
            <w:shd w:val="clear" w:color="auto" w:fill="F3F6F8"/>
            <w:tcMar>
              <w:top w:w="105" w:type="dxa"/>
              <w:left w:w="145" w:type="dxa"/>
              <w:bottom w:w="105" w:type="dxa"/>
              <w:right w:w="145" w:type="dxa"/>
            </w:tcMar>
          </w:tcPr>
          <w:p w14:paraId="789BD5BC" w14:textId="77777777" w:rsidR="00EB0B6B" w:rsidRDefault="00000000">
            <w:pPr>
              <w:spacing w:after="0" w:line="252" w:lineRule="auto"/>
            </w:pPr>
            <w:r>
              <w:rPr>
                <w:rFonts w:ascii="DejaVu Sans Mono" w:eastAsia="DejaVu Sans Mono" w:hAnsi="DejaVu Sans Mono" w:cs="DejaVu Sans Mono"/>
                <w:color w:val="16324F"/>
                <w:sz w:val="17"/>
              </w:rPr>
              <w:t># Linux: from the extracted Workspace directory</w:t>
            </w:r>
            <w:r>
              <w:rPr>
                <w:rFonts w:ascii="DejaVu Sans Mono" w:eastAsia="DejaVu Sans Mono" w:hAnsi="DejaVu Sans Mono" w:cs="DejaVu Sans Mono"/>
                <w:color w:val="16324F"/>
                <w:sz w:val="17"/>
              </w:rPr>
              <w:br/>
              <w:t>./Start.sh</w:t>
            </w:r>
            <w:r>
              <w:rPr>
                <w:rFonts w:ascii="DejaVu Sans Mono" w:eastAsia="DejaVu Sans Mono" w:hAnsi="DejaVu Sans Mono" w:cs="DejaVu Sans Mono"/>
                <w:color w:val="16324F"/>
                <w:sz w:val="17"/>
              </w:rPr>
              <w:br/>
            </w:r>
            <w:r>
              <w:rPr>
                <w:rFonts w:ascii="DejaVu Sans Mono" w:eastAsia="DejaVu Sans Mono" w:hAnsi="DejaVu Sans Mono" w:cs="DejaVu Sans Mono"/>
                <w:color w:val="16324F"/>
                <w:sz w:val="17"/>
              </w:rPr>
              <w:br/>
              <w:t># Windows PowerShell: from the extracted Workspace directory</w:t>
            </w:r>
            <w:r>
              <w:rPr>
                <w:rFonts w:ascii="DejaVu Sans Mono" w:eastAsia="DejaVu Sans Mono" w:hAnsi="DejaVu Sans Mono" w:cs="DejaVu Sans Mono"/>
                <w:color w:val="16324F"/>
                <w:sz w:val="17"/>
              </w:rPr>
              <w:br/>
              <w:t>.\Start.ps1</w:t>
            </w:r>
          </w:p>
        </w:tc>
      </w:tr>
    </w:tbl>
    <w:p w14:paraId="3DE22890" w14:textId="77777777" w:rsidR="00EB0B6B" w:rsidRDefault="00EB0B6B">
      <w:pPr>
        <w:spacing w:after="0" w:line="120" w:lineRule="auto"/>
      </w:pPr>
    </w:p>
    <w:p w14:paraId="283AED63" w14:textId="77777777" w:rsidR="00EB0B6B" w:rsidRDefault="00000000">
      <w:r>
        <w:rPr>
          <w:rFonts w:eastAsia="Arial" w:cs="Arial"/>
        </w:rPr>
        <w:t>Use only the operating-system block that applies to the selected kit. The scripts above are entry points, not substitutes for installing runtime prerequisites or following IBM setup prompts.</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63E6DAA3" w14:textId="77777777">
        <w:trPr>
          <w:cantSplit/>
          <w:jc w:val="center"/>
        </w:trPr>
        <w:tc>
          <w:tcPr>
            <w:tcW w:w="9706" w:type="dxa"/>
            <w:shd w:val="clear" w:color="auto" w:fill="EAF5F2"/>
            <w:tcMar>
              <w:top w:w="115" w:type="dxa"/>
              <w:left w:w="150" w:type="dxa"/>
              <w:bottom w:w="115" w:type="dxa"/>
              <w:right w:w="150" w:type="dxa"/>
            </w:tcMar>
          </w:tcPr>
          <w:p w14:paraId="77B1B6F8" w14:textId="77777777" w:rsidR="00EB0B6B" w:rsidRDefault="00000000">
            <w:pPr>
              <w:keepNext/>
              <w:spacing w:after="80"/>
            </w:pPr>
            <w:r>
              <w:rPr>
                <w:rFonts w:eastAsia="Arial" w:cs="Arial"/>
                <w:b/>
                <w:color w:val="007D79"/>
                <w:sz w:val="19"/>
              </w:rPr>
              <w:t>SEPARATE OPENSHIFT PATH</w:t>
            </w:r>
          </w:p>
          <w:p w14:paraId="77C53749" w14:textId="77777777" w:rsidR="00EB0B6B" w:rsidRDefault="00000000">
            <w:pPr>
              <w:spacing w:after="0" w:line="254" w:lineRule="auto"/>
            </w:pPr>
            <w:r>
              <w:rPr>
                <w:rFonts w:eastAsia="Arial" w:cs="Arial"/>
                <w:sz w:val="20"/>
              </w:rPr>
              <w:t>Workspace Distributed is documented as an OpenShift-based deployment with its own installation and upgrade procedure. Its availability characteristics must not be generalized to every TM1 database, or to a standard Workspace Local installation.</w:t>
            </w:r>
          </w:p>
        </w:tc>
      </w:tr>
    </w:tbl>
    <w:p w14:paraId="2A5E8771" w14:textId="77777777" w:rsidR="00EB0B6B" w:rsidRDefault="00EB0B6B">
      <w:pPr>
        <w:spacing w:after="0" w:line="120" w:lineRule="auto"/>
      </w:pPr>
    </w:p>
    <w:p w14:paraId="077EC6EE" w14:textId="77777777" w:rsidR="00EB0B6B" w:rsidRDefault="00000000">
      <w:r>
        <w:rPr>
          <w:rFonts w:eastAsia="Arial" w:cs="Arial"/>
        </w:rPr>
        <w:t>See the dedicated Distributed guide when that architecture is selected.</w:t>
      </w:r>
      <w:r>
        <w:rPr>
          <w:rFonts w:eastAsia="Arial" w:cs="Arial"/>
          <w:color w:val="596C7B"/>
          <w:sz w:val="18"/>
        </w:rPr>
        <w:t xml:space="preserve">  </w:t>
      </w:r>
      <w:hyperlink w:anchor="ref_22" w:history="1">
        <w:r>
          <w:rPr>
            <w:color w:val="145EA8"/>
            <w:sz w:val="18"/>
            <w:szCs w:val="18"/>
          </w:rPr>
          <w:t>[R22]</w:t>
        </w:r>
      </w:hyperlink>
    </w:p>
    <w:p w14:paraId="25A259E0" w14:textId="77777777" w:rsidR="00EB0B6B" w:rsidRDefault="00000000">
      <w:pPr>
        <w:pStyle w:val="Heading1"/>
        <w:pageBreakBefore/>
      </w:pPr>
      <w:bookmarkStart w:id="12" w:name="chapter_12"/>
      <w:r>
        <w:rPr>
          <w:rFonts w:ascii="Arial" w:eastAsia="Arial" w:hAnsi="Arial" w:cs="Arial"/>
        </w:rPr>
        <w:t>12. Workspace configuration and Administration agent</w:t>
      </w:r>
      <w:bookmarkEnd w:id="12"/>
    </w:p>
    <w:p w14:paraId="605EAFCE" w14:textId="77777777" w:rsidR="00EB0B6B" w:rsidRDefault="00000000">
      <w:pPr>
        <w:keepNext/>
        <w:spacing w:after="240"/>
      </w:pPr>
      <w:r>
        <w:rPr>
          <w:rFonts w:eastAsia="Arial" w:cs="Arial"/>
          <w:color w:val="007D79"/>
          <w:sz w:val="20"/>
        </w:rPr>
        <w:t>Join the user interface to the right database and management endpoints.</w:t>
      </w:r>
    </w:p>
    <w:p w14:paraId="2B8B4BFA" w14:textId="77777777" w:rsidR="00EB0B6B" w:rsidRDefault="00000000">
      <w:pPr>
        <w:pStyle w:val="Heading2"/>
      </w:pPr>
      <w:r>
        <w:rPr>
          <w:rFonts w:ascii="Arial" w:eastAsia="Arial" w:hAnsi="Arial" w:cs="Arial"/>
        </w:rPr>
        <w:t>Recommended configuration map</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088"/>
        <w:gridCol w:w="4248"/>
        <w:gridCol w:w="3370"/>
      </w:tblGrid>
      <w:tr w:rsidR="00EB0B6B" w14:paraId="57230F69" w14:textId="77777777">
        <w:trPr>
          <w:cantSplit/>
          <w:tblHeader/>
          <w:jc w:val="center"/>
        </w:trPr>
        <w:tc>
          <w:tcPr>
            <w:tcW w:w="2088" w:type="dxa"/>
            <w:shd w:val="clear" w:color="auto" w:fill="16324F"/>
            <w:tcMar>
              <w:top w:w="100" w:type="dxa"/>
              <w:left w:w="110" w:type="dxa"/>
              <w:bottom w:w="100" w:type="dxa"/>
              <w:right w:w="110" w:type="dxa"/>
            </w:tcMar>
            <w:vAlign w:val="center"/>
          </w:tcPr>
          <w:p w14:paraId="19EE7D01" w14:textId="77777777" w:rsidR="00EB0B6B" w:rsidRDefault="00000000">
            <w:pPr>
              <w:spacing w:after="0" w:line="252" w:lineRule="auto"/>
            </w:pPr>
            <w:r>
              <w:rPr>
                <w:rFonts w:eastAsia="Arial" w:cs="Arial"/>
                <w:b/>
                <w:color w:val="FFFFFF"/>
                <w:sz w:val="20"/>
              </w:rPr>
              <w:t>Item</w:t>
            </w:r>
          </w:p>
        </w:tc>
        <w:tc>
          <w:tcPr>
            <w:tcW w:w="4248" w:type="dxa"/>
            <w:shd w:val="clear" w:color="auto" w:fill="16324F"/>
            <w:tcMar>
              <w:top w:w="100" w:type="dxa"/>
              <w:left w:w="110" w:type="dxa"/>
              <w:bottom w:w="100" w:type="dxa"/>
              <w:right w:w="110" w:type="dxa"/>
            </w:tcMar>
            <w:vAlign w:val="center"/>
          </w:tcPr>
          <w:p w14:paraId="6D3E5844" w14:textId="77777777" w:rsidR="00EB0B6B" w:rsidRDefault="00000000">
            <w:pPr>
              <w:spacing w:after="0" w:line="252" w:lineRule="auto"/>
            </w:pPr>
            <w:r>
              <w:rPr>
                <w:rFonts w:eastAsia="Arial" w:cs="Arial"/>
                <w:b/>
                <w:color w:val="FFFFFF"/>
                <w:sz w:val="20"/>
              </w:rPr>
              <w:t>What to establish</w:t>
            </w:r>
          </w:p>
        </w:tc>
        <w:tc>
          <w:tcPr>
            <w:tcW w:w="3370" w:type="dxa"/>
            <w:shd w:val="clear" w:color="auto" w:fill="16324F"/>
            <w:tcMar>
              <w:top w:w="100" w:type="dxa"/>
              <w:left w:w="110" w:type="dxa"/>
              <w:bottom w:w="100" w:type="dxa"/>
              <w:right w:w="110" w:type="dxa"/>
            </w:tcMar>
            <w:vAlign w:val="center"/>
          </w:tcPr>
          <w:p w14:paraId="0BCD1ECB" w14:textId="77777777" w:rsidR="00EB0B6B" w:rsidRDefault="00000000">
            <w:pPr>
              <w:spacing w:after="0" w:line="252" w:lineRule="auto"/>
            </w:pPr>
            <w:r>
              <w:rPr>
                <w:rFonts w:eastAsia="Arial" w:cs="Arial"/>
                <w:b/>
                <w:color w:val="FFFFFF"/>
                <w:sz w:val="20"/>
              </w:rPr>
              <w:t>Validation</w:t>
            </w:r>
          </w:p>
        </w:tc>
      </w:tr>
      <w:tr w:rsidR="00EB0B6B" w14:paraId="7C1ACB49" w14:textId="77777777">
        <w:trPr>
          <w:cantSplit/>
          <w:jc w:val="center"/>
        </w:trPr>
        <w:tc>
          <w:tcPr>
            <w:tcW w:w="2088" w:type="dxa"/>
            <w:tcMar>
              <w:top w:w="85" w:type="dxa"/>
              <w:left w:w="110" w:type="dxa"/>
              <w:bottom w:w="85" w:type="dxa"/>
              <w:right w:w="110" w:type="dxa"/>
            </w:tcMar>
            <w:vAlign w:val="center"/>
          </w:tcPr>
          <w:p w14:paraId="77131BCA" w14:textId="77777777" w:rsidR="00EB0B6B" w:rsidRDefault="00000000">
            <w:pPr>
              <w:spacing w:after="0" w:line="252" w:lineRule="auto"/>
            </w:pPr>
            <w:r>
              <w:rPr>
                <w:rFonts w:eastAsia="Arial" w:cs="Arial"/>
                <w:b/>
                <w:color w:val="16324F"/>
                <w:sz w:val="20"/>
              </w:rPr>
              <w:t>Workspace URL</w:t>
            </w:r>
          </w:p>
        </w:tc>
        <w:tc>
          <w:tcPr>
            <w:tcW w:w="4248" w:type="dxa"/>
            <w:tcMar>
              <w:top w:w="85" w:type="dxa"/>
              <w:left w:w="110" w:type="dxa"/>
              <w:bottom w:w="85" w:type="dxa"/>
              <w:right w:w="110" w:type="dxa"/>
            </w:tcMar>
            <w:vAlign w:val="center"/>
          </w:tcPr>
          <w:p w14:paraId="331DFCC2" w14:textId="77777777" w:rsidR="00EB0B6B" w:rsidRDefault="00000000">
            <w:pPr>
              <w:spacing w:after="0" w:line="252" w:lineRule="auto"/>
            </w:pPr>
            <w:r>
              <w:rPr>
                <w:rFonts w:eastAsia="Arial" w:cs="Arial"/>
                <w:sz w:val="20"/>
              </w:rPr>
              <w:t>An approved external FQDN, certificate and routing path.</w:t>
            </w:r>
          </w:p>
        </w:tc>
        <w:tc>
          <w:tcPr>
            <w:tcW w:w="3370" w:type="dxa"/>
            <w:tcMar>
              <w:top w:w="85" w:type="dxa"/>
              <w:left w:w="110" w:type="dxa"/>
              <w:bottom w:w="85" w:type="dxa"/>
              <w:right w:w="110" w:type="dxa"/>
            </w:tcMar>
            <w:vAlign w:val="center"/>
          </w:tcPr>
          <w:p w14:paraId="2076795E" w14:textId="77777777" w:rsidR="00EB0B6B" w:rsidRDefault="00000000">
            <w:pPr>
              <w:spacing w:after="0" w:line="252" w:lineRule="auto"/>
            </w:pPr>
            <w:r>
              <w:rPr>
                <w:rFonts w:eastAsia="Arial" w:cs="Arial"/>
                <w:sz w:val="20"/>
              </w:rPr>
              <w:t>Users reach the expected environment without certificate warnings.</w:t>
            </w:r>
          </w:p>
        </w:tc>
      </w:tr>
      <w:tr w:rsidR="00EB0B6B" w14:paraId="2750E693" w14:textId="77777777">
        <w:trPr>
          <w:cantSplit/>
          <w:jc w:val="center"/>
        </w:trPr>
        <w:tc>
          <w:tcPr>
            <w:tcW w:w="2088" w:type="dxa"/>
            <w:tcMar>
              <w:top w:w="85" w:type="dxa"/>
              <w:left w:w="110" w:type="dxa"/>
              <w:bottom w:w="85" w:type="dxa"/>
              <w:right w:w="110" w:type="dxa"/>
            </w:tcMar>
            <w:vAlign w:val="center"/>
          </w:tcPr>
          <w:p w14:paraId="2AF59BF1" w14:textId="77777777" w:rsidR="00EB0B6B" w:rsidRDefault="00000000">
            <w:pPr>
              <w:spacing w:after="0" w:line="252" w:lineRule="auto"/>
            </w:pPr>
            <w:r>
              <w:rPr>
                <w:rFonts w:eastAsia="Arial" w:cs="Arial"/>
                <w:b/>
                <w:color w:val="16324F"/>
                <w:sz w:val="20"/>
              </w:rPr>
              <w:t>Database connectivity</w:t>
            </w:r>
          </w:p>
        </w:tc>
        <w:tc>
          <w:tcPr>
            <w:tcW w:w="4248" w:type="dxa"/>
            <w:tcMar>
              <w:top w:w="85" w:type="dxa"/>
              <w:left w:w="110" w:type="dxa"/>
              <w:bottom w:w="85" w:type="dxa"/>
              <w:right w:w="110" w:type="dxa"/>
            </w:tcMar>
            <w:vAlign w:val="center"/>
          </w:tcPr>
          <w:p w14:paraId="2B6C4019" w14:textId="77777777" w:rsidR="00EB0B6B" w:rsidRDefault="00000000">
            <w:pPr>
              <w:spacing w:after="0" w:line="252" w:lineRule="auto"/>
            </w:pPr>
            <w:r>
              <w:rPr>
                <w:rFonts w:eastAsia="Arial" w:cs="Arial"/>
                <w:sz w:val="20"/>
              </w:rPr>
              <w:t>Correct Admin Server / database addresses and the required REST connectivity.</w:t>
            </w:r>
          </w:p>
        </w:tc>
        <w:tc>
          <w:tcPr>
            <w:tcW w:w="3370" w:type="dxa"/>
            <w:tcMar>
              <w:top w:w="85" w:type="dxa"/>
              <w:left w:w="110" w:type="dxa"/>
              <w:bottom w:w="85" w:type="dxa"/>
              <w:right w:w="110" w:type="dxa"/>
            </w:tcMar>
            <w:vAlign w:val="center"/>
          </w:tcPr>
          <w:p w14:paraId="72E3C6DC" w14:textId="77777777" w:rsidR="00EB0B6B" w:rsidRDefault="00000000">
            <w:pPr>
              <w:spacing w:after="0" w:line="252" w:lineRule="auto"/>
            </w:pPr>
            <w:r>
              <w:rPr>
                <w:rFonts w:eastAsia="Arial" w:cs="Arial"/>
                <w:sz w:val="20"/>
              </w:rPr>
              <w:t>The intended databases are discoverable and usable.</w:t>
            </w:r>
          </w:p>
        </w:tc>
      </w:tr>
      <w:tr w:rsidR="00EB0B6B" w14:paraId="45086B3D" w14:textId="77777777">
        <w:trPr>
          <w:cantSplit/>
          <w:jc w:val="center"/>
        </w:trPr>
        <w:tc>
          <w:tcPr>
            <w:tcW w:w="2088" w:type="dxa"/>
            <w:tcMar>
              <w:top w:w="85" w:type="dxa"/>
              <w:left w:w="110" w:type="dxa"/>
              <w:bottom w:w="85" w:type="dxa"/>
              <w:right w:w="110" w:type="dxa"/>
            </w:tcMar>
            <w:vAlign w:val="center"/>
          </w:tcPr>
          <w:p w14:paraId="65AA6A98" w14:textId="77777777" w:rsidR="00EB0B6B" w:rsidRDefault="00000000">
            <w:pPr>
              <w:spacing w:after="0" w:line="252" w:lineRule="auto"/>
            </w:pPr>
            <w:r>
              <w:rPr>
                <w:rFonts w:eastAsia="Arial" w:cs="Arial"/>
                <w:b/>
                <w:color w:val="16324F"/>
                <w:sz w:val="20"/>
              </w:rPr>
              <w:t>Authentication</w:t>
            </w:r>
          </w:p>
        </w:tc>
        <w:tc>
          <w:tcPr>
            <w:tcW w:w="4248" w:type="dxa"/>
            <w:tcMar>
              <w:top w:w="85" w:type="dxa"/>
              <w:left w:w="110" w:type="dxa"/>
              <w:bottom w:w="85" w:type="dxa"/>
              <w:right w:w="110" w:type="dxa"/>
            </w:tcMar>
            <w:vAlign w:val="center"/>
          </w:tcPr>
          <w:p w14:paraId="55C83736" w14:textId="77777777" w:rsidR="00EB0B6B" w:rsidRDefault="00000000">
            <w:pPr>
              <w:spacing w:after="0" w:line="252" w:lineRule="auto"/>
            </w:pPr>
            <w:r>
              <w:rPr>
                <w:rFonts w:eastAsia="Arial" w:cs="Arial"/>
                <w:sz w:val="20"/>
              </w:rPr>
              <w:t>A coherent supported identity configuration across Workspace and TM1.</w:t>
            </w:r>
          </w:p>
        </w:tc>
        <w:tc>
          <w:tcPr>
            <w:tcW w:w="3370" w:type="dxa"/>
            <w:tcMar>
              <w:top w:w="85" w:type="dxa"/>
              <w:left w:w="110" w:type="dxa"/>
              <w:bottom w:w="85" w:type="dxa"/>
              <w:right w:w="110" w:type="dxa"/>
            </w:tcMar>
            <w:vAlign w:val="center"/>
          </w:tcPr>
          <w:p w14:paraId="7CFB0554" w14:textId="77777777" w:rsidR="00EB0B6B" w:rsidRDefault="00000000">
            <w:pPr>
              <w:spacing w:after="0" w:line="252" w:lineRule="auto"/>
            </w:pPr>
            <w:r>
              <w:rPr>
                <w:rFonts w:eastAsia="Arial" w:cs="Arial"/>
                <w:sz w:val="20"/>
              </w:rPr>
              <w:t>Admin and contributor sign-ins map to the correct users.</w:t>
            </w:r>
          </w:p>
        </w:tc>
      </w:tr>
      <w:tr w:rsidR="00EB0B6B" w14:paraId="2F11EE7C" w14:textId="77777777">
        <w:trPr>
          <w:cantSplit/>
          <w:jc w:val="center"/>
        </w:trPr>
        <w:tc>
          <w:tcPr>
            <w:tcW w:w="2088" w:type="dxa"/>
            <w:tcMar>
              <w:top w:w="85" w:type="dxa"/>
              <w:left w:w="110" w:type="dxa"/>
              <w:bottom w:w="85" w:type="dxa"/>
              <w:right w:w="110" w:type="dxa"/>
            </w:tcMar>
            <w:vAlign w:val="center"/>
          </w:tcPr>
          <w:p w14:paraId="6F06E996" w14:textId="77777777" w:rsidR="00EB0B6B" w:rsidRDefault="00000000">
            <w:pPr>
              <w:spacing w:after="0" w:line="252" w:lineRule="auto"/>
            </w:pPr>
            <w:r>
              <w:rPr>
                <w:rFonts w:eastAsia="Arial" w:cs="Arial"/>
                <w:b/>
                <w:color w:val="16324F"/>
                <w:sz w:val="20"/>
              </w:rPr>
              <w:t>Spreadsheet Services</w:t>
            </w:r>
          </w:p>
        </w:tc>
        <w:tc>
          <w:tcPr>
            <w:tcW w:w="4248" w:type="dxa"/>
            <w:tcMar>
              <w:top w:w="85" w:type="dxa"/>
              <w:left w:w="110" w:type="dxa"/>
              <w:bottom w:w="85" w:type="dxa"/>
              <w:right w:w="110" w:type="dxa"/>
            </w:tcMar>
            <w:vAlign w:val="center"/>
          </w:tcPr>
          <w:p w14:paraId="773C04F1" w14:textId="77777777" w:rsidR="00EB0B6B" w:rsidRDefault="00000000">
            <w:pPr>
              <w:spacing w:after="0" w:line="252" w:lineRule="auto"/>
            </w:pPr>
            <w:r>
              <w:rPr>
                <w:rFonts w:eastAsia="Arial" w:cs="Arial"/>
                <w:sz w:val="20"/>
              </w:rPr>
              <w:t>The service address and trust needed for websheets / dependent reports.</w:t>
            </w:r>
          </w:p>
        </w:tc>
        <w:tc>
          <w:tcPr>
            <w:tcW w:w="3370" w:type="dxa"/>
            <w:tcMar>
              <w:top w:w="85" w:type="dxa"/>
              <w:left w:w="110" w:type="dxa"/>
              <w:bottom w:w="85" w:type="dxa"/>
              <w:right w:w="110" w:type="dxa"/>
            </w:tcMar>
            <w:vAlign w:val="center"/>
          </w:tcPr>
          <w:p w14:paraId="54968FA7" w14:textId="77777777" w:rsidR="00EB0B6B" w:rsidRDefault="00000000">
            <w:pPr>
              <w:spacing w:after="0" w:line="252" w:lineRule="auto"/>
            </w:pPr>
            <w:r>
              <w:rPr>
                <w:rFonts w:eastAsia="Arial" w:cs="Arial"/>
                <w:sz w:val="20"/>
              </w:rPr>
              <w:t>A representative websheet opens and works.</w:t>
            </w:r>
          </w:p>
        </w:tc>
      </w:tr>
      <w:tr w:rsidR="00EB0B6B" w14:paraId="6D6A26AB" w14:textId="77777777">
        <w:trPr>
          <w:cantSplit/>
          <w:jc w:val="center"/>
        </w:trPr>
        <w:tc>
          <w:tcPr>
            <w:tcW w:w="2088" w:type="dxa"/>
            <w:tcMar>
              <w:top w:w="85" w:type="dxa"/>
              <w:left w:w="110" w:type="dxa"/>
              <w:bottom w:w="85" w:type="dxa"/>
              <w:right w:w="110" w:type="dxa"/>
            </w:tcMar>
            <w:vAlign w:val="center"/>
          </w:tcPr>
          <w:p w14:paraId="5DF6C557" w14:textId="77777777" w:rsidR="00EB0B6B" w:rsidRDefault="00000000">
            <w:pPr>
              <w:spacing w:after="0" w:line="252" w:lineRule="auto"/>
            </w:pPr>
            <w:r>
              <w:rPr>
                <w:rFonts w:eastAsia="Arial" w:cs="Arial"/>
                <w:b/>
                <w:color w:val="16324F"/>
                <w:sz w:val="20"/>
              </w:rPr>
              <w:t>Local Administration agent</w:t>
            </w:r>
          </w:p>
        </w:tc>
        <w:tc>
          <w:tcPr>
            <w:tcW w:w="4248" w:type="dxa"/>
            <w:tcMar>
              <w:top w:w="85" w:type="dxa"/>
              <w:left w:w="110" w:type="dxa"/>
              <w:bottom w:w="85" w:type="dxa"/>
              <w:right w:w="110" w:type="dxa"/>
            </w:tcMar>
            <w:vAlign w:val="center"/>
          </w:tcPr>
          <w:p w14:paraId="5EFD8095" w14:textId="77777777" w:rsidR="00EB0B6B" w:rsidRDefault="00000000">
            <w:pPr>
              <w:spacing w:after="0" w:line="252" w:lineRule="auto"/>
            </w:pPr>
            <w:r>
              <w:rPr>
                <w:rFonts w:eastAsia="Arial" w:cs="Arial"/>
                <w:sz w:val="20"/>
              </w:rPr>
              <w:t>Agent on each relevant TM1 host; matched credentials / API-key configuration where required.</w:t>
            </w:r>
          </w:p>
        </w:tc>
        <w:tc>
          <w:tcPr>
            <w:tcW w:w="3370" w:type="dxa"/>
            <w:tcMar>
              <w:top w:w="85" w:type="dxa"/>
              <w:left w:w="110" w:type="dxa"/>
              <w:bottom w:w="85" w:type="dxa"/>
              <w:right w:w="110" w:type="dxa"/>
            </w:tcMar>
            <w:vAlign w:val="center"/>
          </w:tcPr>
          <w:p w14:paraId="3E3AB623" w14:textId="77777777" w:rsidR="00EB0B6B" w:rsidRDefault="00000000">
            <w:pPr>
              <w:spacing w:after="0" w:line="252" w:lineRule="auto"/>
            </w:pPr>
            <w:r>
              <w:rPr>
                <w:rFonts w:eastAsia="Arial" w:cs="Arial"/>
                <w:sz w:val="20"/>
              </w:rPr>
              <w:t>Database status, logs and permitted management actions are available.</w:t>
            </w:r>
          </w:p>
        </w:tc>
      </w:tr>
      <w:tr w:rsidR="00EB0B6B" w14:paraId="7818742E" w14:textId="77777777">
        <w:trPr>
          <w:cantSplit/>
          <w:jc w:val="center"/>
        </w:trPr>
        <w:tc>
          <w:tcPr>
            <w:tcW w:w="2088" w:type="dxa"/>
            <w:tcMar>
              <w:top w:w="85" w:type="dxa"/>
              <w:left w:w="110" w:type="dxa"/>
              <w:bottom w:w="85" w:type="dxa"/>
              <w:right w:w="110" w:type="dxa"/>
            </w:tcMar>
            <w:vAlign w:val="center"/>
          </w:tcPr>
          <w:p w14:paraId="1C5A52AD" w14:textId="77777777" w:rsidR="00EB0B6B" w:rsidRDefault="00000000">
            <w:pPr>
              <w:spacing w:after="0" w:line="252" w:lineRule="auto"/>
            </w:pPr>
            <w:r>
              <w:rPr>
                <w:rFonts w:eastAsia="Arial" w:cs="Arial"/>
                <w:b/>
                <w:color w:val="16324F"/>
                <w:sz w:val="20"/>
              </w:rPr>
              <w:t>Monitoring and alerts</w:t>
            </w:r>
          </w:p>
        </w:tc>
        <w:tc>
          <w:tcPr>
            <w:tcW w:w="4248" w:type="dxa"/>
            <w:tcMar>
              <w:top w:w="85" w:type="dxa"/>
              <w:left w:w="110" w:type="dxa"/>
              <w:bottom w:w="85" w:type="dxa"/>
              <w:right w:w="110" w:type="dxa"/>
            </w:tcMar>
            <w:vAlign w:val="center"/>
          </w:tcPr>
          <w:p w14:paraId="502287B2" w14:textId="77777777" w:rsidR="00EB0B6B" w:rsidRDefault="00000000">
            <w:pPr>
              <w:spacing w:after="0" w:line="252" w:lineRule="auto"/>
            </w:pPr>
            <w:r>
              <w:rPr>
                <w:rFonts w:eastAsia="Arial" w:cs="Arial"/>
                <w:sz w:val="20"/>
              </w:rPr>
              <w:t>Actionable thresholds and named notification recipients.</w:t>
            </w:r>
          </w:p>
        </w:tc>
        <w:tc>
          <w:tcPr>
            <w:tcW w:w="3370" w:type="dxa"/>
            <w:tcMar>
              <w:top w:w="85" w:type="dxa"/>
              <w:left w:w="110" w:type="dxa"/>
              <w:bottom w:w="85" w:type="dxa"/>
              <w:right w:w="110" w:type="dxa"/>
            </w:tcMar>
            <w:vAlign w:val="center"/>
          </w:tcPr>
          <w:p w14:paraId="57BC9121" w14:textId="77777777" w:rsidR="00EB0B6B" w:rsidRDefault="00000000">
            <w:pPr>
              <w:spacing w:after="0" w:line="252" w:lineRule="auto"/>
            </w:pPr>
            <w:r>
              <w:rPr>
                <w:rFonts w:eastAsia="Arial" w:cs="Arial"/>
                <w:sz w:val="20"/>
              </w:rPr>
              <w:t>An approved test alert reaches an accountable operator.</w:t>
            </w:r>
          </w:p>
        </w:tc>
      </w:tr>
    </w:tbl>
    <w:p w14:paraId="5D2DF6B4" w14:textId="77777777" w:rsidR="00EB0B6B" w:rsidRDefault="00EB0B6B">
      <w:pPr>
        <w:spacing w:after="0" w:line="120" w:lineRule="auto"/>
      </w:pPr>
    </w:p>
    <w:p w14:paraId="475E4A1B" w14:textId="77777777" w:rsidR="00EB0B6B" w:rsidRDefault="00000000">
      <w:r>
        <w:rPr>
          <w:rFonts w:eastAsia="Arial" w:cs="Arial"/>
        </w:rPr>
        <w:t>IBM requires the Administration agent wherever TM1 Server is installed for Local administration. Supported capabilities include database start / stop, activity inspection, log access, alerts and selected configuration tasks. Install and upgrade the agent in line with the Workspace documentation.</w:t>
      </w:r>
      <w:r>
        <w:rPr>
          <w:rFonts w:eastAsia="Arial" w:cs="Arial"/>
          <w:color w:val="596C7B"/>
          <w:sz w:val="18"/>
        </w:rPr>
        <w:t xml:space="preserve">  </w:t>
      </w:r>
      <w:hyperlink w:anchor="ref_34" w:history="1">
        <w:r>
          <w:rPr>
            <w:color w:val="145EA8"/>
            <w:sz w:val="18"/>
            <w:szCs w:val="18"/>
          </w:rPr>
          <w:t>[R34]</w:t>
        </w:r>
      </w:hyperlink>
      <w:r>
        <w:rPr>
          <w:rFonts w:eastAsia="Arial" w:cs="Arial"/>
          <w:color w:val="596C7B"/>
          <w:sz w:val="18"/>
        </w:rPr>
        <w:t xml:space="preserve"> </w:t>
      </w:r>
      <w:hyperlink w:anchor="ref_35" w:history="1">
        <w:r>
          <w:rPr>
            <w:color w:val="145EA8"/>
            <w:sz w:val="18"/>
            <w:szCs w:val="18"/>
          </w:rPr>
          <w:t>[R35]</w:t>
        </w:r>
      </w:hyperlink>
    </w:p>
    <w:p w14:paraId="074DCB2C" w14:textId="77777777" w:rsidR="00EB0B6B" w:rsidRDefault="00000000">
      <w:pPr>
        <w:pStyle w:val="Heading2"/>
      </w:pPr>
      <w:r>
        <w:rPr>
          <w:rFonts w:ascii="Arial" w:eastAsia="Arial" w:hAnsi="Arial" w:cs="Arial"/>
        </w:rPr>
        <w:t>Hardening and operational acceptance</w:t>
      </w:r>
    </w:p>
    <w:p w14:paraId="4E7816E6" w14:textId="77777777" w:rsidR="00EB0B6B" w:rsidRDefault="00000000">
      <w:r>
        <w:rPr>
          <w:rFonts w:eastAsia="Arial" w:cs="Arial"/>
        </w:rPr>
        <w:t>Do not expose the installation administration tool broadly after setup. Restrict runtime socket access and administrative permissions, record the certificate renewal procedure, and verify that a normal reboot restores the intended services. Keep install-time credentials separate from business-user credentials.</w:t>
      </w:r>
    </w:p>
    <w:p w14:paraId="70134D11" w14:textId="77777777" w:rsidR="00EB0B6B" w:rsidRDefault="00000000">
      <w:pPr>
        <w:pStyle w:val="Heading2"/>
      </w:pPr>
      <w:r>
        <w:rPr>
          <w:rFonts w:ascii="Arial" w:eastAsia="Arial" w:hAnsi="Arial" w:cs="Arial"/>
        </w:rPr>
        <w:t>What to capture in the build record</w:t>
      </w:r>
    </w:p>
    <w:p w14:paraId="2F808B60" w14:textId="77777777" w:rsidR="00EB0B6B" w:rsidRDefault="00000000">
      <w:r>
        <w:rPr>
          <w:rFonts w:eastAsia="Arial" w:cs="Arial"/>
        </w:rPr>
        <w:t>Record the Workspace build, host OS, runtime, image / kit source, configuration location, connected TM1 databases, authentication choice, certificate owner, backup procedure and test results. Keep secrets in approved secret storage; a build record should reference secret locations, not contain secret values.</w:t>
      </w:r>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1CF618C2" w14:textId="77777777">
        <w:trPr>
          <w:cantSplit/>
          <w:jc w:val="center"/>
        </w:trPr>
        <w:tc>
          <w:tcPr>
            <w:tcW w:w="9706" w:type="dxa"/>
            <w:shd w:val="clear" w:color="auto" w:fill="EDF4FA"/>
            <w:tcMar>
              <w:top w:w="115" w:type="dxa"/>
              <w:left w:w="150" w:type="dxa"/>
              <w:bottom w:w="115" w:type="dxa"/>
              <w:right w:w="150" w:type="dxa"/>
            </w:tcMar>
          </w:tcPr>
          <w:p w14:paraId="716FA1A3" w14:textId="77777777" w:rsidR="00EB0B6B" w:rsidRDefault="00000000">
            <w:pPr>
              <w:keepNext/>
              <w:spacing w:after="80"/>
            </w:pPr>
            <w:r>
              <w:rPr>
                <w:rFonts w:eastAsia="Arial" w:cs="Arial"/>
                <w:b/>
                <w:color w:val="145EA8"/>
                <w:sz w:val="19"/>
              </w:rPr>
              <w:t>AGENT CONFUSION TO AVOID</w:t>
            </w:r>
          </w:p>
          <w:p w14:paraId="6298DA28" w14:textId="77777777" w:rsidR="00EB0B6B" w:rsidRDefault="00000000">
            <w:pPr>
              <w:spacing w:after="0" w:line="254" w:lineRule="auto"/>
            </w:pPr>
            <w:r>
              <w:rPr>
                <w:rFonts w:eastAsia="Arial" w:cs="Arial"/>
                <w:sz w:val="20"/>
              </w:rPr>
              <w:t>A working browser login does not prove that database administration is configured. Test the Administration agent explicitly; conversely, monitoring access does not grant business users access to cube data.</w:t>
            </w:r>
          </w:p>
        </w:tc>
      </w:tr>
    </w:tbl>
    <w:p w14:paraId="2820975B" w14:textId="77777777" w:rsidR="00EB0B6B" w:rsidRDefault="00EB0B6B">
      <w:pPr>
        <w:spacing w:after="0" w:line="120" w:lineRule="auto"/>
      </w:pPr>
    </w:p>
    <w:p w14:paraId="055B3F7A" w14:textId="77777777" w:rsidR="00EB0B6B" w:rsidRDefault="00000000">
      <w:pPr>
        <w:pStyle w:val="Heading1"/>
        <w:pageBreakBefore/>
      </w:pPr>
      <w:bookmarkStart w:id="13" w:name="chapter_13"/>
      <w:r>
        <w:rPr>
          <w:rFonts w:ascii="Arial" w:eastAsia="Arial" w:hAnsi="Arial" w:cs="Arial"/>
        </w:rPr>
        <w:t>13. Planning Analytics for Microsoft Excel</w:t>
      </w:r>
      <w:bookmarkEnd w:id="13"/>
    </w:p>
    <w:p w14:paraId="189ECE64" w14:textId="77777777" w:rsidR="00EB0B6B" w:rsidRDefault="00000000">
      <w:pPr>
        <w:keepNext/>
        <w:spacing w:after="240"/>
      </w:pPr>
      <w:r>
        <w:rPr>
          <w:rFonts w:eastAsia="Arial" w:cs="Arial"/>
          <w:color w:val="007D79"/>
          <w:sz w:val="20"/>
        </w:rPr>
        <w:t>Install the right add-in, then validate a complete planning transaction.</w:t>
      </w:r>
    </w:p>
    <w:p w14:paraId="1F60861B" w14:textId="77777777" w:rsidR="00EB0B6B" w:rsidRDefault="00000000">
      <w:r>
        <w:rPr>
          <w:rFonts w:eastAsia="Arial" w:cs="Arial"/>
        </w:rPr>
        <w:t>Planning Analytics for Excel retains Excel as a user interface while connecting it to governed TM1 models. Current single-XLL installation instructions replace older multi-component installation assumptions. IBM documents a single .xll add-in for versions 2.0.65 and later and publishes separate conformance requirements.</w:t>
      </w:r>
      <w:r>
        <w:rPr>
          <w:rFonts w:eastAsia="Arial" w:cs="Arial"/>
          <w:color w:val="596C7B"/>
          <w:sz w:val="18"/>
        </w:rPr>
        <w:t xml:space="preserve">  </w:t>
      </w:r>
      <w:hyperlink w:anchor="ref_83" w:history="1">
        <w:r>
          <w:rPr>
            <w:color w:val="145EA8"/>
            <w:sz w:val="18"/>
            <w:szCs w:val="18"/>
          </w:rPr>
          <w:t>[R83]</w:t>
        </w:r>
      </w:hyperlink>
      <w:r>
        <w:rPr>
          <w:rFonts w:eastAsia="Arial" w:cs="Arial"/>
          <w:color w:val="596C7B"/>
          <w:sz w:val="18"/>
        </w:rPr>
        <w:t xml:space="preserve"> </w:t>
      </w:r>
      <w:hyperlink w:anchor="ref_33" w:history="1">
        <w:r>
          <w:rPr>
            <w:color w:val="145EA8"/>
            <w:sz w:val="18"/>
            <w:szCs w:val="18"/>
          </w:rPr>
          <w:t>[R33]</w:t>
        </w:r>
      </w:hyperlink>
      <w:r>
        <w:rPr>
          <w:rFonts w:eastAsia="Arial" w:cs="Arial"/>
          <w:color w:val="596C7B"/>
          <w:sz w:val="18"/>
        </w:rPr>
        <w:t xml:space="preserve"> </w:t>
      </w:r>
      <w:hyperlink w:anchor="ref_32" w:history="1">
        <w:r>
          <w:rPr>
            <w:color w:val="145EA8"/>
            <w:sz w:val="18"/>
            <w:szCs w:val="18"/>
          </w:rPr>
          <w:t>[R32]</w:t>
        </w:r>
      </w:hyperlink>
      <w:r>
        <w:rPr>
          <w:rFonts w:eastAsia="Arial" w:cs="Arial"/>
          <w:color w:val="596C7B"/>
          <w:sz w:val="18"/>
        </w:rPr>
        <w:t xml:space="preserve"> </w:t>
      </w:r>
      <w:hyperlink w:anchor="ref_31" w:history="1">
        <w:r>
          <w:rPr>
            <w:color w:val="145EA8"/>
            <w:sz w:val="18"/>
            <w:szCs w:val="18"/>
          </w:rPr>
          <w:t>[R31]</w:t>
        </w:r>
      </w:hyperlink>
    </w:p>
    <w:p w14:paraId="550580FD" w14:textId="77777777" w:rsidR="00EB0B6B" w:rsidRDefault="00000000">
      <w:pPr>
        <w:pStyle w:val="Heading2"/>
      </w:pPr>
      <w:r>
        <w:rPr>
          <w:rFonts w:ascii="Arial" w:eastAsia="Arial" w:hAnsi="Arial" w:cs="Arial"/>
        </w:rPr>
        <w:t>Recommended deployment procedure</w:t>
      </w:r>
    </w:p>
    <w:p w14:paraId="4F32592E"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Inventory Office version / channel and bitness, PAfE build, Workspace endpoint and Spreadsheet Services version.</w:t>
      </w:r>
    </w:p>
    <w:p w14:paraId="5994096F"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Download the add-in from the authorized administration experience or IBM distribution channel for the offering.</w:t>
      </w:r>
    </w:p>
    <w:p w14:paraId="1F3ACB5B"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Close Excel, preserve an approved rollback copy and remove conflicting obsolete add-ins according to the applicable IBM instructions.</w:t>
      </w:r>
    </w:p>
    <w:p w14:paraId="2D982858"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Place the correct .xll in an approved managed location. Apply enterprise signing and trust controls rather than globally weakening Excel security.</w:t>
      </w:r>
    </w:p>
    <w:p w14:paraId="415079FB"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Load the add-in for a controlled session or register it in Excel Add-ins for repeated use, following the chosen deployment method.</w:t>
      </w:r>
    </w:p>
    <w:p w14:paraId="47646CFF"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Configure the environment connection and sign in with the intended business identity.</w:t>
      </w:r>
    </w:p>
    <w:p w14:paraId="72B6522B" w14:textId="77777777" w:rsidR="00EB0B6B" w:rsidRDefault="00000000">
      <w:pPr>
        <w:spacing w:after="80" w:line="257" w:lineRule="auto"/>
        <w:ind w:left="317" w:hanging="317"/>
      </w:pPr>
      <w:r>
        <w:rPr>
          <w:rFonts w:eastAsia="Arial" w:cs="Arial"/>
          <w:b/>
          <w:color w:val="007D79"/>
          <w:sz w:val="21"/>
        </w:rPr>
        <w:t xml:space="preserve">7. </w:t>
      </w:r>
      <w:r>
        <w:rPr>
          <w:rFonts w:eastAsia="Arial" w:cs="Arial"/>
          <w:sz w:val="21"/>
        </w:rPr>
        <w:t>Open a representative report, refresh it, change an authorized input, submit / commit as appropriate, and reconcile the result with Workspace.</w:t>
      </w:r>
    </w:p>
    <w:p w14:paraId="577B2C2A" w14:textId="77777777" w:rsidR="00EB0B6B" w:rsidRDefault="00000000">
      <w:pPr>
        <w:pStyle w:val="Heading2"/>
      </w:pPr>
      <w:r>
        <w:rPr>
          <w:rFonts w:ascii="Arial" w:eastAsia="Arial" w:hAnsi="Arial" w:cs="Arial"/>
        </w:rPr>
        <w:t>Dependencies that are easy to miss</w:t>
      </w:r>
    </w:p>
    <w:p w14:paraId="2B5A1A81" w14:textId="77777777" w:rsidR="00EB0B6B" w:rsidRDefault="00000000">
      <w:r>
        <w:rPr>
          <w:rFonts w:eastAsia="Arial" w:cs="Arial"/>
        </w:rPr>
        <w:t>IBM documents that Universal Reports and TM1SET-related capabilities use the EvaluationService component of Spreadsheet Services. Distributed TM1 deployments need its proper configuration. Do not diagnose every Excel formula or rendering failure as a local Office issue; confirm the service and supported component combination.</w:t>
      </w:r>
      <w:r>
        <w:rPr>
          <w:rFonts w:eastAsia="Arial" w:cs="Arial"/>
          <w:color w:val="596C7B"/>
          <w:sz w:val="18"/>
        </w:rPr>
        <w:t xml:space="preserve">  </w:t>
      </w:r>
      <w:hyperlink w:anchor="ref_89" w:history="1">
        <w:r>
          <w:rPr>
            <w:color w:val="145EA8"/>
            <w:sz w:val="18"/>
            <w:szCs w:val="18"/>
          </w:rPr>
          <w:t>[R89]</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232"/>
        <w:gridCol w:w="7474"/>
      </w:tblGrid>
      <w:tr w:rsidR="00EB0B6B" w14:paraId="6A2AD73E" w14:textId="77777777">
        <w:trPr>
          <w:cantSplit/>
          <w:tblHeader/>
          <w:jc w:val="center"/>
        </w:trPr>
        <w:tc>
          <w:tcPr>
            <w:tcW w:w="2232" w:type="dxa"/>
            <w:shd w:val="clear" w:color="auto" w:fill="16324F"/>
            <w:tcMar>
              <w:top w:w="100" w:type="dxa"/>
              <w:left w:w="110" w:type="dxa"/>
              <w:bottom w:w="100" w:type="dxa"/>
              <w:right w:w="110" w:type="dxa"/>
            </w:tcMar>
            <w:vAlign w:val="center"/>
          </w:tcPr>
          <w:p w14:paraId="3AB79923" w14:textId="77777777" w:rsidR="00EB0B6B" w:rsidRDefault="00000000">
            <w:pPr>
              <w:spacing w:after="0" w:line="252" w:lineRule="auto"/>
            </w:pPr>
            <w:r>
              <w:rPr>
                <w:rFonts w:eastAsia="Arial" w:cs="Arial"/>
                <w:b/>
                <w:color w:val="FFFFFF"/>
                <w:sz w:val="20"/>
              </w:rPr>
              <w:t>Test</w:t>
            </w:r>
          </w:p>
        </w:tc>
        <w:tc>
          <w:tcPr>
            <w:tcW w:w="7474" w:type="dxa"/>
            <w:shd w:val="clear" w:color="auto" w:fill="16324F"/>
            <w:tcMar>
              <w:top w:w="100" w:type="dxa"/>
              <w:left w:w="110" w:type="dxa"/>
              <w:bottom w:w="100" w:type="dxa"/>
              <w:right w:w="110" w:type="dxa"/>
            </w:tcMar>
            <w:vAlign w:val="center"/>
          </w:tcPr>
          <w:p w14:paraId="307A9820" w14:textId="77777777" w:rsidR="00EB0B6B" w:rsidRDefault="00000000">
            <w:pPr>
              <w:spacing w:after="0" w:line="252" w:lineRule="auto"/>
            </w:pPr>
            <w:r>
              <w:rPr>
                <w:rFonts w:eastAsia="Arial" w:cs="Arial"/>
                <w:b/>
                <w:color w:val="FFFFFF"/>
                <w:sz w:val="20"/>
              </w:rPr>
              <w:t>Pass criterion</w:t>
            </w:r>
          </w:p>
        </w:tc>
      </w:tr>
      <w:tr w:rsidR="00EB0B6B" w14:paraId="715F8618" w14:textId="77777777">
        <w:trPr>
          <w:cantSplit/>
          <w:jc w:val="center"/>
        </w:trPr>
        <w:tc>
          <w:tcPr>
            <w:tcW w:w="2232" w:type="dxa"/>
            <w:tcMar>
              <w:top w:w="85" w:type="dxa"/>
              <w:left w:w="110" w:type="dxa"/>
              <w:bottom w:w="85" w:type="dxa"/>
              <w:right w:w="110" w:type="dxa"/>
            </w:tcMar>
            <w:vAlign w:val="center"/>
          </w:tcPr>
          <w:p w14:paraId="08905AA4" w14:textId="77777777" w:rsidR="00EB0B6B" w:rsidRDefault="00000000">
            <w:pPr>
              <w:spacing w:after="0" w:line="252" w:lineRule="auto"/>
            </w:pPr>
            <w:r>
              <w:rPr>
                <w:rFonts w:eastAsia="Arial" w:cs="Arial"/>
                <w:b/>
                <w:color w:val="16324F"/>
                <w:sz w:val="20"/>
              </w:rPr>
              <w:t>Read and refresh</w:t>
            </w:r>
          </w:p>
        </w:tc>
        <w:tc>
          <w:tcPr>
            <w:tcW w:w="7474" w:type="dxa"/>
            <w:tcMar>
              <w:top w:w="85" w:type="dxa"/>
              <w:left w:w="110" w:type="dxa"/>
              <w:bottom w:w="85" w:type="dxa"/>
              <w:right w:w="110" w:type="dxa"/>
            </w:tcMar>
            <w:vAlign w:val="center"/>
          </w:tcPr>
          <w:p w14:paraId="24F1F562" w14:textId="77777777" w:rsidR="00EB0B6B" w:rsidRDefault="00000000">
            <w:pPr>
              <w:spacing w:after="0" w:line="252" w:lineRule="auto"/>
            </w:pPr>
            <w:r>
              <w:rPr>
                <w:rFonts w:eastAsia="Arial" w:cs="Arial"/>
                <w:sz w:val="20"/>
              </w:rPr>
              <w:t>Expected totals match the same model slice in Workspace.</w:t>
            </w:r>
          </w:p>
        </w:tc>
      </w:tr>
      <w:tr w:rsidR="00EB0B6B" w14:paraId="590C0C1F" w14:textId="77777777">
        <w:trPr>
          <w:cantSplit/>
          <w:jc w:val="center"/>
        </w:trPr>
        <w:tc>
          <w:tcPr>
            <w:tcW w:w="2232" w:type="dxa"/>
            <w:tcMar>
              <w:top w:w="85" w:type="dxa"/>
              <w:left w:w="110" w:type="dxa"/>
              <w:bottom w:w="85" w:type="dxa"/>
              <w:right w:w="110" w:type="dxa"/>
            </w:tcMar>
            <w:vAlign w:val="center"/>
          </w:tcPr>
          <w:p w14:paraId="78A82A38" w14:textId="77777777" w:rsidR="00EB0B6B" w:rsidRDefault="00000000">
            <w:pPr>
              <w:spacing w:after="0" w:line="252" w:lineRule="auto"/>
            </w:pPr>
            <w:r>
              <w:rPr>
                <w:rFonts w:eastAsia="Arial" w:cs="Arial"/>
                <w:b/>
                <w:color w:val="16324F"/>
                <w:sz w:val="20"/>
              </w:rPr>
              <w:t>Write-back</w:t>
            </w:r>
          </w:p>
        </w:tc>
        <w:tc>
          <w:tcPr>
            <w:tcW w:w="7474" w:type="dxa"/>
            <w:tcMar>
              <w:top w:w="85" w:type="dxa"/>
              <w:left w:w="110" w:type="dxa"/>
              <w:bottom w:w="85" w:type="dxa"/>
              <w:right w:w="110" w:type="dxa"/>
            </w:tcMar>
            <w:vAlign w:val="center"/>
          </w:tcPr>
          <w:p w14:paraId="6668AEF0" w14:textId="77777777" w:rsidR="00EB0B6B" w:rsidRDefault="00000000">
            <w:pPr>
              <w:spacing w:after="0" w:line="252" w:lineRule="auto"/>
            </w:pPr>
            <w:r>
              <w:rPr>
                <w:rFonts w:eastAsia="Arial" w:cs="Arial"/>
                <w:sz w:val="20"/>
              </w:rPr>
              <w:t>Only authorized cells accept values; calculated cells behave as designed.</w:t>
            </w:r>
          </w:p>
        </w:tc>
      </w:tr>
      <w:tr w:rsidR="00EB0B6B" w14:paraId="77F12486" w14:textId="77777777">
        <w:trPr>
          <w:cantSplit/>
          <w:jc w:val="center"/>
        </w:trPr>
        <w:tc>
          <w:tcPr>
            <w:tcW w:w="2232" w:type="dxa"/>
            <w:tcMar>
              <w:top w:w="85" w:type="dxa"/>
              <w:left w:w="110" w:type="dxa"/>
              <w:bottom w:w="85" w:type="dxa"/>
              <w:right w:w="110" w:type="dxa"/>
            </w:tcMar>
            <w:vAlign w:val="center"/>
          </w:tcPr>
          <w:p w14:paraId="3E39E06C" w14:textId="77777777" w:rsidR="00EB0B6B" w:rsidRDefault="00000000">
            <w:pPr>
              <w:spacing w:after="0" w:line="252" w:lineRule="auto"/>
            </w:pPr>
            <w:r>
              <w:rPr>
                <w:rFonts w:eastAsia="Arial" w:cs="Arial"/>
                <w:b/>
                <w:color w:val="16324F"/>
                <w:sz w:val="20"/>
              </w:rPr>
              <w:t>Reopen and reconnect</w:t>
            </w:r>
          </w:p>
        </w:tc>
        <w:tc>
          <w:tcPr>
            <w:tcW w:w="7474" w:type="dxa"/>
            <w:tcMar>
              <w:top w:w="85" w:type="dxa"/>
              <w:left w:w="110" w:type="dxa"/>
              <w:bottom w:w="85" w:type="dxa"/>
              <w:right w:w="110" w:type="dxa"/>
            </w:tcMar>
            <w:vAlign w:val="center"/>
          </w:tcPr>
          <w:p w14:paraId="4D635CEF" w14:textId="77777777" w:rsidR="00EB0B6B" w:rsidRDefault="00000000">
            <w:pPr>
              <w:spacing w:after="0" w:line="252" w:lineRule="auto"/>
            </w:pPr>
            <w:r>
              <w:rPr>
                <w:rFonts w:eastAsia="Arial" w:cs="Arial"/>
                <w:sz w:val="20"/>
              </w:rPr>
              <w:t>The workbook works after Excel restart without hidden local dependencies.</w:t>
            </w:r>
          </w:p>
        </w:tc>
      </w:tr>
      <w:tr w:rsidR="00EB0B6B" w14:paraId="0FDE5262" w14:textId="77777777">
        <w:trPr>
          <w:cantSplit/>
          <w:jc w:val="center"/>
        </w:trPr>
        <w:tc>
          <w:tcPr>
            <w:tcW w:w="2232" w:type="dxa"/>
            <w:tcMar>
              <w:top w:w="85" w:type="dxa"/>
              <w:left w:w="110" w:type="dxa"/>
              <w:bottom w:w="85" w:type="dxa"/>
              <w:right w:w="110" w:type="dxa"/>
            </w:tcMar>
            <w:vAlign w:val="center"/>
          </w:tcPr>
          <w:p w14:paraId="79131180" w14:textId="77777777" w:rsidR="00EB0B6B" w:rsidRDefault="00000000">
            <w:pPr>
              <w:spacing w:after="0" w:line="252" w:lineRule="auto"/>
            </w:pPr>
            <w:r>
              <w:rPr>
                <w:rFonts w:eastAsia="Arial" w:cs="Arial"/>
                <w:b/>
                <w:color w:val="16324F"/>
                <w:sz w:val="20"/>
              </w:rPr>
              <w:t>Shared use</w:t>
            </w:r>
          </w:p>
        </w:tc>
        <w:tc>
          <w:tcPr>
            <w:tcW w:w="7474" w:type="dxa"/>
            <w:tcMar>
              <w:top w:w="85" w:type="dxa"/>
              <w:left w:w="110" w:type="dxa"/>
              <w:bottom w:w="85" w:type="dxa"/>
              <w:right w:w="110" w:type="dxa"/>
            </w:tcMar>
            <w:vAlign w:val="center"/>
          </w:tcPr>
          <w:p w14:paraId="6B936032" w14:textId="77777777" w:rsidR="00EB0B6B" w:rsidRDefault="00000000">
            <w:pPr>
              <w:spacing w:after="0" w:line="252" w:lineRule="auto"/>
            </w:pPr>
            <w:r>
              <w:rPr>
                <w:rFonts w:eastAsia="Arial" w:cs="Arial"/>
                <w:sz w:val="20"/>
              </w:rPr>
              <w:t>Another entitled user can run it with that user's own permissions.</w:t>
            </w:r>
          </w:p>
        </w:tc>
      </w:tr>
    </w:tbl>
    <w:p w14:paraId="5F0B2296" w14:textId="77777777" w:rsidR="00EB0B6B" w:rsidRDefault="00EB0B6B">
      <w:pPr>
        <w:spacing w:after="0" w:line="120" w:lineRule="auto"/>
      </w:pP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365CE09B" w14:textId="77777777">
        <w:trPr>
          <w:cantSplit/>
          <w:jc w:val="center"/>
        </w:trPr>
        <w:tc>
          <w:tcPr>
            <w:tcW w:w="9706" w:type="dxa"/>
            <w:shd w:val="clear" w:color="auto" w:fill="EAF5F2"/>
            <w:tcMar>
              <w:top w:w="115" w:type="dxa"/>
              <w:left w:w="150" w:type="dxa"/>
              <w:bottom w:w="115" w:type="dxa"/>
              <w:right w:w="150" w:type="dxa"/>
            </w:tcMar>
          </w:tcPr>
          <w:p w14:paraId="493ABC0B" w14:textId="77777777" w:rsidR="00EB0B6B" w:rsidRDefault="00000000">
            <w:pPr>
              <w:keepNext/>
              <w:spacing w:after="80"/>
            </w:pPr>
            <w:r>
              <w:rPr>
                <w:rFonts w:eastAsia="Arial" w:cs="Arial"/>
                <w:b/>
                <w:color w:val="007D79"/>
                <w:sz w:val="19"/>
              </w:rPr>
              <w:t>OPERATIONAL TIP</w:t>
            </w:r>
          </w:p>
          <w:p w14:paraId="6D4CCCE2" w14:textId="77777777" w:rsidR="00EB0B6B" w:rsidRDefault="00000000">
            <w:pPr>
              <w:spacing w:after="0" w:line="254" w:lineRule="auto"/>
            </w:pPr>
            <w:r>
              <w:rPr>
                <w:rFonts w:eastAsia="Arial" w:cs="Arial"/>
                <w:sz w:val="20"/>
              </w:rPr>
              <w:t>Treat the add-in as a managed enterprise client: version inventory, pilot ring, signed distribution, regression workbook and a documented rollback.</w:t>
            </w:r>
          </w:p>
        </w:tc>
      </w:tr>
    </w:tbl>
    <w:p w14:paraId="2421605E" w14:textId="77777777" w:rsidR="00EB0B6B" w:rsidRDefault="00EB0B6B">
      <w:pPr>
        <w:spacing w:after="0" w:line="120" w:lineRule="auto"/>
      </w:pPr>
    </w:p>
    <w:p w14:paraId="2F7AC99F" w14:textId="77777777" w:rsidR="00EB0B6B" w:rsidRDefault="00000000">
      <w:pPr>
        <w:pStyle w:val="Heading1"/>
        <w:pageBreakBefore/>
      </w:pPr>
      <w:bookmarkStart w:id="14" w:name="chapter_14"/>
      <w:r>
        <w:rPr>
          <w:rFonts w:ascii="Arial" w:eastAsia="Arial" w:hAnsi="Arial" w:cs="Arial"/>
        </w:rPr>
        <w:t>14. Spreadsheet Services and Cognos integration</w:t>
      </w:r>
      <w:bookmarkEnd w:id="14"/>
    </w:p>
    <w:p w14:paraId="14959994" w14:textId="77777777" w:rsidR="00EB0B6B" w:rsidRDefault="00000000">
      <w:pPr>
        <w:keepNext/>
        <w:spacing w:after="240"/>
      </w:pPr>
      <w:r>
        <w:rPr>
          <w:rFonts w:eastAsia="Arial" w:cs="Arial"/>
          <w:color w:val="007D79"/>
          <w:sz w:val="20"/>
        </w:rPr>
        <w:t>Keep modern components separate from legacy packaging.</w:t>
      </w:r>
    </w:p>
    <w:p w14:paraId="4A317AD0" w14:textId="77777777" w:rsidR="00EB0B6B" w:rsidRDefault="00000000">
      <w:r>
        <w:rPr>
          <w:rFonts w:eastAsia="Arial" w:cs="Arial"/>
        </w:rPr>
        <w:t>TM1 Web is delivered as Planning Analytics Spreadsheet Services in a separate installation kit. IBM describes its independent service and directory layout and notes that separation began with the 2.0.9.2 data-tier release. It can be installed on a different host from TM1 Server.</w:t>
      </w:r>
      <w:r>
        <w:rPr>
          <w:rFonts w:eastAsia="Arial" w:cs="Arial"/>
          <w:color w:val="596C7B"/>
          <w:sz w:val="18"/>
        </w:rPr>
        <w:t xml:space="preserve">  </w:t>
      </w:r>
      <w:hyperlink w:anchor="ref_29" w:history="1">
        <w:r>
          <w:rPr>
            <w:color w:val="145EA8"/>
            <w:sz w:val="18"/>
            <w:szCs w:val="18"/>
          </w:rPr>
          <w:t>[R29]</w:t>
        </w:r>
      </w:hyperlink>
      <w:r>
        <w:rPr>
          <w:rFonts w:eastAsia="Arial" w:cs="Arial"/>
          <w:color w:val="596C7B"/>
          <w:sz w:val="18"/>
        </w:rPr>
        <w:t xml:space="preserve"> </w:t>
      </w:r>
      <w:hyperlink w:anchor="ref_30" w:history="1">
        <w:r>
          <w:rPr>
            <w:color w:val="145EA8"/>
            <w:sz w:val="18"/>
            <w:szCs w:val="18"/>
          </w:rPr>
          <w:t>[R30]</w:t>
        </w:r>
      </w:hyperlink>
      <w:r>
        <w:rPr>
          <w:rFonts w:eastAsia="Arial" w:cs="Arial"/>
          <w:color w:val="596C7B"/>
          <w:sz w:val="18"/>
        </w:rPr>
        <w:t xml:space="preserve"> </w:t>
      </w:r>
      <w:hyperlink w:anchor="ref_04" w:history="1">
        <w:r>
          <w:rPr>
            <w:color w:val="145EA8"/>
            <w:sz w:val="18"/>
            <w:szCs w:val="18"/>
          </w:rPr>
          <w:t>[R04]</w:t>
        </w:r>
      </w:hyperlink>
    </w:p>
    <w:p w14:paraId="6741524E" w14:textId="77777777" w:rsidR="00EB0B6B" w:rsidRDefault="00000000">
      <w:pPr>
        <w:pStyle w:val="Heading2"/>
      </w:pPr>
      <w:r>
        <w:rPr>
          <w:rFonts w:ascii="Arial" w:eastAsia="Arial" w:hAnsi="Arial" w:cs="Arial"/>
        </w:rPr>
        <w:t>Recommended implementation sequence</w:t>
      </w:r>
    </w:p>
    <w:p w14:paraId="4FFF64E2"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Confirm that websheets or report features actually require this component; include it in the release matrix when they do.</w:t>
      </w:r>
    </w:p>
    <w:p w14:paraId="13CE172F"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Install the matching package on a supported host using its own installation guide, paths and service account.</w:t>
      </w:r>
    </w:p>
    <w:p w14:paraId="645C1AD2"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Configure database discovery, authentication and approved TLS trust between client, web service and database.</w:t>
      </w:r>
    </w:p>
    <w:p w14:paraId="3C7DE5B2"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Integrate the endpoint with Workspace and configure EvaluationService when the selected reporting topology requires it.</w:t>
      </w:r>
    </w:p>
    <w:p w14:paraId="44E1BDB9"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Test real workbook patterns: selectors, calculations, action buttons, authentication, authorized write-back and export.</w:t>
      </w:r>
    </w:p>
    <w:p w14:paraId="233836CE"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Back up configuration and custom certificates; include this service in restart, patch and disaster-recovery procedures.</w:t>
      </w:r>
    </w:p>
    <w:p w14:paraId="3E9B3316" w14:textId="77777777" w:rsidR="00EB0B6B" w:rsidRDefault="00000000">
      <w:r>
        <w:rPr>
          <w:rFonts w:eastAsia="Arial" w:cs="Arial"/>
        </w:rPr>
        <w:t>The separate installer uses the IBM Planning Analytics Spreadsheet Service rather than relying on the historical Cognos Configuration workflow. Follow the current component guide rather than mixing files from legacy TM1 Web and newer Spreadsheet Services installations.</w:t>
      </w:r>
      <w:r>
        <w:rPr>
          <w:rFonts w:eastAsia="Arial" w:cs="Arial"/>
          <w:color w:val="596C7B"/>
          <w:sz w:val="18"/>
        </w:rPr>
        <w:t xml:space="preserve">  </w:t>
      </w:r>
      <w:hyperlink w:anchor="ref_29" w:history="1">
        <w:r>
          <w:rPr>
            <w:color w:val="145EA8"/>
            <w:sz w:val="18"/>
            <w:szCs w:val="18"/>
          </w:rPr>
          <w:t>[R29]</w:t>
        </w:r>
      </w:hyperlink>
    </w:p>
    <w:p w14:paraId="630399F3" w14:textId="77777777" w:rsidR="00EB0B6B" w:rsidRDefault="00000000">
      <w:pPr>
        <w:pStyle w:val="Heading2"/>
      </w:pPr>
      <w:r>
        <w:rPr>
          <w:rFonts w:ascii="Arial" w:eastAsia="Arial" w:hAnsi="Arial" w:cs="Arial"/>
        </w:rPr>
        <w:t>Cognos Analytics integration</w:t>
      </w:r>
    </w:p>
    <w:p w14:paraId="1C35D9A5" w14:textId="77777777" w:rsidR="00EB0B6B" w:rsidRDefault="00000000">
      <w:r>
        <w:rPr>
          <w:rFonts w:eastAsia="Arial" w:cs="Arial"/>
        </w:rPr>
        <w:t>The Local installation documentation includes Cognos integration and security paths. Treat a Cognos-based authentication design as an end-to-end identity architecture: document the namespace, relevant gateway / dispatcher routes, certificate trust and user mapping. Test the same user across all interfaces. Do not copy another environment's CAM settings blindly.</w:t>
      </w:r>
      <w:r>
        <w:rPr>
          <w:rFonts w:eastAsia="Arial" w:cs="Arial"/>
          <w:color w:val="596C7B"/>
          <w:sz w:val="18"/>
        </w:rPr>
        <w:t xml:space="preserve">  </w:t>
      </w:r>
      <w:hyperlink w:anchor="ref_04" w:history="1">
        <w:r>
          <w:rPr>
            <w:color w:val="145EA8"/>
            <w:sz w:val="18"/>
            <w:szCs w:val="18"/>
          </w:rPr>
          <w:t>[R04]</w:t>
        </w:r>
      </w:hyperlink>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67AA1A9A" w14:textId="77777777">
        <w:trPr>
          <w:cantSplit/>
          <w:jc w:val="center"/>
        </w:trPr>
        <w:tc>
          <w:tcPr>
            <w:tcW w:w="9706" w:type="dxa"/>
            <w:shd w:val="clear" w:color="auto" w:fill="FFF4DC"/>
            <w:tcMar>
              <w:top w:w="115" w:type="dxa"/>
              <w:left w:w="150" w:type="dxa"/>
              <w:bottom w:w="115" w:type="dxa"/>
              <w:right w:w="150" w:type="dxa"/>
            </w:tcMar>
          </w:tcPr>
          <w:p w14:paraId="58EB44AA" w14:textId="77777777" w:rsidR="00EB0B6B" w:rsidRDefault="00000000">
            <w:pPr>
              <w:keepNext/>
              <w:spacing w:after="80"/>
            </w:pPr>
            <w:r>
              <w:rPr>
                <w:rFonts w:eastAsia="Arial" w:cs="Arial"/>
                <w:b/>
                <w:color w:val="99620C"/>
                <w:sz w:val="19"/>
              </w:rPr>
              <w:t>HISTORICAL COMPONENTS ARE NOT REQUIRED DEFAULTS</w:t>
            </w:r>
          </w:p>
          <w:p w14:paraId="54B610AA" w14:textId="77777777" w:rsidR="00EB0B6B" w:rsidRDefault="00000000">
            <w:pPr>
              <w:spacing w:after="0" w:line="254" w:lineRule="auto"/>
            </w:pPr>
            <w:r>
              <w:rPr>
                <w:rFonts w:eastAsia="Arial" w:cs="Arial"/>
                <w:sz w:val="20"/>
              </w:rPr>
              <w:t>IBM's 2.0 deprecation notices identify removed or obsolete components such as Operations Console and PMHub. The newer data-tier explanation states that TM1 Applications is not part of the 2.1 release. Inventory dependencies before upgrade; do not reinstall obsolete components merely to match an old diagram.</w:t>
            </w:r>
          </w:p>
        </w:tc>
      </w:tr>
    </w:tbl>
    <w:p w14:paraId="03CB85C7" w14:textId="77777777" w:rsidR="00EB0B6B" w:rsidRDefault="00EB0B6B">
      <w:pPr>
        <w:spacing w:after="0" w:line="120" w:lineRule="auto"/>
      </w:pPr>
    </w:p>
    <w:p w14:paraId="31D7D220" w14:textId="77777777" w:rsidR="00EB0B6B" w:rsidRDefault="00000000">
      <w:r>
        <w:rPr>
          <w:rFonts w:eastAsia="Arial" w:cs="Arial"/>
        </w:rPr>
        <w:t>Review the exact deprecation notices for the target line.</w:t>
      </w:r>
      <w:r>
        <w:rPr>
          <w:rFonts w:eastAsia="Arial" w:cs="Arial"/>
          <w:color w:val="596C7B"/>
          <w:sz w:val="18"/>
        </w:rPr>
        <w:t xml:space="preserve">  </w:t>
      </w:r>
      <w:hyperlink w:anchor="ref_90" w:history="1">
        <w:r>
          <w:rPr>
            <w:color w:val="145EA8"/>
            <w:sz w:val="18"/>
            <w:szCs w:val="18"/>
          </w:rPr>
          <w:t>[R90]</w:t>
        </w:r>
      </w:hyperlink>
      <w:r>
        <w:rPr>
          <w:rFonts w:eastAsia="Arial" w:cs="Arial"/>
          <w:color w:val="596C7B"/>
          <w:sz w:val="18"/>
        </w:rPr>
        <w:t xml:space="preserve"> </w:t>
      </w:r>
      <w:hyperlink w:anchor="ref_24" w:history="1">
        <w:r>
          <w:rPr>
            <w:color w:val="145EA8"/>
            <w:sz w:val="18"/>
            <w:szCs w:val="18"/>
          </w:rPr>
          <w:t>[R24]</w:t>
        </w:r>
      </w:hyperlink>
      <w:r>
        <w:rPr>
          <w:rFonts w:eastAsia="Arial" w:cs="Arial"/>
          <w:color w:val="596C7B"/>
          <w:sz w:val="18"/>
        </w:rPr>
        <w:t xml:space="preserve"> </w:t>
      </w:r>
      <w:hyperlink w:anchor="ref_28" w:history="1">
        <w:r>
          <w:rPr>
            <w:color w:val="145EA8"/>
            <w:sz w:val="18"/>
            <w:szCs w:val="18"/>
          </w:rPr>
          <w:t>[R28]</w:t>
        </w:r>
      </w:hyperlink>
    </w:p>
    <w:p w14:paraId="3FA4DD42" w14:textId="77777777" w:rsidR="00EB0B6B" w:rsidRDefault="00000000">
      <w:pPr>
        <w:pStyle w:val="Heading1"/>
        <w:pageBreakBefore/>
      </w:pPr>
      <w:bookmarkStart w:id="15" w:name="chapter_15"/>
      <w:r>
        <w:rPr>
          <w:rFonts w:ascii="Arial" w:eastAsia="Arial" w:hAnsi="Arial" w:cs="Arial"/>
        </w:rPr>
        <w:t>15. Model design: dimensions, cubes and drivers</w:t>
      </w:r>
      <w:bookmarkEnd w:id="15"/>
    </w:p>
    <w:p w14:paraId="32C8F954" w14:textId="77777777" w:rsidR="00EB0B6B" w:rsidRDefault="00000000">
      <w:pPr>
        <w:keepNext/>
        <w:spacing w:after="240"/>
      </w:pPr>
      <w:r>
        <w:rPr>
          <w:rFonts w:eastAsia="Arial" w:cs="Arial"/>
          <w:color w:val="007D79"/>
          <w:sz w:val="20"/>
        </w:rPr>
        <w:t>Illustrative model design - adapt to approved business definitions.</w:t>
      </w:r>
    </w:p>
    <w:p w14:paraId="6311E8E0" w14:textId="77777777" w:rsidR="00EB0B6B" w:rsidRDefault="00000000">
      <w:r>
        <w:rPr>
          <w:rFonts w:eastAsia="Arial" w:cs="Arial"/>
        </w:rPr>
        <w:t>TM1 models organize values across dimensions such as time, accounts, organizational units, products and scenarios. Cubes hold multidimensional intersections; calculations and write-back turn those intersections into a planning model. Business definitions, not the number of source columns, should drive the design.</w:t>
      </w:r>
      <w:r>
        <w:rPr>
          <w:rFonts w:eastAsia="Arial" w:cs="Arial"/>
          <w:color w:val="596C7B"/>
          <w:sz w:val="18"/>
        </w:rPr>
        <w:t xml:space="preserve">  </w:t>
      </w:r>
      <w:hyperlink w:anchor="ref_81" w:history="1">
        <w:r>
          <w:rPr>
            <w:color w:val="145EA8"/>
            <w:sz w:val="18"/>
            <w:szCs w:val="18"/>
          </w:rPr>
          <w:t>[R81]</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757"/>
        <w:gridCol w:w="3629"/>
        <w:gridCol w:w="4320"/>
      </w:tblGrid>
      <w:tr w:rsidR="00EB0B6B" w14:paraId="4D9FB568" w14:textId="77777777">
        <w:trPr>
          <w:cantSplit/>
          <w:tblHeader/>
          <w:jc w:val="center"/>
        </w:trPr>
        <w:tc>
          <w:tcPr>
            <w:tcW w:w="1757" w:type="dxa"/>
            <w:shd w:val="clear" w:color="auto" w:fill="16324F"/>
            <w:tcMar>
              <w:top w:w="100" w:type="dxa"/>
              <w:left w:w="110" w:type="dxa"/>
              <w:bottom w:w="100" w:type="dxa"/>
              <w:right w:w="110" w:type="dxa"/>
            </w:tcMar>
            <w:vAlign w:val="center"/>
          </w:tcPr>
          <w:p w14:paraId="411FBFA7" w14:textId="77777777" w:rsidR="00EB0B6B" w:rsidRDefault="00000000">
            <w:pPr>
              <w:spacing w:after="0" w:line="252" w:lineRule="auto"/>
            </w:pPr>
            <w:r>
              <w:rPr>
                <w:rFonts w:eastAsia="Arial" w:cs="Arial"/>
                <w:b/>
                <w:color w:val="FFFFFF"/>
                <w:sz w:val="20"/>
              </w:rPr>
              <w:t>Model element</w:t>
            </w:r>
          </w:p>
        </w:tc>
        <w:tc>
          <w:tcPr>
            <w:tcW w:w="3629" w:type="dxa"/>
            <w:shd w:val="clear" w:color="auto" w:fill="16324F"/>
            <w:tcMar>
              <w:top w:w="100" w:type="dxa"/>
              <w:left w:w="110" w:type="dxa"/>
              <w:bottom w:w="100" w:type="dxa"/>
              <w:right w:w="110" w:type="dxa"/>
            </w:tcMar>
            <w:vAlign w:val="center"/>
          </w:tcPr>
          <w:p w14:paraId="7A08412E" w14:textId="77777777" w:rsidR="00EB0B6B" w:rsidRDefault="00000000">
            <w:pPr>
              <w:spacing w:after="0" w:line="252" w:lineRule="auto"/>
            </w:pPr>
            <w:r>
              <w:rPr>
                <w:rFonts w:eastAsia="Arial" w:cs="Arial"/>
                <w:b/>
                <w:color w:val="FFFFFF"/>
                <w:sz w:val="20"/>
              </w:rPr>
              <w:t>Illustrative finance design</w:t>
            </w:r>
          </w:p>
        </w:tc>
        <w:tc>
          <w:tcPr>
            <w:tcW w:w="4320" w:type="dxa"/>
            <w:shd w:val="clear" w:color="auto" w:fill="16324F"/>
            <w:tcMar>
              <w:top w:w="100" w:type="dxa"/>
              <w:left w:w="110" w:type="dxa"/>
              <w:bottom w:w="100" w:type="dxa"/>
              <w:right w:w="110" w:type="dxa"/>
            </w:tcMar>
            <w:vAlign w:val="center"/>
          </w:tcPr>
          <w:p w14:paraId="29B987E9" w14:textId="77777777" w:rsidR="00EB0B6B" w:rsidRDefault="00000000">
            <w:pPr>
              <w:spacing w:after="0" w:line="252" w:lineRule="auto"/>
            </w:pPr>
            <w:r>
              <w:rPr>
                <w:rFonts w:eastAsia="Arial" w:cs="Arial"/>
                <w:b/>
                <w:color w:val="FFFFFF"/>
                <w:sz w:val="20"/>
              </w:rPr>
              <w:t>Design control</w:t>
            </w:r>
          </w:p>
        </w:tc>
      </w:tr>
      <w:tr w:rsidR="00EB0B6B" w14:paraId="1722E987" w14:textId="77777777">
        <w:trPr>
          <w:cantSplit/>
          <w:jc w:val="center"/>
        </w:trPr>
        <w:tc>
          <w:tcPr>
            <w:tcW w:w="1757" w:type="dxa"/>
            <w:tcMar>
              <w:top w:w="85" w:type="dxa"/>
              <w:left w:w="110" w:type="dxa"/>
              <w:bottom w:w="85" w:type="dxa"/>
              <w:right w:w="110" w:type="dxa"/>
            </w:tcMar>
            <w:vAlign w:val="center"/>
          </w:tcPr>
          <w:p w14:paraId="02FF46BA" w14:textId="77777777" w:rsidR="00EB0B6B" w:rsidRDefault="00000000">
            <w:pPr>
              <w:spacing w:after="0" w:line="252" w:lineRule="auto"/>
            </w:pPr>
            <w:r>
              <w:rPr>
                <w:rFonts w:eastAsia="Arial" w:cs="Arial"/>
                <w:b/>
                <w:color w:val="16324F"/>
                <w:sz w:val="20"/>
              </w:rPr>
              <w:t>Time</w:t>
            </w:r>
          </w:p>
        </w:tc>
        <w:tc>
          <w:tcPr>
            <w:tcW w:w="3629" w:type="dxa"/>
            <w:tcMar>
              <w:top w:w="85" w:type="dxa"/>
              <w:left w:w="110" w:type="dxa"/>
              <w:bottom w:w="85" w:type="dxa"/>
              <w:right w:w="110" w:type="dxa"/>
            </w:tcMar>
            <w:vAlign w:val="center"/>
          </w:tcPr>
          <w:p w14:paraId="16490F49" w14:textId="77777777" w:rsidR="00EB0B6B" w:rsidRDefault="00000000">
            <w:pPr>
              <w:spacing w:after="0" w:line="252" w:lineRule="auto"/>
            </w:pPr>
            <w:r>
              <w:rPr>
                <w:rFonts w:eastAsia="Arial" w:cs="Arial"/>
                <w:sz w:val="20"/>
              </w:rPr>
              <w:t>Month and year, with an approved fiscal calendar.</w:t>
            </w:r>
          </w:p>
        </w:tc>
        <w:tc>
          <w:tcPr>
            <w:tcW w:w="4320" w:type="dxa"/>
            <w:tcMar>
              <w:top w:w="85" w:type="dxa"/>
              <w:left w:w="110" w:type="dxa"/>
              <w:bottom w:w="85" w:type="dxa"/>
              <w:right w:w="110" w:type="dxa"/>
            </w:tcMar>
            <w:vAlign w:val="center"/>
          </w:tcPr>
          <w:p w14:paraId="0BDC2277" w14:textId="77777777" w:rsidR="00EB0B6B" w:rsidRDefault="00000000">
            <w:pPr>
              <w:spacing w:after="0" w:line="252" w:lineRule="auto"/>
            </w:pPr>
            <w:r>
              <w:rPr>
                <w:rFonts w:eastAsia="Arial" w:cs="Arial"/>
                <w:sz w:val="20"/>
              </w:rPr>
              <w:t>Define how partial periods, actuals and forecast horizons are handled.</w:t>
            </w:r>
          </w:p>
        </w:tc>
      </w:tr>
      <w:tr w:rsidR="00EB0B6B" w14:paraId="1152C60D" w14:textId="77777777">
        <w:trPr>
          <w:cantSplit/>
          <w:jc w:val="center"/>
        </w:trPr>
        <w:tc>
          <w:tcPr>
            <w:tcW w:w="1757" w:type="dxa"/>
            <w:tcMar>
              <w:top w:w="85" w:type="dxa"/>
              <w:left w:w="110" w:type="dxa"/>
              <w:bottom w:w="85" w:type="dxa"/>
              <w:right w:w="110" w:type="dxa"/>
            </w:tcMar>
            <w:vAlign w:val="center"/>
          </w:tcPr>
          <w:p w14:paraId="31659FA9" w14:textId="77777777" w:rsidR="00EB0B6B" w:rsidRDefault="00000000">
            <w:pPr>
              <w:spacing w:after="0" w:line="252" w:lineRule="auto"/>
            </w:pPr>
            <w:r>
              <w:rPr>
                <w:rFonts w:eastAsia="Arial" w:cs="Arial"/>
                <w:b/>
                <w:color w:val="16324F"/>
                <w:sz w:val="20"/>
              </w:rPr>
              <w:t>Organization</w:t>
            </w:r>
          </w:p>
        </w:tc>
        <w:tc>
          <w:tcPr>
            <w:tcW w:w="3629" w:type="dxa"/>
            <w:tcMar>
              <w:top w:w="85" w:type="dxa"/>
              <w:left w:w="110" w:type="dxa"/>
              <w:bottom w:w="85" w:type="dxa"/>
              <w:right w:w="110" w:type="dxa"/>
            </w:tcMar>
            <w:vAlign w:val="center"/>
          </w:tcPr>
          <w:p w14:paraId="22AAD20A" w14:textId="77777777" w:rsidR="00EB0B6B" w:rsidRDefault="00000000">
            <w:pPr>
              <w:spacing w:after="0" w:line="252" w:lineRule="auto"/>
            </w:pPr>
            <w:r>
              <w:rPr>
                <w:rFonts w:eastAsia="Arial" w:cs="Arial"/>
                <w:sz w:val="20"/>
              </w:rPr>
              <w:t>Entity and cost center with reporting hierarchies.</w:t>
            </w:r>
          </w:p>
        </w:tc>
        <w:tc>
          <w:tcPr>
            <w:tcW w:w="4320" w:type="dxa"/>
            <w:tcMar>
              <w:top w:w="85" w:type="dxa"/>
              <w:left w:w="110" w:type="dxa"/>
              <w:bottom w:w="85" w:type="dxa"/>
              <w:right w:w="110" w:type="dxa"/>
            </w:tcMar>
            <w:vAlign w:val="center"/>
          </w:tcPr>
          <w:p w14:paraId="0E489397" w14:textId="77777777" w:rsidR="00EB0B6B" w:rsidRDefault="00000000">
            <w:pPr>
              <w:spacing w:after="0" w:line="252" w:lineRule="auto"/>
            </w:pPr>
            <w:r>
              <w:rPr>
                <w:rFonts w:eastAsia="Arial" w:cs="Arial"/>
                <w:sz w:val="20"/>
              </w:rPr>
              <w:t>Assign an owner to reorganizations and effective-date decisions.</w:t>
            </w:r>
          </w:p>
        </w:tc>
      </w:tr>
      <w:tr w:rsidR="00EB0B6B" w14:paraId="4F36BFDC" w14:textId="77777777">
        <w:trPr>
          <w:cantSplit/>
          <w:jc w:val="center"/>
        </w:trPr>
        <w:tc>
          <w:tcPr>
            <w:tcW w:w="1757" w:type="dxa"/>
            <w:tcMar>
              <w:top w:w="85" w:type="dxa"/>
              <w:left w:w="110" w:type="dxa"/>
              <w:bottom w:w="85" w:type="dxa"/>
              <w:right w:w="110" w:type="dxa"/>
            </w:tcMar>
            <w:vAlign w:val="center"/>
          </w:tcPr>
          <w:p w14:paraId="2F848B0F" w14:textId="77777777" w:rsidR="00EB0B6B" w:rsidRDefault="00000000">
            <w:pPr>
              <w:spacing w:after="0" w:line="252" w:lineRule="auto"/>
            </w:pPr>
            <w:r>
              <w:rPr>
                <w:rFonts w:eastAsia="Arial" w:cs="Arial"/>
                <w:b/>
                <w:color w:val="16324F"/>
                <w:sz w:val="20"/>
              </w:rPr>
              <w:t>Scenario</w:t>
            </w:r>
          </w:p>
        </w:tc>
        <w:tc>
          <w:tcPr>
            <w:tcW w:w="3629" w:type="dxa"/>
            <w:tcMar>
              <w:top w:w="85" w:type="dxa"/>
              <w:left w:w="110" w:type="dxa"/>
              <w:bottom w:w="85" w:type="dxa"/>
              <w:right w:w="110" w:type="dxa"/>
            </w:tcMar>
            <w:vAlign w:val="center"/>
          </w:tcPr>
          <w:p w14:paraId="0AD789FB" w14:textId="77777777" w:rsidR="00EB0B6B" w:rsidRDefault="00000000">
            <w:pPr>
              <w:spacing w:after="0" w:line="252" w:lineRule="auto"/>
            </w:pPr>
            <w:r>
              <w:rPr>
                <w:rFonts w:eastAsia="Arial" w:cs="Arial"/>
                <w:sz w:val="20"/>
              </w:rPr>
              <w:t>Actual, Budget and Forecast versions.</w:t>
            </w:r>
          </w:p>
        </w:tc>
        <w:tc>
          <w:tcPr>
            <w:tcW w:w="4320" w:type="dxa"/>
            <w:tcMar>
              <w:top w:w="85" w:type="dxa"/>
              <w:left w:w="110" w:type="dxa"/>
              <w:bottom w:w="85" w:type="dxa"/>
              <w:right w:w="110" w:type="dxa"/>
            </w:tcMar>
            <w:vAlign w:val="center"/>
          </w:tcPr>
          <w:p w14:paraId="09D51942" w14:textId="77777777" w:rsidR="00EB0B6B" w:rsidRDefault="00000000">
            <w:pPr>
              <w:spacing w:after="0" w:line="252" w:lineRule="auto"/>
            </w:pPr>
            <w:r>
              <w:rPr>
                <w:rFonts w:eastAsia="Arial" w:cs="Arial"/>
                <w:sz w:val="20"/>
              </w:rPr>
              <w:t>Lock approved actuals / baselines and document copy-forward policy.</w:t>
            </w:r>
          </w:p>
        </w:tc>
      </w:tr>
      <w:tr w:rsidR="00EB0B6B" w14:paraId="2893C0FA" w14:textId="77777777">
        <w:trPr>
          <w:cantSplit/>
          <w:jc w:val="center"/>
        </w:trPr>
        <w:tc>
          <w:tcPr>
            <w:tcW w:w="1757" w:type="dxa"/>
            <w:tcMar>
              <w:top w:w="85" w:type="dxa"/>
              <w:left w:w="110" w:type="dxa"/>
              <w:bottom w:w="85" w:type="dxa"/>
              <w:right w:w="110" w:type="dxa"/>
            </w:tcMar>
            <w:vAlign w:val="center"/>
          </w:tcPr>
          <w:p w14:paraId="026B2E52" w14:textId="77777777" w:rsidR="00EB0B6B" w:rsidRDefault="00000000">
            <w:pPr>
              <w:spacing w:after="0" w:line="252" w:lineRule="auto"/>
            </w:pPr>
            <w:r>
              <w:rPr>
                <w:rFonts w:eastAsia="Arial" w:cs="Arial"/>
                <w:b/>
                <w:color w:val="16324F"/>
                <w:sz w:val="20"/>
              </w:rPr>
              <w:t>Measures</w:t>
            </w:r>
          </w:p>
        </w:tc>
        <w:tc>
          <w:tcPr>
            <w:tcW w:w="3629" w:type="dxa"/>
            <w:tcMar>
              <w:top w:w="85" w:type="dxa"/>
              <w:left w:w="110" w:type="dxa"/>
              <w:bottom w:w="85" w:type="dxa"/>
              <w:right w:w="110" w:type="dxa"/>
            </w:tcMar>
            <w:vAlign w:val="center"/>
          </w:tcPr>
          <w:p w14:paraId="64DCB9A2" w14:textId="77777777" w:rsidR="00EB0B6B" w:rsidRDefault="00000000">
            <w:pPr>
              <w:spacing w:after="0" w:line="252" w:lineRule="auto"/>
            </w:pPr>
            <w:r>
              <w:rPr>
                <w:rFonts w:eastAsia="Arial" w:cs="Arial"/>
                <w:sz w:val="20"/>
              </w:rPr>
              <w:t>Units, price, revenue, cost and margin.</w:t>
            </w:r>
          </w:p>
        </w:tc>
        <w:tc>
          <w:tcPr>
            <w:tcW w:w="4320" w:type="dxa"/>
            <w:tcMar>
              <w:top w:w="85" w:type="dxa"/>
              <w:left w:w="110" w:type="dxa"/>
              <w:bottom w:w="85" w:type="dxa"/>
              <w:right w:w="110" w:type="dxa"/>
            </w:tcMar>
            <w:vAlign w:val="center"/>
          </w:tcPr>
          <w:p w14:paraId="02CA5E63" w14:textId="77777777" w:rsidR="00EB0B6B" w:rsidRDefault="00000000">
            <w:pPr>
              <w:spacing w:after="0" w:line="252" w:lineRule="auto"/>
            </w:pPr>
            <w:r>
              <w:rPr>
                <w:rFonts w:eastAsia="Arial" w:cs="Arial"/>
                <w:sz w:val="20"/>
              </w:rPr>
              <w:t>Distinguish additive values from percentages and ratios.</w:t>
            </w:r>
          </w:p>
        </w:tc>
      </w:tr>
      <w:tr w:rsidR="00EB0B6B" w14:paraId="3892D9BB" w14:textId="77777777">
        <w:trPr>
          <w:cantSplit/>
          <w:jc w:val="center"/>
        </w:trPr>
        <w:tc>
          <w:tcPr>
            <w:tcW w:w="1757" w:type="dxa"/>
            <w:tcMar>
              <w:top w:w="85" w:type="dxa"/>
              <w:left w:w="110" w:type="dxa"/>
              <w:bottom w:w="85" w:type="dxa"/>
              <w:right w:w="110" w:type="dxa"/>
            </w:tcMar>
            <w:vAlign w:val="center"/>
          </w:tcPr>
          <w:p w14:paraId="475EF576" w14:textId="77777777" w:rsidR="00EB0B6B" w:rsidRDefault="00000000">
            <w:pPr>
              <w:spacing w:after="0" w:line="252" w:lineRule="auto"/>
            </w:pPr>
            <w:r>
              <w:rPr>
                <w:rFonts w:eastAsia="Arial" w:cs="Arial"/>
                <w:b/>
                <w:color w:val="16324F"/>
                <w:sz w:val="20"/>
              </w:rPr>
              <w:t>Drivers</w:t>
            </w:r>
          </w:p>
        </w:tc>
        <w:tc>
          <w:tcPr>
            <w:tcW w:w="3629" w:type="dxa"/>
            <w:tcMar>
              <w:top w:w="85" w:type="dxa"/>
              <w:left w:w="110" w:type="dxa"/>
              <w:bottom w:w="85" w:type="dxa"/>
              <w:right w:w="110" w:type="dxa"/>
            </w:tcMar>
            <w:vAlign w:val="center"/>
          </w:tcPr>
          <w:p w14:paraId="20FB9B04" w14:textId="77777777" w:rsidR="00EB0B6B" w:rsidRDefault="00000000">
            <w:pPr>
              <w:spacing w:after="0" w:line="252" w:lineRule="auto"/>
            </w:pPr>
            <w:r>
              <w:rPr>
                <w:rFonts w:eastAsia="Arial" w:cs="Arial"/>
                <w:sz w:val="20"/>
              </w:rPr>
              <w:t>Headcount, compensation assumptions, capacity or price changes.</w:t>
            </w:r>
          </w:p>
        </w:tc>
        <w:tc>
          <w:tcPr>
            <w:tcW w:w="4320" w:type="dxa"/>
            <w:tcMar>
              <w:top w:w="85" w:type="dxa"/>
              <w:left w:w="110" w:type="dxa"/>
              <w:bottom w:w="85" w:type="dxa"/>
              <w:right w:w="110" w:type="dxa"/>
            </w:tcMar>
            <w:vAlign w:val="center"/>
          </w:tcPr>
          <w:p w14:paraId="6F76B88D" w14:textId="77777777" w:rsidR="00EB0B6B" w:rsidRDefault="00000000">
            <w:pPr>
              <w:spacing w:after="0" w:line="252" w:lineRule="auto"/>
            </w:pPr>
            <w:r>
              <w:rPr>
                <w:rFonts w:eastAsia="Arial" w:cs="Arial"/>
                <w:sz w:val="20"/>
              </w:rPr>
              <w:t>Keep input assumptions distinct from calculated results.</w:t>
            </w:r>
          </w:p>
        </w:tc>
      </w:tr>
      <w:tr w:rsidR="00EB0B6B" w14:paraId="1B0EAE58" w14:textId="77777777">
        <w:trPr>
          <w:cantSplit/>
          <w:jc w:val="center"/>
        </w:trPr>
        <w:tc>
          <w:tcPr>
            <w:tcW w:w="1757" w:type="dxa"/>
            <w:tcMar>
              <w:top w:w="85" w:type="dxa"/>
              <w:left w:w="110" w:type="dxa"/>
              <w:bottom w:w="85" w:type="dxa"/>
              <w:right w:w="110" w:type="dxa"/>
            </w:tcMar>
            <w:vAlign w:val="center"/>
          </w:tcPr>
          <w:p w14:paraId="74B7B2F9" w14:textId="77777777" w:rsidR="00EB0B6B" w:rsidRDefault="00000000">
            <w:pPr>
              <w:spacing w:after="0" w:line="252" w:lineRule="auto"/>
            </w:pPr>
            <w:r>
              <w:rPr>
                <w:rFonts w:eastAsia="Arial" w:cs="Arial"/>
                <w:b/>
                <w:color w:val="16324F"/>
                <w:sz w:val="20"/>
              </w:rPr>
              <w:t>Attributes and aliases</w:t>
            </w:r>
          </w:p>
        </w:tc>
        <w:tc>
          <w:tcPr>
            <w:tcW w:w="3629" w:type="dxa"/>
            <w:tcMar>
              <w:top w:w="85" w:type="dxa"/>
              <w:left w:w="110" w:type="dxa"/>
              <w:bottom w:w="85" w:type="dxa"/>
              <w:right w:w="110" w:type="dxa"/>
            </w:tcMar>
            <w:vAlign w:val="center"/>
          </w:tcPr>
          <w:p w14:paraId="4659E4B5" w14:textId="77777777" w:rsidR="00EB0B6B" w:rsidRDefault="00000000">
            <w:pPr>
              <w:spacing w:after="0" w:line="252" w:lineRule="auto"/>
            </w:pPr>
            <w:r>
              <w:rPr>
                <w:rFonts w:eastAsia="Arial" w:cs="Arial"/>
                <w:sz w:val="20"/>
              </w:rPr>
              <w:t>Descriptions, classification and display names.</w:t>
            </w:r>
          </w:p>
        </w:tc>
        <w:tc>
          <w:tcPr>
            <w:tcW w:w="4320" w:type="dxa"/>
            <w:tcMar>
              <w:top w:w="85" w:type="dxa"/>
              <w:left w:w="110" w:type="dxa"/>
              <w:bottom w:w="85" w:type="dxa"/>
              <w:right w:w="110" w:type="dxa"/>
            </w:tcMar>
            <w:vAlign w:val="center"/>
          </w:tcPr>
          <w:p w14:paraId="01A7BD1D" w14:textId="77777777" w:rsidR="00EB0B6B" w:rsidRDefault="00000000">
            <w:pPr>
              <w:spacing w:after="0" w:line="252" w:lineRule="auto"/>
            </w:pPr>
            <w:r>
              <w:rPr>
                <w:rFonts w:eastAsia="Arial" w:cs="Arial"/>
                <w:sz w:val="20"/>
              </w:rPr>
              <w:t>Preserve stable identifiers when labels change.</w:t>
            </w:r>
          </w:p>
        </w:tc>
      </w:tr>
    </w:tbl>
    <w:p w14:paraId="1D433146" w14:textId="77777777" w:rsidR="00EB0B6B" w:rsidRDefault="00EB0B6B">
      <w:pPr>
        <w:spacing w:after="0" w:line="120" w:lineRule="auto"/>
      </w:pPr>
    </w:p>
    <w:p w14:paraId="35C61E76" w14:textId="77777777" w:rsidR="00EB0B6B" w:rsidRDefault="00000000">
      <w:pPr>
        <w:pStyle w:val="Heading2"/>
      </w:pPr>
      <w:r>
        <w:rPr>
          <w:rFonts w:ascii="Arial" w:eastAsia="Arial" w:hAnsi="Arial" w:cs="Arial"/>
        </w:rPr>
        <w:t>Recommended modeling workflow</w:t>
      </w:r>
    </w:p>
    <w:p w14:paraId="0C8B76C4"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Agree the grain of each cube and document what one cell means.</w:t>
      </w:r>
    </w:p>
    <w:p w14:paraId="5D57E98F"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Define dimensions, hierarchies, element types and naming conventions before loading facts.</w:t>
      </w:r>
    </w:p>
    <w:p w14:paraId="10A8012C"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Build a small model with known totals; prove consolidations, calculations and access rules.</w:t>
      </w:r>
    </w:p>
    <w:p w14:paraId="1841AFE1"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Separate transaction staging from planning assumptions and published results where that improves clarity.</w:t>
      </w:r>
    </w:p>
    <w:p w14:paraId="2B051BBD"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Test reorganization, new members, missing data, zero values, currency assumptions and read-only history.</w:t>
      </w:r>
    </w:p>
    <w:p w14:paraId="7E05E2B2"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Record the owner and test cases for every material calculation and integration.</w:t>
      </w:r>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7F9E51DA" w14:textId="77777777">
        <w:trPr>
          <w:cantSplit/>
          <w:jc w:val="center"/>
        </w:trPr>
        <w:tc>
          <w:tcPr>
            <w:tcW w:w="9706" w:type="dxa"/>
            <w:shd w:val="clear" w:color="auto" w:fill="EDF4FA"/>
            <w:tcMar>
              <w:top w:w="115" w:type="dxa"/>
              <w:left w:w="150" w:type="dxa"/>
              <w:bottom w:w="115" w:type="dxa"/>
              <w:right w:w="150" w:type="dxa"/>
            </w:tcMar>
          </w:tcPr>
          <w:p w14:paraId="42D6B9FB" w14:textId="77777777" w:rsidR="00EB0B6B" w:rsidRDefault="00000000">
            <w:pPr>
              <w:keepNext/>
              <w:spacing w:after="80"/>
            </w:pPr>
            <w:r>
              <w:rPr>
                <w:rFonts w:eastAsia="Arial" w:cs="Arial"/>
                <w:b/>
                <w:color w:val="145EA8"/>
                <w:sz w:val="19"/>
              </w:rPr>
              <w:t>ILLUSTRATIVE BUSINESS RULE</w:t>
            </w:r>
          </w:p>
          <w:p w14:paraId="42A99AA4" w14:textId="77777777" w:rsidR="00EB0B6B" w:rsidRDefault="00000000">
            <w:pPr>
              <w:spacing w:after="0" w:line="254" w:lineRule="auto"/>
            </w:pPr>
            <w:r>
              <w:rPr>
                <w:rFonts w:eastAsia="Arial" w:cs="Arial"/>
                <w:sz w:val="20"/>
              </w:rPr>
              <w:t>Revenue = Units x Price. Gross Margin = Revenue - Cost. Margin % must be recomputed from consolidated Revenue and Cost, not summed across products. These are example requirements, not a packaged IBM financial model.</w:t>
            </w:r>
          </w:p>
        </w:tc>
      </w:tr>
    </w:tbl>
    <w:p w14:paraId="77B714F3" w14:textId="77777777" w:rsidR="00EB0B6B" w:rsidRDefault="00EB0B6B">
      <w:pPr>
        <w:spacing w:after="0" w:line="120" w:lineRule="auto"/>
      </w:pPr>
    </w:p>
    <w:p w14:paraId="45AB98C0" w14:textId="77777777" w:rsidR="00EB0B6B" w:rsidRDefault="00000000">
      <w:pPr>
        <w:pStyle w:val="Heading1"/>
        <w:pageBreakBefore/>
      </w:pPr>
      <w:bookmarkStart w:id="16" w:name="chapter_16"/>
      <w:r>
        <w:rPr>
          <w:rFonts w:ascii="Arial" w:eastAsia="Arial" w:hAnsi="Arial" w:cs="Arial"/>
        </w:rPr>
        <w:t>16. Rules, feeders and model correctness</w:t>
      </w:r>
      <w:bookmarkEnd w:id="16"/>
    </w:p>
    <w:p w14:paraId="630FDBEF" w14:textId="77777777" w:rsidR="00EB0B6B" w:rsidRDefault="00000000">
      <w:pPr>
        <w:keepNext/>
        <w:spacing w:after="240"/>
      </w:pPr>
      <w:r>
        <w:rPr>
          <w:rFonts w:eastAsia="Arial" w:cs="Arial"/>
          <w:color w:val="007D79"/>
          <w:sz w:val="20"/>
        </w:rPr>
        <w:t>Performance tuning must preserve the meaning of the plan.</w:t>
      </w:r>
    </w:p>
    <w:p w14:paraId="72754606" w14:textId="77777777" w:rsidR="00EB0B6B" w:rsidRDefault="00000000">
      <w:r>
        <w:rPr>
          <w:rFonts w:eastAsia="Arial" w:cs="Arial"/>
        </w:rPr>
        <w:t>TM1 rules implement model calculations; feeders are relevant when sparse-consolidation optimization is used. IBM's FEEDERS documentation describes placing feeder statements after a FEEDERS section and identifying the rule-calculated cells needed for correct sparse consolidation. A faster view is not acceptable if its total is wrong.</w:t>
      </w:r>
      <w:r>
        <w:rPr>
          <w:rFonts w:eastAsia="Arial" w:cs="Arial"/>
          <w:color w:val="596C7B"/>
          <w:sz w:val="18"/>
        </w:rPr>
        <w:t xml:space="preserve">  </w:t>
      </w:r>
      <w:hyperlink w:anchor="ref_41" w:history="1">
        <w:r>
          <w:rPr>
            <w:color w:val="145EA8"/>
            <w:sz w:val="18"/>
            <w:szCs w:val="18"/>
          </w:rPr>
          <w:t>[R41]</w:t>
        </w:r>
      </w:hyperlink>
    </w:p>
    <w:p w14:paraId="180C4B18" w14:textId="77777777" w:rsidR="00EB0B6B" w:rsidRDefault="00000000">
      <w:pPr>
        <w:pStyle w:val="Heading2"/>
      </w:pPr>
      <w:r>
        <w:rPr>
          <w:rFonts w:ascii="Arial" w:eastAsia="Arial" w:hAnsi="Arial" w:cs="Arial"/>
        </w:rPr>
        <w:t>Recommended design approach</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872"/>
        <w:gridCol w:w="4536"/>
        <w:gridCol w:w="3298"/>
      </w:tblGrid>
      <w:tr w:rsidR="00EB0B6B" w14:paraId="72FC9F26" w14:textId="77777777">
        <w:trPr>
          <w:cantSplit/>
          <w:tblHeader/>
          <w:jc w:val="center"/>
        </w:trPr>
        <w:tc>
          <w:tcPr>
            <w:tcW w:w="1872" w:type="dxa"/>
            <w:shd w:val="clear" w:color="auto" w:fill="16324F"/>
            <w:tcMar>
              <w:top w:w="100" w:type="dxa"/>
              <w:left w:w="110" w:type="dxa"/>
              <w:bottom w:w="100" w:type="dxa"/>
              <w:right w:w="110" w:type="dxa"/>
            </w:tcMar>
            <w:vAlign w:val="center"/>
          </w:tcPr>
          <w:p w14:paraId="2AA99563" w14:textId="77777777" w:rsidR="00EB0B6B" w:rsidRDefault="00000000">
            <w:pPr>
              <w:spacing w:after="0" w:line="252" w:lineRule="auto"/>
            </w:pPr>
            <w:r>
              <w:rPr>
                <w:rFonts w:eastAsia="Arial" w:cs="Arial"/>
                <w:b/>
                <w:color w:val="FFFFFF"/>
                <w:sz w:val="20"/>
              </w:rPr>
              <w:t>Concern</w:t>
            </w:r>
          </w:p>
        </w:tc>
        <w:tc>
          <w:tcPr>
            <w:tcW w:w="4536" w:type="dxa"/>
            <w:shd w:val="clear" w:color="auto" w:fill="16324F"/>
            <w:tcMar>
              <w:top w:w="100" w:type="dxa"/>
              <w:left w:w="110" w:type="dxa"/>
              <w:bottom w:w="100" w:type="dxa"/>
              <w:right w:w="110" w:type="dxa"/>
            </w:tcMar>
            <w:vAlign w:val="center"/>
          </w:tcPr>
          <w:p w14:paraId="46D4BD3F" w14:textId="77777777" w:rsidR="00EB0B6B" w:rsidRDefault="00000000">
            <w:pPr>
              <w:spacing w:after="0" w:line="252" w:lineRule="auto"/>
            </w:pPr>
            <w:r>
              <w:rPr>
                <w:rFonts w:eastAsia="Arial" w:cs="Arial"/>
                <w:b/>
                <w:color w:val="FFFFFF"/>
                <w:sz w:val="20"/>
              </w:rPr>
              <w:t>Implementation guidance</w:t>
            </w:r>
          </w:p>
        </w:tc>
        <w:tc>
          <w:tcPr>
            <w:tcW w:w="3298" w:type="dxa"/>
            <w:shd w:val="clear" w:color="auto" w:fill="16324F"/>
            <w:tcMar>
              <w:top w:w="100" w:type="dxa"/>
              <w:left w:w="110" w:type="dxa"/>
              <w:bottom w:w="100" w:type="dxa"/>
              <w:right w:w="110" w:type="dxa"/>
            </w:tcMar>
            <w:vAlign w:val="center"/>
          </w:tcPr>
          <w:p w14:paraId="6A6D0242" w14:textId="77777777" w:rsidR="00EB0B6B" w:rsidRDefault="00000000">
            <w:pPr>
              <w:spacing w:after="0" w:line="252" w:lineRule="auto"/>
            </w:pPr>
            <w:r>
              <w:rPr>
                <w:rFonts w:eastAsia="Arial" w:cs="Arial"/>
                <w:b/>
                <w:color w:val="FFFFFF"/>
                <w:sz w:val="20"/>
              </w:rPr>
              <w:t>Test evidence</w:t>
            </w:r>
          </w:p>
        </w:tc>
      </w:tr>
      <w:tr w:rsidR="00EB0B6B" w14:paraId="15674DF1" w14:textId="77777777">
        <w:trPr>
          <w:cantSplit/>
          <w:jc w:val="center"/>
        </w:trPr>
        <w:tc>
          <w:tcPr>
            <w:tcW w:w="1872" w:type="dxa"/>
            <w:tcMar>
              <w:top w:w="85" w:type="dxa"/>
              <w:left w:w="110" w:type="dxa"/>
              <w:bottom w:w="85" w:type="dxa"/>
              <w:right w:w="110" w:type="dxa"/>
            </w:tcMar>
            <w:vAlign w:val="center"/>
          </w:tcPr>
          <w:p w14:paraId="60727AB3" w14:textId="77777777" w:rsidR="00EB0B6B" w:rsidRDefault="00000000">
            <w:pPr>
              <w:spacing w:after="0" w:line="252" w:lineRule="auto"/>
            </w:pPr>
            <w:r>
              <w:rPr>
                <w:rFonts w:eastAsia="Arial" w:cs="Arial"/>
                <w:b/>
                <w:color w:val="16324F"/>
                <w:sz w:val="20"/>
              </w:rPr>
              <w:t>Rule ownership</w:t>
            </w:r>
          </w:p>
        </w:tc>
        <w:tc>
          <w:tcPr>
            <w:tcW w:w="4536" w:type="dxa"/>
            <w:tcMar>
              <w:top w:w="85" w:type="dxa"/>
              <w:left w:w="110" w:type="dxa"/>
              <w:bottom w:w="85" w:type="dxa"/>
              <w:right w:w="110" w:type="dxa"/>
            </w:tcMar>
            <w:vAlign w:val="center"/>
          </w:tcPr>
          <w:p w14:paraId="22DA15A6" w14:textId="77777777" w:rsidR="00EB0B6B" w:rsidRDefault="00000000">
            <w:pPr>
              <w:spacing w:after="0" w:line="252" w:lineRule="auto"/>
            </w:pPr>
            <w:r>
              <w:rPr>
                <w:rFonts w:eastAsia="Arial" w:cs="Arial"/>
                <w:sz w:val="20"/>
              </w:rPr>
              <w:t>Assign a business definition, technical owner and intended cell scope.</w:t>
            </w:r>
          </w:p>
        </w:tc>
        <w:tc>
          <w:tcPr>
            <w:tcW w:w="3298" w:type="dxa"/>
            <w:tcMar>
              <w:top w:w="85" w:type="dxa"/>
              <w:left w:w="110" w:type="dxa"/>
              <w:bottom w:w="85" w:type="dxa"/>
              <w:right w:w="110" w:type="dxa"/>
            </w:tcMar>
            <w:vAlign w:val="center"/>
          </w:tcPr>
          <w:p w14:paraId="237D3502" w14:textId="77777777" w:rsidR="00EB0B6B" w:rsidRDefault="00000000">
            <w:pPr>
              <w:spacing w:after="0" w:line="252" w:lineRule="auto"/>
            </w:pPr>
            <w:r>
              <w:rPr>
                <w:rFonts w:eastAsia="Arial" w:cs="Arial"/>
                <w:sz w:val="20"/>
              </w:rPr>
              <w:t>Known examples reconcile to an independently calculated result.</w:t>
            </w:r>
          </w:p>
        </w:tc>
      </w:tr>
      <w:tr w:rsidR="00EB0B6B" w14:paraId="2C2B7AE2" w14:textId="77777777">
        <w:trPr>
          <w:cantSplit/>
          <w:jc w:val="center"/>
        </w:trPr>
        <w:tc>
          <w:tcPr>
            <w:tcW w:w="1872" w:type="dxa"/>
            <w:tcMar>
              <w:top w:w="85" w:type="dxa"/>
              <w:left w:w="110" w:type="dxa"/>
              <w:bottom w:w="85" w:type="dxa"/>
              <w:right w:w="110" w:type="dxa"/>
            </w:tcMar>
            <w:vAlign w:val="center"/>
          </w:tcPr>
          <w:p w14:paraId="3725E394" w14:textId="77777777" w:rsidR="00EB0B6B" w:rsidRDefault="00000000">
            <w:pPr>
              <w:spacing w:after="0" w:line="252" w:lineRule="auto"/>
            </w:pPr>
            <w:r>
              <w:rPr>
                <w:rFonts w:eastAsia="Arial" w:cs="Arial"/>
                <w:b/>
                <w:color w:val="16324F"/>
                <w:sz w:val="20"/>
              </w:rPr>
              <w:t>Consolidations</w:t>
            </w:r>
          </w:p>
        </w:tc>
        <w:tc>
          <w:tcPr>
            <w:tcW w:w="4536" w:type="dxa"/>
            <w:tcMar>
              <w:top w:w="85" w:type="dxa"/>
              <w:left w:w="110" w:type="dxa"/>
              <w:bottom w:w="85" w:type="dxa"/>
              <w:right w:w="110" w:type="dxa"/>
            </w:tcMar>
            <w:vAlign w:val="center"/>
          </w:tcPr>
          <w:p w14:paraId="4398741D" w14:textId="77777777" w:rsidR="00EB0B6B" w:rsidRDefault="00000000">
            <w:pPr>
              <w:spacing w:after="0" w:line="252" w:lineRule="auto"/>
            </w:pPr>
            <w:r>
              <w:rPr>
                <w:rFonts w:eastAsia="Arial" w:cs="Arial"/>
                <w:sz w:val="20"/>
              </w:rPr>
              <w:t>Distinguish summable measures from ratios, rates and balances.</w:t>
            </w:r>
          </w:p>
        </w:tc>
        <w:tc>
          <w:tcPr>
            <w:tcW w:w="3298" w:type="dxa"/>
            <w:tcMar>
              <w:top w:w="85" w:type="dxa"/>
              <w:left w:w="110" w:type="dxa"/>
              <w:bottom w:w="85" w:type="dxa"/>
              <w:right w:w="110" w:type="dxa"/>
            </w:tcMar>
            <w:vAlign w:val="center"/>
          </w:tcPr>
          <w:p w14:paraId="4AAB6416" w14:textId="77777777" w:rsidR="00EB0B6B" w:rsidRDefault="00000000">
            <w:pPr>
              <w:spacing w:after="0" w:line="252" w:lineRule="auto"/>
            </w:pPr>
            <w:r>
              <w:rPr>
                <w:rFonts w:eastAsia="Arial" w:cs="Arial"/>
                <w:sz w:val="20"/>
              </w:rPr>
              <w:t>Parent totals remain correct after filter and hierarchy changes.</w:t>
            </w:r>
          </w:p>
        </w:tc>
      </w:tr>
      <w:tr w:rsidR="00EB0B6B" w14:paraId="27C33FC3" w14:textId="77777777">
        <w:trPr>
          <w:cantSplit/>
          <w:jc w:val="center"/>
        </w:trPr>
        <w:tc>
          <w:tcPr>
            <w:tcW w:w="1872" w:type="dxa"/>
            <w:tcMar>
              <w:top w:w="85" w:type="dxa"/>
              <w:left w:w="110" w:type="dxa"/>
              <w:bottom w:w="85" w:type="dxa"/>
              <w:right w:w="110" w:type="dxa"/>
            </w:tcMar>
            <w:vAlign w:val="center"/>
          </w:tcPr>
          <w:p w14:paraId="1B15F03E" w14:textId="77777777" w:rsidR="00EB0B6B" w:rsidRDefault="00000000">
            <w:pPr>
              <w:spacing w:after="0" w:line="252" w:lineRule="auto"/>
            </w:pPr>
            <w:r>
              <w:rPr>
                <w:rFonts w:eastAsia="Arial" w:cs="Arial"/>
                <w:b/>
                <w:color w:val="16324F"/>
                <w:sz w:val="20"/>
              </w:rPr>
              <w:t>Feeders</w:t>
            </w:r>
          </w:p>
        </w:tc>
        <w:tc>
          <w:tcPr>
            <w:tcW w:w="4536" w:type="dxa"/>
            <w:tcMar>
              <w:top w:w="85" w:type="dxa"/>
              <w:left w:w="110" w:type="dxa"/>
              <w:bottom w:w="85" w:type="dxa"/>
              <w:right w:w="110" w:type="dxa"/>
            </w:tcMar>
            <w:vAlign w:val="center"/>
          </w:tcPr>
          <w:p w14:paraId="33AE4095" w14:textId="77777777" w:rsidR="00EB0B6B" w:rsidRDefault="00000000">
            <w:pPr>
              <w:spacing w:after="0" w:line="252" w:lineRule="auto"/>
            </w:pPr>
            <w:r>
              <w:rPr>
                <w:rFonts w:eastAsia="Arial" w:cs="Arial"/>
                <w:sz w:val="20"/>
              </w:rPr>
              <w:t>Trace dependencies deliberately; avoid adding broad feeder patterns merely to hide missing totals.</w:t>
            </w:r>
          </w:p>
        </w:tc>
        <w:tc>
          <w:tcPr>
            <w:tcW w:w="3298" w:type="dxa"/>
            <w:tcMar>
              <w:top w:w="85" w:type="dxa"/>
              <w:left w:w="110" w:type="dxa"/>
              <w:bottom w:w="85" w:type="dxa"/>
              <w:right w:w="110" w:type="dxa"/>
            </w:tcMar>
            <w:vAlign w:val="center"/>
          </w:tcPr>
          <w:p w14:paraId="3EF06799" w14:textId="77777777" w:rsidR="00EB0B6B" w:rsidRDefault="00000000">
            <w:pPr>
              <w:spacing w:after="0" w:line="252" w:lineRule="auto"/>
            </w:pPr>
            <w:r>
              <w:rPr>
                <w:rFonts w:eastAsia="Arial" w:cs="Arial"/>
                <w:sz w:val="20"/>
              </w:rPr>
              <w:t>Zero / nonzero transitions, sparse slices and cross-cube dependencies are tested.</w:t>
            </w:r>
          </w:p>
        </w:tc>
      </w:tr>
      <w:tr w:rsidR="00EB0B6B" w14:paraId="5F4FAC8D" w14:textId="77777777">
        <w:trPr>
          <w:cantSplit/>
          <w:jc w:val="center"/>
        </w:trPr>
        <w:tc>
          <w:tcPr>
            <w:tcW w:w="1872" w:type="dxa"/>
            <w:tcMar>
              <w:top w:w="85" w:type="dxa"/>
              <w:left w:w="110" w:type="dxa"/>
              <w:bottom w:w="85" w:type="dxa"/>
              <w:right w:w="110" w:type="dxa"/>
            </w:tcMar>
            <w:vAlign w:val="center"/>
          </w:tcPr>
          <w:p w14:paraId="0871D3E4" w14:textId="77777777" w:rsidR="00EB0B6B" w:rsidRDefault="00000000">
            <w:pPr>
              <w:spacing w:after="0" w:line="252" w:lineRule="auto"/>
            </w:pPr>
            <w:r>
              <w:rPr>
                <w:rFonts w:eastAsia="Arial" w:cs="Arial"/>
                <w:b/>
                <w:color w:val="16324F"/>
                <w:sz w:val="20"/>
              </w:rPr>
              <w:t>Change control</w:t>
            </w:r>
          </w:p>
        </w:tc>
        <w:tc>
          <w:tcPr>
            <w:tcW w:w="4536" w:type="dxa"/>
            <w:tcMar>
              <w:top w:w="85" w:type="dxa"/>
              <w:left w:w="110" w:type="dxa"/>
              <w:bottom w:w="85" w:type="dxa"/>
              <w:right w:w="110" w:type="dxa"/>
            </w:tcMar>
            <w:vAlign w:val="center"/>
          </w:tcPr>
          <w:p w14:paraId="11DA8036" w14:textId="77777777" w:rsidR="00EB0B6B" w:rsidRDefault="00000000">
            <w:pPr>
              <w:spacing w:after="0" w:line="252" w:lineRule="auto"/>
            </w:pPr>
            <w:r>
              <w:rPr>
                <w:rFonts w:eastAsia="Arial" w:cs="Arial"/>
                <w:sz w:val="20"/>
              </w:rPr>
              <w:t>Version rules with the related process and metadata changes.</w:t>
            </w:r>
          </w:p>
        </w:tc>
        <w:tc>
          <w:tcPr>
            <w:tcW w:w="3298" w:type="dxa"/>
            <w:tcMar>
              <w:top w:w="85" w:type="dxa"/>
              <w:left w:w="110" w:type="dxa"/>
              <w:bottom w:w="85" w:type="dxa"/>
              <w:right w:w="110" w:type="dxa"/>
            </w:tcMar>
            <w:vAlign w:val="center"/>
          </w:tcPr>
          <w:p w14:paraId="06755BCE" w14:textId="77777777" w:rsidR="00EB0B6B" w:rsidRDefault="00000000">
            <w:pPr>
              <w:spacing w:after="0" w:line="252" w:lineRule="auto"/>
            </w:pPr>
            <w:r>
              <w:rPr>
                <w:rFonts w:eastAsia="Arial" w:cs="Arial"/>
                <w:sz w:val="20"/>
              </w:rPr>
              <w:t>Regression results accompany the promoted release.</w:t>
            </w:r>
          </w:p>
        </w:tc>
      </w:tr>
      <w:tr w:rsidR="00EB0B6B" w14:paraId="2E7C6283" w14:textId="77777777">
        <w:trPr>
          <w:cantSplit/>
          <w:jc w:val="center"/>
        </w:trPr>
        <w:tc>
          <w:tcPr>
            <w:tcW w:w="1872" w:type="dxa"/>
            <w:tcMar>
              <w:top w:w="85" w:type="dxa"/>
              <w:left w:w="110" w:type="dxa"/>
              <w:bottom w:w="85" w:type="dxa"/>
              <w:right w:w="110" w:type="dxa"/>
            </w:tcMar>
            <w:vAlign w:val="center"/>
          </w:tcPr>
          <w:p w14:paraId="0E9B7857" w14:textId="77777777" w:rsidR="00EB0B6B" w:rsidRDefault="00000000">
            <w:pPr>
              <w:spacing w:after="0" w:line="252" w:lineRule="auto"/>
            </w:pPr>
            <w:r>
              <w:rPr>
                <w:rFonts w:eastAsia="Arial" w:cs="Arial"/>
                <w:b/>
                <w:color w:val="16324F"/>
                <w:sz w:val="20"/>
              </w:rPr>
              <w:t>Performance</w:t>
            </w:r>
          </w:p>
        </w:tc>
        <w:tc>
          <w:tcPr>
            <w:tcW w:w="4536" w:type="dxa"/>
            <w:tcMar>
              <w:top w:w="85" w:type="dxa"/>
              <w:left w:w="110" w:type="dxa"/>
              <w:bottom w:w="85" w:type="dxa"/>
              <w:right w:w="110" w:type="dxa"/>
            </w:tcMar>
            <w:vAlign w:val="center"/>
          </w:tcPr>
          <w:p w14:paraId="7D645048" w14:textId="77777777" w:rsidR="00EB0B6B" w:rsidRDefault="00000000">
            <w:pPr>
              <w:spacing w:after="0" w:line="252" w:lineRule="auto"/>
            </w:pPr>
            <w:r>
              <w:rPr>
                <w:rFonts w:eastAsia="Arial" w:cs="Arial"/>
                <w:sz w:val="20"/>
              </w:rPr>
              <w:t>Measure the effect of changes under representative concurrent load.</w:t>
            </w:r>
          </w:p>
        </w:tc>
        <w:tc>
          <w:tcPr>
            <w:tcW w:w="3298" w:type="dxa"/>
            <w:tcMar>
              <w:top w:w="85" w:type="dxa"/>
              <w:left w:w="110" w:type="dxa"/>
              <w:bottom w:w="85" w:type="dxa"/>
              <w:right w:w="110" w:type="dxa"/>
            </w:tcMar>
            <w:vAlign w:val="center"/>
          </w:tcPr>
          <w:p w14:paraId="0C68E095" w14:textId="77777777" w:rsidR="00EB0B6B" w:rsidRDefault="00000000">
            <w:pPr>
              <w:spacing w:after="0" w:line="252" w:lineRule="auto"/>
            </w:pPr>
            <w:r>
              <w:rPr>
                <w:rFonts w:eastAsia="Arial" w:cs="Arial"/>
                <w:sz w:val="20"/>
              </w:rPr>
              <w:t>Calculation time, memory and load / restart behavior are recorded.</w:t>
            </w:r>
          </w:p>
        </w:tc>
      </w:tr>
    </w:tbl>
    <w:p w14:paraId="74DBFFC6" w14:textId="77777777" w:rsidR="00EB0B6B" w:rsidRDefault="00EB0B6B">
      <w:pPr>
        <w:spacing w:after="0" w:line="120" w:lineRule="auto"/>
      </w:pPr>
    </w:p>
    <w:p w14:paraId="36F03402" w14:textId="77777777" w:rsidR="00EB0B6B" w:rsidRDefault="00000000">
      <w:pPr>
        <w:pStyle w:val="Heading2"/>
      </w:pPr>
      <w:r>
        <w:rPr>
          <w:rFonts w:ascii="Arial" w:eastAsia="Arial" w:hAnsi="Arial" w:cs="Arial"/>
        </w:rPr>
        <w:t>Illustrative validation set</w:t>
      </w:r>
    </w:p>
    <w:p w14:paraId="38080BEA" w14:textId="77777777" w:rsidR="00EB0B6B" w:rsidRDefault="00000000">
      <w:r>
        <w:rPr>
          <w:rFonts w:eastAsia="Arial" w:cs="Arial"/>
        </w:rPr>
        <w:t>Prepare a compact fixture with known input values, a zero-input case, a missing-input case, a newly introduced element, a consolidated view and a changed driver. Validate the result through both the user interface and an independent reconciliation. For cross-cube rules, test the source and target together.</w:t>
      </w:r>
    </w:p>
    <w:p w14:paraId="27BDEC06" w14:textId="77777777" w:rsidR="00EB0B6B" w:rsidRDefault="00000000">
      <w:pPr>
        <w:pStyle w:val="Heading2"/>
      </w:pPr>
      <w:r>
        <w:rPr>
          <w:rFonts w:ascii="Arial" w:eastAsia="Arial" w:hAnsi="Arial" w:cs="Arial"/>
        </w:rPr>
        <w:t>Avoid an anti-pattern</w:t>
      </w:r>
    </w:p>
    <w:p w14:paraId="3C1457C1" w14:textId="77777777" w:rsidR="00EB0B6B" w:rsidRDefault="00000000">
      <w:r>
        <w:rPr>
          <w:rFonts w:eastAsia="Arial" w:cs="Arial"/>
        </w:rPr>
        <w:t>Do not fix a reporting mismatch only by changing the workbook. Determine whether it comes from source data, the mapping process, the model rule, the consolidation, the user's security slice or the report definition. A workbook-only workaround can conceal a shared-model defect.</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3B4EEDA2" w14:textId="77777777">
        <w:trPr>
          <w:cantSplit/>
          <w:jc w:val="center"/>
        </w:trPr>
        <w:tc>
          <w:tcPr>
            <w:tcW w:w="9706" w:type="dxa"/>
            <w:shd w:val="clear" w:color="auto" w:fill="EAF5F2"/>
            <w:tcMar>
              <w:top w:w="115" w:type="dxa"/>
              <w:left w:w="150" w:type="dxa"/>
              <w:bottom w:w="115" w:type="dxa"/>
              <w:right w:w="150" w:type="dxa"/>
            </w:tcMar>
          </w:tcPr>
          <w:p w14:paraId="73775C14" w14:textId="77777777" w:rsidR="00EB0B6B" w:rsidRDefault="00000000">
            <w:pPr>
              <w:keepNext/>
              <w:spacing w:after="80"/>
            </w:pPr>
            <w:r>
              <w:rPr>
                <w:rFonts w:eastAsia="Arial" w:cs="Arial"/>
                <w:b/>
                <w:color w:val="007D79"/>
                <w:sz w:val="19"/>
              </w:rPr>
              <w:t>RELEASE DISCIPLINE</w:t>
            </w:r>
          </w:p>
          <w:p w14:paraId="45146AB8" w14:textId="77777777" w:rsidR="00EB0B6B" w:rsidRDefault="00000000">
            <w:pPr>
              <w:spacing w:after="0" w:line="254" w:lineRule="auto"/>
            </w:pPr>
            <w:r>
              <w:rPr>
                <w:rFonts w:eastAsia="Arial" w:cs="Arial"/>
                <w:sz w:val="20"/>
              </w:rPr>
              <w:t>Promote a calculation change with its test fixture and reconciliation evidence. Keep a recoverable previous model version and document the business impact of rollback.</w:t>
            </w:r>
          </w:p>
        </w:tc>
      </w:tr>
    </w:tbl>
    <w:p w14:paraId="5DFF430E" w14:textId="77777777" w:rsidR="00EB0B6B" w:rsidRDefault="00EB0B6B">
      <w:pPr>
        <w:spacing w:after="0" w:line="120" w:lineRule="auto"/>
      </w:pPr>
    </w:p>
    <w:p w14:paraId="24BC5CCF" w14:textId="77777777" w:rsidR="00EB0B6B" w:rsidRDefault="00000000">
      <w:pPr>
        <w:pStyle w:val="Heading1"/>
        <w:pageBreakBefore/>
      </w:pPr>
      <w:bookmarkStart w:id="17" w:name="chapter_17"/>
      <w:r>
        <w:rPr>
          <w:rFonts w:ascii="Arial" w:eastAsia="Arial" w:hAnsi="Arial" w:cs="Arial"/>
        </w:rPr>
        <w:t>17. TurboIntegrator and data integration</w:t>
      </w:r>
      <w:bookmarkEnd w:id="17"/>
    </w:p>
    <w:p w14:paraId="69413A2D" w14:textId="77777777" w:rsidR="00EB0B6B" w:rsidRDefault="00000000">
      <w:pPr>
        <w:keepNext/>
        <w:spacing w:after="240"/>
      </w:pPr>
      <w:r>
        <w:rPr>
          <w:rFonts w:eastAsia="Arial" w:cs="Arial"/>
          <w:color w:val="007D79"/>
          <w:sz w:val="20"/>
        </w:rPr>
        <w:t>Design data movement as a controlled, repeatable process.</w:t>
      </w:r>
    </w:p>
    <w:p w14:paraId="0661CD68" w14:textId="77777777" w:rsidR="00EB0B6B" w:rsidRDefault="00000000">
      <w:r>
        <w:rPr>
          <w:rFonts w:eastAsia="Arial" w:cs="Arial"/>
        </w:rPr>
        <w:t>TurboIntegrator (TI) organizes processing into four procedures. IBM describes Prolog as pre-source work, Metadata as structural work, Data as record-level value processing, and Epilog as post-source work. These phases provide a useful framework for separating validation, metadata maintenance and loading.</w:t>
      </w:r>
      <w:r>
        <w:rPr>
          <w:rFonts w:eastAsia="Arial" w:cs="Arial"/>
          <w:color w:val="596C7B"/>
          <w:sz w:val="18"/>
        </w:rPr>
        <w:t xml:space="preserve">  </w:t>
      </w:r>
      <w:hyperlink w:anchor="ref_40" w:history="1">
        <w:r>
          <w:rPr>
            <w:color w:val="145EA8"/>
            <w:sz w:val="18"/>
            <w:szCs w:val="18"/>
          </w:rPr>
          <w:t>[R40]</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800"/>
        <w:gridCol w:w="7906"/>
      </w:tblGrid>
      <w:tr w:rsidR="00EB0B6B" w14:paraId="56B64DE9" w14:textId="77777777">
        <w:trPr>
          <w:cantSplit/>
          <w:tblHeader/>
          <w:jc w:val="center"/>
        </w:trPr>
        <w:tc>
          <w:tcPr>
            <w:tcW w:w="1800" w:type="dxa"/>
            <w:shd w:val="clear" w:color="auto" w:fill="16324F"/>
            <w:tcMar>
              <w:top w:w="100" w:type="dxa"/>
              <w:left w:w="110" w:type="dxa"/>
              <w:bottom w:w="100" w:type="dxa"/>
              <w:right w:w="110" w:type="dxa"/>
            </w:tcMar>
            <w:vAlign w:val="center"/>
          </w:tcPr>
          <w:p w14:paraId="7111C853" w14:textId="77777777" w:rsidR="00EB0B6B" w:rsidRDefault="00000000">
            <w:pPr>
              <w:spacing w:after="0" w:line="252" w:lineRule="auto"/>
            </w:pPr>
            <w:r>
              <w:rPr>
                <w:rFonts w:eastAsia="Arial" w:cs="Arial"/>
                <w:b/>
                <w:color w:val="FFFFFF"/>
                <w:sz w:val="20"/>
              </w:rPr>
              <w:t>TI phase</w:t>
            </w:r>
          </w:p>
        </w:tc>
        <w:tc>
          <w:tcPr>
            <w:tcW w:w="7906" w:type="dxa"/>
            <w:shd w:val="clear" w:color="auto" w:fill="16324F"/>
            <w:tcMar>
              <w:top w:w="100" w:type="dxa"/>
              <w:left w:w="110" w:type="dxa"/>
              <w:bottom w:w="100" w:type="dxa"/>
              <w:right w:w="110" w:type="dxa"/>
            </w:tcMar>
            <w:vAlign w:val="center"/>
          </w:tcPr>
          <w:p w14:paraId="523F052C" w14:textId="77777777" w:rsidR="00EB0B6B" w:rsidRDefault="00000000">
            <w:pPr>
              <w:spacing w:after="0" w:line="252" w:lineRule="auto"/>
            </w:pPr>
            <w:r>
              <w:rPr>
                <w:rFonts w:eastAsia="Arial" w:cs="Arial"/>
                <w:b/>
                <w:color w:val="FFFFFF"/>
                <w:sz w:val="20"/>
              </w:rPr>
              <w:t>Recommended use in a production process</w:t>
            </w:r>
          </w:p>
        </w:tc>
      </w:tr>
      <w:tr w:rsidR="00EB0B6B" w14:paraId="4BF8BFBB" w14:textId="77777777">
        <w:trPr>
          <w:cantSplit/>
          <w:jc w:val="center"/>
        </w:trPr>
        <w:tc>
          <w:tcPr>
            <w:tcW w:w="1800" w:type="dxa"/>
            <w:tcMar>
              <w:top w:w="85" w:type="dxa"/>
              <w:left w:w="110" w:type="dxa"/>
              <w:bottom w:w="85" w:type="dxa"/>
              <w:right w:w="110" w:type="dxa"/>
            </w:tcMar>
            <w:vAlign w:val="center"/>
          </w:tcPr>
          <w:p w14:paraId="2AD7D730" w14:textId="77777777" w:rsidR="00EB0B6B" w:rsidRDefault="00000000">
            <w:pPr>
              <w:spacing w:after="0" w:line="252" w:lineRule="auto"/>
            </w:pPr>
            <w:r>
              <w:rPr>
                <w:rFonts w:eastAsia="Arial" w:cs="Arial"/>
                <w:b/>
                <w:color w:val="16324F"/>
                <w:sz w:val="20"/>
              </w:rPr>
              <w:t>Prolog</w:t>
            </w:r>
          </w:p>
        </w:tc>
        <w:tc>
          <w:tcPr>
            <w:tcW w:w="7906" w:type="dxa"/>
            <w:tcMar>
              <w:top w:w="85" w:type="dxa"/>
              <w:left w:w="110" w:type="dxa"/>
              <w:bottom w:w="85" w:type="dxa"/>
              <w:right w:w="110" w:type="dxa"/>
            </w:tcMar>
            <w:vAlign w:val="center"/>
          </w:tcPr>
          <w:p w14:paraId="3567035C" w14:textId="77777777" w:rsidR="00EB0B6B" w:rsidRDefault="00000000">
            <w:pPr>
              <w:spacing w:after="0" w:line="252" w:lineRule="auto"/>
            </w:pPr>
            <w:r>
              <w:rPr>
                <w:rFonts w:eastAsia="Arial" w:cs="Arial"/>
                <w:sz w:val="20"/>
              </w:rPr>
              <w:t>Validate parameters and source availability; initialize run context and confirm permissions.</w:t>
            </w:r>
          </w:p>
        </w:tc>
      </w:tr>
      <w:tr w:rsidR="00EB0B6B" w14:paraId="3D8915B6" w14:textId="77777777">
        <w:trPr>
          <w:cantSplit/>
          <w:jc w:val="center"/>
        </w:trPr>
        <w:tc>
          <w:tcPr>
            <w:tcW w:w="1800" w:type="dxa"/>
            <w:tcMar>
              <w:top w:w="85" w:type="dxa"/>
              <w:left w:w="110" w:type="dxa"/>
              <w:bottom w:w="85" w:type="dxa"/>
              <w:right w:w="110" w:type="dxa"/>
            </w:tcMar>
            <w:vAlign w:val="center"/>
          </w:tcPr>
          <w:p w14:paraId="20E04493" w14:textId="77777777" w:rsidR="00EB0B6B" w:rsidRDefault="00000000">
            <w:pPr>
              <w:spacing w:after="0" w:line="252" w:lineRule="auto"/>
            </w:pPr>
            <w:r>
              <w:rPr>
                <w:rFonts w:eastAsia="Arial" w:cs="Arial"/>
                <w:b/>
                <w:color w:val="16324F"/>
                <w:sz w:val="20"/>
              </w:rPr>
              <w:t>Metadata</w:t>
            </w:r>
          </w:p>
        </w:tc>
        <w:tc>
          <w:tcPr>
            <w:tcW w:w="7906" w:type="dxa"/>
            <w:tcMar>
              <w:top w:w="85" w:type="dxa"/>
              <w:left w:w="110" w:type="dxa"/>
              <w:bottom w:w="85" w:type="dxa"/>
              <w:right w:w="110" w:type="dxa"/>
            </w:tcMar>
            <w:vAlign w:val="center"/>
          </w:tcPr>
          <w:p w14:paraId="56B3747F" w14:textId="77777777" w:rsidR="00EB0B6B" w:rsidRDefault="00000000">
            <w:pPr>
              <w:spacing w:after="0" w:line="252" w:lineRule="auto"/>
            </w:pPr>
            <w:r>
              <w:rPr>
                <w:rFonts w:eastAsia="Arial" w:cs="Arial"/>
                <w:sz w:val="20"/>
              </w:rPr>
              <w:t>Create or update required dimensions / members according to approved mapping rules.</w:t>
            </w:r>
          </w:p>
        </w:tc>
      </w:tr>
      <w:tr w:rsidR="00EB0B6B" w14:paraId="702D7410" w14:textId="77777777">
        <w:trPr>
          <w:cantSplit/>
          <w:jc w:val="center"/>
        </w:trPr>
        <w:tc>
          <w:tcPr>
            <w:tcW w:w="1800" w:type="dxa"/>
            <w:tcMar>
              <w:top w:w="85" w:type="dxa"/>
              <w:left w:w="110" w:type="dxa"/>
              <w:bottom w:w="85" w:type="dxa"/>
              <w:right w:w="110" w:type="dxa"/>
            </w:tcMar>
            <w:vAlign w:val="center"/>
          </w:tcPr>
          <w:p w14:paraId="4F12BE55" w14:textId="77777777" w:rsidR="00EB0B6B" w:rsidRDefault="00000000">
            <w:pPr>
              <w:spacing w:after="0" w:line="252" w:lineRule="auto"/>
            </w:pPr>
            <w:r>
              <w:rPr>
                <w:rFonts w:eastAsia="Arial" w:cs="Arial"/>
                <w:b/>
                <w:color w:val="16324F"/>
                <w:sz w:val="20"/>
              </w:rPr>
              <w:t>Data</w:t>
            </w:r>
          </w:p>
        </w:tc>
        <w:tc>
          <w:tcPr>
            <w:tcW w:w="7906" w:type="dxa"/>
            <w:tcMar>
              <w:top w:w="85" w:type="dxa"/>
              <w:left w:w="110" w:type="dxa"/>
              <w:bottom w:w="85" w:type="dxa"/>
              <w:right w:w="110" w:type="dxa"/>
            </w:tcMar>
            <w:vAlign w:val="center"/>
          </w:tcPr>
          <w:p w14:paraId="1D1CAD34" w14:textId="77777777" w:rsidR="00EB0B6B" w:rsidRDefault="00000000">
            <w:pPr>
              <w:spacing w:after="0" w:line="252" w:lineRule="auto"/>
            </w:pPr>
            <w:r>
              <w:rPr>
                <w:rFonts w:eastAsia="Arial" w:cs="Arial"/>
                <w:sz w:val="20"/>
              </w:rPr>
              <w:t>Transform and load each record, using explicit reject rules and documented write semantics.</w:t>
            </w:r>
          </w:p>
        </w:tc>
      </w:tr>
      <w:tr w:rsidR="00EB0B6B" w14:paraId="4CFA3DF7" w14:textId="77777777">
        <w:trPr>
          <w:cantSplit/>
          <w:jc w:val="center"/>
        </w:trPr>
        <w:tc>
          <w:tcPr>
            <w:tcW w:w="1800" w:type="dxa"/>
            <w:tcMar>
              <w:top w:w="85" w:type="dxa"/>
              <w:left w:w="110" w:type="dxa"/>
              <w:bottom w:w="85" w:type="dxa"/>
              <w:right w:w="110" w:type="dxa"/>
            </w:tcMar>
            <w:vAlign w:val="center"/>
          </w:tcPr>
          <w:p w14:paraId="1ACA714B" w14:textId="77777777" w:rsidR="00EB0B6B" w:rsidRDefault="00000000">
            <w:pPr>
              <w:spacing w:after="0" w:line="252" w:lineRule="auto"/>
            </w:pPr>
            <w:r>
              <w:rPr>
                <w:rFonts w:eastAsia="Arial" w:cs="Arial"/>
                <w:b/>
                <w:color w:val="16324F"/>
                <w:sz w:val="20"/>
              </w:rPr>
              <w:t>Epilog</w:t>
            </w:r>
          </w:p>
        </w:tc>
        <w:tc>
          <w:tcPr>
            <w:tcW w:w="7906" w:type="dxa"/>
            <w:tcMar>
              <w:top w:w="85" w:type="dxa"/>
              <w:left w:w="110" w:type="dxa"/>
              <w:bottom w:w="85" w:type="dxa"/>
              <w:right w:w="110" w:type="dxa"/>
            </w:tcMar>
            <w:vAlign w:val="center"/>
          </w:tcPr>
          <w:p w14:paraId="6368F7E0" w14:textId="77777777" w:rsidR="00EB0B6B" w:rsidRDefault="00000000">
            <w:pPr>
              <w:spacing w:after="0" w:line="252" w:lineRule="auto"/>
            </w:pPr>
            <w:r>
              <w:rPr>
                <w:rFonts w:eastAsia="Arial" w:cs="Arial"/>
                <w:sz w:val="20"/>
              </w:rPr>
              <w:t>Record completion, reconciliation results and follow-on actions appropriate to the actual outcome.</w:t>
            </w:r>
          </w:p>
        </w:tc>
      </w:tr>
    </w:tbl>
    <w:p w14:paraId="372814A8" w14:textId="77777777" w:rsidR="00EB0B6B" w:rsidRDefault="00EB0B6B">
      <w:pPr>
        <w:spacing w:after="0" w:line="120" w:lineRule="auto"/>
      </w:pPr>
    </w:p>
    <w:p w14:paraId="17AD4867" w14:textId="77777777" w:rsidR="00EB0B6B" w:rsidRDefault="00000000">
      <w:pPr>
        <w:pStyle w:val="Heading2"/>
      </w:pPr>
      <w:r>
        <w:rPr>
          <w:rFonts w:ascii="Arial" w:eastAsia="Arial" w:hAnsi="Arial" w:cs="Arial"/>
        </w:rPr>
        <w:t>Recommended load contract</w:t>
      </w:r>
    </w:p>
    <w:p w14:paraId="6DBF42F3" w14:textId="77777777" w:rsidR="00EB0B6B" w:rsidRDefault="00000000">
      <w:r>
        <w:rPr>
          <w:rFonts w:eastAsia="Arial" w:cs="Arial"/>
        </w:rPr>
        <w:t>For each source, document the owner, frequency, input schema, extraction boundary, mapping, timezone, expected volumes, credentials, data retention and recovery behavior. Define whether a reload replaces a slice or adds transactions; a rerun must not silently double-count. Preserve enough run information to diagnose a failure without logging secrets.</w:t>
      </w:r>
    </w:p>
    <w:p w14:paraId="5D785292" w14:textId="77777777" w:rsidR="00EB0B6B" w:rsidRDefault="00000000">
      <w:pPr>
        <w:pStyle w:val="Heading2"/>
      </w:pPr>
      <w:r>
        <w:rPr>
          <w:rFonts w:ascii="Arial" w:eastAsia="Arial" w:hAnsi="Arial" w:cs="Arial"/>
        </w:rPr>
        <w:t>Data connectivity differs by offering</w:t>
      </w:r>
    </w:p>
    <w:p w14:paraId="6C049343" w14:textId="77777777" w:rsidR="00EB0B6B" w:rsidRDefault="00000000">
      <w:r>
        <w:rPr>
          <w:rFonts w:eastAsia="Arial" w:cs="Arial"/>
        </w:rPr>
        <w:t>A Local process may rely on drivers and network routes on a customer-managed host. Dedicated on Cloud uses its approved cloud connectivity arrangements. SaaS has an offering-specific ODBC connector and data-connection model. Match the procedure to the offering and current connector documentation.</w:t>
      </w:r>
      <w:r>
        <w:rPr>
          <w:rFonts w:eastAsia="Arial" w:cs="Arial"/>
          <w:color w:val="596C7B"/>
          <w:sz w:val="18"/>
        </w:rPr>
        <w:t xml:space="preserve">  </w:t>
      </w:r>
      <w:hyperlink w:anchor="ref_15" w:history="1">
        <w:r>
          <w:rPr>
            <w:color w:val="145EA8"/>
            <w:sz w:val="18"/>
            <w:szCs w:val="18"/>
          </w:rPr>
          <w:t>[R15]</w:t>
        </w:r>
      </w:hyperlink>
      <w:r>
        <w:rPr>
          <w:rFonts w:eastAsia="Arial" w:cs="Arial"/>
          <w:color w:val="596C7B"/>
          <w:sz w:val="18"/>
        </w:rPr>
        <w:t xml:space="preserve"> </w:t>
      </w:r>
      <w:hyperlink w:anchor="ref_14" w:history="1">
        <w:r>
          <w:rPr>
            <w:color w:val="145EA8"/>
            <w:sz w:val="18"/>
            <w:szCs w:val="18"/>
          </w:rPr>
          <w:t>[R14]</w:t>
        </w:r>
      </w:hyperlink>
      <w:r>
        <w:rPr>
          <w:rFonts w:eastAsia="Arial" w:cs="Arial"/>
          <w:color w:val="596C7B"/>
          <w:sz w:val="18"/>
        </w:rPr>
        <w:t xml:space="preserve"> </w:t>
      </w:r>
      <w:hyperlink w:anchor="ref_16" w:history="1">
        <w:r>
          <w:rPr>
            <w:color w:val="145EA8"/>
            <w:sz w:val="18"/>
            <w:szCs w:val="18"/>
          </w:rPr>
          <w:t>[R16]</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448"/>
        <w:gridCol w:w="7258"/>
      </w:tblGrid>
      <w:tr w:rsidR="00EB0B6B" w14:paraId="04C882AC" w14:textId="77777777">
        <w:trPr>
          <w:cantSplit/>
          <w:tblHeader/>
          <w:jc w:val="center"/>
        </w:trPr>
        <w:tc>
          <w:tcPr>
            <w:tcW w:w="2448" w:type="dxa"/>
            <w:shd w:val="clear" w:color="auto" w:fill="16324F"/>
            <w:tcMar>
              <w:top w:w="100" w:type="dxa"/>
              <w:left w:w="110" w:type="dxa"/>
              <w:bottom w:w="100" w:type="dxa"/>
              <w:right w:w="110" w:type="dxa"/>
            </w:tcMar>
            <w:vAlign w:val="center"/>
          </w:tcPr>
          <w:p w14:paraId="06926495" w14:textId="77777777" w:rsidR="00EB0B6B" w:rsidRDefault="00000000">
            <w:pPr>
              <w:spacing w:after="0" w:line="252" w:lineRule="auto"/>
            </w:pPr>
            <w:r>
              <w:rPr>
                <w:rFonts w:eastAsia="Arial" w:cs="Arial"/>
                <w:b/>
                <w:color w:val="FFFFFF"/>
                <w:sz w:val="20"/>
              </w:rPr>
              <w:t>Validation point</w:t>
            </w:r>
          </w:p>
        </w:tc>
        <w:tc>
          <w:tcPr>
            <w:tcW w:w="7258" w:type="dxa"/>
            <w:shd w:val="clear" w:color="auto" w:fill="16324F"/>
            <w:tcMar>
              <w:top w:w="100" w:type="dxa"/>
              <w:left w:w="110" w:type="dxa"/>
              <w:bottom w:w="100" w:type="dxa"/>
              <w:right w:w="110" w:type="dxa"/>
            </w:tcMar>
            <w:vAlign w:val="center"/>
          </w:tcPr>
          <w:p w14:paraId="392969B1" w14:textId="77777777" w:rsidR="00EB0B6B" w:rsidRDefault="00000000">
            <w:pPr>
              <w:spacing w:after="0" w:line="252" w:lineRule="auto"/>
            </w:pPr>
            <w:r>
              <w:rPr>
                <w:rFonts w:eastAsia="Arial" w:cs="Arial"/>
                <w:b/>
                <w:color w:val="FFFFFF"/>
                <w:sz w:val="20"/>
              </w:rPr>
              <w:t>Suggested evidence</w:t>
            </w:r>
          </w:p>
        </w:tc>
      </w:tr>
      <w:tr w:rsidR="00EB0B6B" w14:paraId="15F19E9D" w14:textId="77777777">
        <w:trPr>
          <w:cantSplit/>
          <w:jc w:val="center"/>
        </w:trPr>
        <w:tc>
          <w:tcPr>
            <w:tcW w:w="2448" w:type="dxa"/>
            <w:tcMar>
              <w:top w:w="85" w:type="dxa"/>
              <w:left w:w="110" w:type="dxa"/>
              <w:bottom w:w="85" w:type="dxa"/>
              <w:right w:w="110" w:type="dxa"/>
            </w:tcMar>
            <w:vAlign w:val="center"/>
          </w:tcPr>
          <w:p w14:paraId="1B49AC05" w14:textId="77777777" w:rsidR="00EB0B6B" w:rsidRDefault="00000000">
            <w:pPr>
              <w:spacing w:after="0" w:line="252" w:lineRule="auto"/>
            </w:pPr>
            <w:r>
              <w:rPr>
                <w:rFonts w:eastAsia="Arial" w:cs="Arial"/>
                <w:b/>
                <w:color w:val="16324F"/>
                <w:sz w:val="20"/>
              </w:rPr>
              <w:t>Completeness</w:t>
            </w:r>
          </w:p>
        </w:tc>
        <w:tc>
          <w:tcPr>
            <w:tcW w:w="7258" w:type="dxa"/>
            <w:tcMar>
              <w:top w:w="85" w:type="dxa"/>
              <w:left w:w="110" w:type="dxa"/>
              <w:bottom w:w="85" w:type="dxa"/>
              <w:right w:w="110" w:type="dxa"/>
            </w:tcMar>
            <w:vAlign w:val="center"/>
          </w:tcPr>
          <w:p w14:paraId="745903BF" w14:textId="77777777" w:rsidR="00EB0B6B" w:rsidRDefault="00000000">
            <w:pPr>
              <w:spacing w:after="0" w:line="252" w:lineRule="auto"/>
            </w:pPr>
            <w:r>
              <w:rPr>
                <w:rFonts w:eastAsia="Arial" w:cs="Arial"/>
                <w:sz w:val="20"/>
              </w:rPr>
              <w:t>Source rows, accepted rows and rejected rows are accounted for.</w:t>
            </w:r>
          </w:p>
        </w:tc>
      </w:tr>
      <w:tr w:rsidR="00EB0B6B" w14:paraId="7BE2EDB4" w14:textId="77777777">
        <w:trPr>
          <w:cantSplit/>
          <w:jc w:val="center"/>
        </w:trPr>
        <w:tc>
          <w:tcPr>
            <w:tcW w:w="2448" w:type="dxa"/>
            <w:tcMar>
              <w:top w:w="85" w:type="dxa"/>
              <w:left w:w="110" w:type="dxa"/>
              <w:bottom w:w="85" w:type="dxa"/>
              <w:right w:w="110" w:type="dxa"/>
            </w:tcMar>
            <w:vAlign w:val="center"/>
          </w:tcPr>
          <w:p w14:paraId="715EB9FC" w14:textId="77777777" w:rsidR="00EB0B6B" w:rsidRDefault="00000000">
            <w:pPr>
              <w:spacing w:after="0" w:line="252" w:lineRule="auto"/>
            </w:pPr>
            <w:r>
              <w:rPr>
                <w:rFonts w:eastAsia="Arial" w:cs="Arial"/>
                <w:b/>
                <w:color w:val="16324F"/>
                <w:sz w:val="20"/>
              </w:rPr>
              <w:t>Financial / operational balance</w:t>
            </w:r>
          </w:p>
        </w:tc>
        <w:tc>
          <w:tcPr>
            <w:tcW w:w="7258" w:type="dxa"/>
            <w:tcMar>
              <w:top w:w="85" w:type="dxa"/>
              <w:left w:w="110" w:type="dxa"/>
              <w:bottom w:w="85" w:type="dxa"/>
              <w:right w:w="110" w:type="dxa"/>
            </w:tcMar>
            <w:vAlign w:val="center"/>
          </w:tcPr>
          <w:p w14:paraId="5A11E74A" w14:textId="77777777" w:rsidR="00EB0B6B" w:rsidRDefault="00000000">
            <w:pPr>
              <w:spacing w:after="0" w:line="252" w:lineRule="auto"/>
            </w:pPr>
            <w:r>
              <w:rPr>
                <w:rFonts w:eastAsia="Arial" w:cs="Arial"/>
                <w:sz w:val="20"/>
              </w:rPr>
              <w:t>Control totals reconcile at agreed business grain.</w:t>
            </w:r>
          </w:p>
        </w:tc>
      </w:tr>
      <w:tr w:rsidR="00EB0B6B" w14:paraId="5A4FFE9E" w14:textId="77777777">
        <w:trPr>
          <w:cantSplit/>
          <w:jc w:val="center"/>
        </w:trPr>
        <w:tc>
          <w:tcPr>
            <w:tcW w:w="2448" w:type="dxa"/>
            <w:tcMar>
              <w:top w:w="85" w:type="dxa"/>
              <w:left w:w="110" w:type="dxa"/>
              <w:bottom w:w="85" w:type="dxa"/>
              <w:right w:w="110" w:type="dxa"/>
            </w:tcMar>
            <w:vAlign w:val="center"/>
          </w:tcPr>
          <w:p w14:paraId="4BC5FAD7" w14:textId="77777777" w:rsidR="00EB0B6B" w:rsidRDefault="00000000">
            <w:pPr>
              <w:spacing w:after="0" w:line="252" w:lineRule="auto"/>
            </w:pPr>
            <w:r>
              <w:rPr>
                <w:rFonts w:eastAsia="Arial" w:cs="Arial"/>
                <w:b/>
                <w:color w:val="16324F"/>
                <w:sz w:val="20"/>
              </w:rPr>
              <w:t>Restartability</w:t>
            </w:r>
          </w:p>
        </w:tc>
        <w:tc>
          <w:tcPr>
            <w:tcW w:w="7258" w:type="dxa"/>
            <w:tcMar>
              <w:top w:w="85" w:type="dxa"/>
              <w:left w:w="110" w:type="dxa"/>
              <w:bottom w:w="85" w:type="dxa"/>
              <w:right w:w="110" w:type="dxa"/>
            </w:tcMar>
            <w:vAlign w:val="center"/>
          </w:tcPr>
          <w:p w14:paraId="0534EC0A" w14:textId="77777777" w:rsidR="00EB0B6B" w:rsidRDefault="00000000">
            <w:pPr>
              <w:spacing w:after="0" w:line="252" w:lineRule="auto"/>
            </w:pPr>
            <w:r>
              <w:rPr>
                <w:rFonts w:eastAsia="Arial" w:cs="Arial"/>
                <w:sz w:val="20"/>
              </w:rPr>
              <w:t>The same batch can be rerun without duplicate financial effect.</w:t>
            </w:r>
          </w:p>
        </w:tc>
      </w:tr>
      <w:tr w:rsidR="00EB0B6B" w14:paraId="1B53A11F" w14:textId="77777777">
        <w:trPr>
          <w:cantSplit/>
          <w:jc w:val="center"/>
        </w:trPr>
        <w:tc>
          <w:tcPr>
            <w:tcW w:w="2448" w:type="dxa"/>
            <w:tcMar>
              <w:top w:w="85" w:type="dxa"/>
              <w:left w:w="110" w:type="dxa"/>
              <w:bottom w:w="85" w:type="dxa"/>
              <w:right w:w="110" w:type="dxa"/>
            </w:tcMar>
            <w:vAlign w:val="center"/>
          </w:tcPr>
          <w:p w14:paraId="49E7DC13" w14:textId="77777777" w:rsidR="00EB0B6B" w:rsidRDefault="00000000">
            <w:pPr>
              <w:spacing w:after="0" w:line="252" w:lineRule="auto"/>
            </w:pPr>
            <w:r>
              <w:rPr>
                <w:rFonts w:eastAsia="Arial" w:cs="Arial"/>
                <w:b/>
                <w:color w:val="16324F"/>
                <w:sz w:val="20"/>
              </w:rPr>
              <w:t>Failure handling</w:t>
            </w:r>
          </w:p>
        </w:tc>
        <w:tc>
          <w:tcPr>
            <w:tcW w:w="7258" w:type="dxa"/>
            <w:tcMar>
              <w:top w:w="85" w:type="dxa"/>
              <w:left w:w="110" w:type="dxa"/>
              <w:bottom w:w="85" w:type="dxa"/>
              <w:right w:w="110" w:type="dxa"/>
            </w:tcMar>
            <w:vAlign w:val="center"/>
          </w:tcPr>
          <w:p w14:paraId="5EF29539" w14:textId="77777777" w:rsidR="00EB0B6B" w:rsidRDefault="00000000">
            <w:pPr>
              <w:spacing w:after="0" w:line="252" w:lineRule="auto"/>
            </w:pPr>
            <w:r>
              <w:rPr>
                <w:rFonts w:eastAsia="Arial" w:cs="Arial"/>
                <w:sz w:val="20"/>
              </w:rPr>
              <w:t>Operator receives the cause, run identifier and recovery action.</w:t>
            </w:r>
          </w:p>
        </w:tc>
      </w:tr>
    </w:tbl>
    <w:p w14:paraId="7258EDF0" w14:textId="77777777" w:rsidR="00EB0B6B" w:rsidRDefault="00EB0B6B">
      <w:pPr>
        <w:spacing w:after="0" w:line="120" w:lineRule="auto"/>
      </w:pPr>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28F821A8" w14:textId="77777777">
        <w:trPr>
          <w:cantSplit/>
          <w:jc w:val="center"/>
        </w:trPr>
        <w:tc>
          <w:tcPr>
            <w:tcW w:w="9706" w:type="dxa"/>
            <w:shd w:val="clear" w:color="auto" w:fill="EDF4FA"/>
            <w:tcMar>
              <w:top w:w="115" w:type="dxa"/>
              <w:left w:w="150" w:type="dxa"/>
              <w:bottom w:w="115" w:type="dxa"/>
              <w:right w:w="150" w:type="dxa"/>
            </w:tcMar>
          </w:tcPr>
          <w:p w14:paraId="58ACFB8F" w14:textId="77777777" w:rsidR="00EB0B6B" w:rsidRDefault="00000000">
            <w:pPr>
              <w:keepNext/>
              <w:spacing w:after="80"/>
            </w:pPr>
            <w:r>
              <w:rPr>
                <w:rFonts w:eastAsia="Arial" w:cs="Arial"/>
                <w:b/>
                <w:color w:val="145EA8"/>
                <w:sz w:val="19"/>
              </w:rPr>
              <w:t>SCHEDULE ONLY AFTER VALIDATION</w:t>
            </w:r>
          </w:p>
          <w:p w14:paraId="7F3B8206" w14:textId="77777777" w:rsidR="00EB0B6B" w:rsidRDefault="00000000">
            <w:pPr>
              <w:spacing w:after="0" w:line="254" w:lineRule="auto"/>
            </w:pPr>
            <w:r>
              <w:rPr>
                <w:rFonts w:eastAsia="Arial" w:cs="Arial"/>
                <w:sz w:val="20"/>
              </w:rPr>
              <w:t>Chores and external schedulers should execute a proven process chain. Include dependency ordering, business calendars and a controlled rerun procedure rather than simply scheduling every load at the same time.</w:t>
            </w:r>
          </w:p>
        </w:tc>
      </w:tr>
    </w:tbl>
    <w:p w14:paraId="522FFF13" w14:textId="77777777" w:rsidR="00EB0B6B" w:rsidRDefault="00EB0B6B">
      <w:pPr>
        <w:spacing w:after="0" w:line="120" w:lineRule="auto"/>
      </w:pPr>
    </w:p>
    <w:p w14:paraId="16595BF7" w14:textId="77777777" w:rsidR="00EB0B6B" w:rsidRDefault="00000000">
      <w:pPr>
        <w:pStyle w:val="Heading1"/>
        <w:pageBreakBefore/>
      </w:pPr>
      <w:bookmarkStart w:id="18" w:name="chapter_18"/>
      <w:r>
        <w:rPr>
          <w:rFonts w:ascii="Arial" w:eastAsia="Arial" w:hAnsi="Arial" w:cs="Arial"/>
        </w:rPr>
        <w:t>18. Books, plans, scenarios and Excel reporting</w:t>
      </w:r>
      <w:bookmarkEnd w:id="18"/>
    </w:p>
    <w:p w14:paraId="7D29C0F5" w14:textId="77777777" w:rsidR="00EB0B6B" w:rsidRDefault="00000000">
      <w:pPr>
        <w:keepNext/>
        <w:spacing w:after="240"/>
      </w:pPr>
      <w:r>
        <w:rPr>
          <w:rFonts w:eastAsia="Arial" w:cs="Arial"/>
          <w:color w:val="007D79"/>
          <w:sz w:val="20"/>
        </w:rPr>
        <w:t>Build a complete user journey, not a collection of disconnected views.</w:t>
      </w:r>
    </w:p>
    <w:p w14:paraId="45DC79FB" w14:textId="77777777" w:rsidR="00EB0B6B" w:rsidRDefault="00000000">
      <w:r>
        <w:rPr>
          <w:rFonts w:eastAsia="Arial" w:cs="Arial"/>
        </w:rPr>
        <w:t>Workspace supports books and visual analysis, model creation, and applications / plans that organize assets, contributors, dates and dependencies. PAfE provides the Excel experience against the same governed models. Design their roles together so the user understands where to analyze, enter, review and approve.</w:t>
      </w:r>
      <w:r>
        <w:rPr>
          <w:rFonts w:eastAsia="Arial" w:cs="Arial"/>
          <w:color w:val="596C7B"/>
          <w:sz w:val="18"/>
        </w:rPr>
        <w:t xml:space="preserve">  </w:t>
      </w:r>
      <w:hyperlink w:anchor="ref_82" w:history="1">
        <w:r>
          <w:rPr>
            <w:color w:val="145EA8"/>
            <w:sz w:val="18"/>
            <w:szCs w:val="18"/>
          </w:rPr>
          <w:t>[R82]</w:t>
        </w:r>
      </w:hyperlink>
      <w:r>
        <w:rPr>
          <w:rFonts w:eastAsia="Arial" w:cs="Arial"/>
          <w:color w:val="596C7B"/>
          <w:sz w:val="18"/>
        </w:rPr>
        <w:t xml:space="preserve"> </w:t>
      </w:r>
      <w:hyperlink w:anchor="ref_83" w:history="1">
        <w:r>
          <w:rPr>
            <w:color w:val="145EA8"/>
            <w:sz w:val="18"/>
            <w:szCs w:val="18"/>
          </w:rPr>
          <w:t>[R83]</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059"/>
        <w:gridCol w:w="4133"/>
        <w:gridCol w:w="3514"/>
      </w:tblGrid>
      <w:tr w:rsidR="00EB0B6B" w14:paraId="4BA7149F" w14:textId="77777777">
        <w:trPr>
          <w:cantSplit/>
          <w:tblHeader/>
          <w:jc w:val="center"/>
        </w:trPr>
        <w:tc>
          <w:tcPr>
            <w:tcW w:w="2059" w:type="dxa"/>
            <w:shd w:val="clear" w:color="auto" w:fill="16324F"/>
            <w:tcMar>
              <w:top w:w="100" w:type="dxa"/>
              <w:left w:w="110" w:type="dxa"/>
              <w:bottom w:w="100" w:type="dxa"/>
              <w:right w:w="110" w:type="dxa"/>
            </w:tcMar>
            <w:vAlign w:val="center"/>
          </w:tcPr>
          <w:p w14:paraId="36405924" w14:textId="77777777" w:rsidR="00EB0B6B" w:rsidRDefault="00000000">
            <w:pPr>
              <w:spacing w:after="0" w:line="252" w:lineRule="auto"/>
            </w:pPr>
            <w:r>
              <w:rPr>
                <w:rFonts w:eastAsia="Arial" w:cs="Arial"/>
                <w:b/>
                <w:color w:val="FFFFFF"/>
                <w:sz w:val="20"/>
              </w:rPr>
              <w:t>Experience</w:t>
            </w:r>
          </w:p>
        </w:tc>
        <w:tc>
          <w:tcPr>
            <w:tcW w:w="4133" w:type="dxa"/>
            <w:shd w:val="clear" w:color="auto" w:fill="16324F"/>
            <w:tcMar>
              <w:top w:w="100" w:type="dxa"/>
              <w:left w:w="110" w:type="dxa"/>
              <w:bottom w:w="100" w:type="dxa"/>
              <w:right w:w="110" w:type="dxa"/>
            </w:tcMar>
            <w:vAlign w:val="center"/>
          </w:tcPr>
          <w:p w14:paraId="5DA89471" w14:textId="77777777" w:rsidR="00EB0B6B" w:rsidRDefault="00000000">
            <w:pPr>
              <w:spacing w:after="0" w:line="252" w:lineRule="auto"/>
            </w:pPr>
            <w:r>
              <w:rPr>
                <w:rFonts w:eastAsia="Arial" w:cs="Arial"/>
                <w:b/>
                <w:color w:val="FFFFFF"/>
                <w:sz w:val="20"/>
              </w:rPr>
              <w:t>Recommended design choice</w:t>
            </w:r>
          </w:p>
        </w:tc>
        <w:tc>
          <w:tcPr>
            <w:tcW w:w="3514" w:type="dxa"/>
            <w:shd w:val="clear" w:color="auto" w:fill="16324F"/>
            <w:tcMar>
              <w:top w:w="100" w:type="dxa"/>
              <w:left w:w="110" w:type="dxa"/>
              <w:bottom w:w="100" w:type="dxa"/>
              <w:right w:w="110" w:type="dxa"/>
            </w:tcMar>
            <w:vAlign w:val="center"/>
          </w:tcPr>
          <w:p w14:paraId="27538F24" w14:textId="77777777" w:rsidR="00EB0B6B" w:rsidRDefault="00000000">
            <w:pPr>
              <w:spacing w:after="0" w:line="252" w:lineRule="auto"/>
            </w:pPr>
            <w:r>
              <w:rPr>
                <w:rFonts w:eastAsia="Arial" w:cs="Arial"/>
                <w:b/>
                <w:color w:val="FFFFFF"/>
                <w:sz w:val="20"/>
              </w:rPr>
              <w:t>User acceptance test</w:t>
            </w:r>
          </w:p>
        </w:tc>
      </w:tr>
      <w:tr w:rsidR="00EB0B6B" w14:paraId="4420AB47" w14:textId="77777777">
        <w:trPr>
          <w:cantSplit/>
          <w:jc w:val="center"/>
        </w:trPr>
        <w:tc>
          <w:tcPr>
            <w:tcW w:w="2059" w:type="dxa"/>
            <w:tcMar>
              <w:top w:w="85" w:type="dxa"/>
              <w:left w:w="110" w:type="dxa"/>
              <w:bottom w:w="85" w:type="dxa"/>
              <w:right w:w="110" w:type="dxa"/>
            </w:tcMar>
            <w:vAlign w:val="center"/>
          </w:tcPr>
          <w:p w14:paraId="63CEE89C" w14:textId="77777777" w:rsidR="00EB0B6B" w:rsidRDefault="00000000">
            <w:pPr>
              <w:spacing w:after="0" w:line="252" w:lineRule="auto"/>
            </w:pPr>
            <w:r>
              <w:rPr>
                <w:rFonts w:eastAsia="Arial" w:cs="Arial"/>
                <w:b/>
                <w:color w:val="16324F"/>
                <w:sz w:val="20"/>
              </w:rPr>
              <w:t>Books and dashboards</w:t>
            </w:r>
          </w:p>
        </w:tc>
        <w:tc>
          <w:tcPr>
            <w:tcW w:w="4133" w:type="dxa"/>
            <w:tcMar>
              <w:top w:w="85" w:type="dxa"/>
              <w:left w:w="110" w:type="dxa"/>
              <w:bottom w:w="85" w:type="dxa"/>
              <w:right w:w="110" w:type="dxa"/>
            </w:tcMar>
            <w:vAlign w:val="center"/>
          </w:tcPr>
          <w:p w14:paraId="13BE8224" w14:textId="77777777" w:rsidR="00EB0B6B" w:rsidRDefault="00000000">
            <w:pPr>
              <w:spacing w:after="0" w:line="252" w:lineRule="auto"/>
            </w:pPr>
            <w:r>
              <w:rPr>
                <w:rFonts w:eastAsia="Arial" w:cs="Arial"/>
                <w:sz w:val="20"/>
              </w:rPr>
              <w:t>Use clear navigation, context selectors, units and status labels.</w:t>
            </w:r>
          </w:p>
        </w:tc>
        <w:tc>
          <w:tcPr>
            <w:tcW w:w="3514" w:type="dxa"/>
            <w:tcMar>
              <w:top w:w="85" w:type="dxa"/>
              <w:left w:w="110" w:type="dxa"/>
              <w:bottom w:w="85" w:type="dxa"/>
              <w:right w:w="110" w:type="dxa"/>
            </w:tcMar>
            <w:vAlign w:val="center"/>
          </w:tcPr>
          <w:p w14:paraId="0E934DE9" w14:textId="77777777" w:rsidR="00EB0B6B" w:rsidRDefault="00000000">
            <w:pPr>
              <w:spacing w:after="0" w:line="252" w:lineRule="auto"/>
            </w:pPr>
            <w:r>
              <w:rPr>
                <w:rFonts w:eastAsia="Arial" w:cs="Arial"/>
                <w:sz w:val="20"/>
              </w:rPr>
              <w:t>User can explain the source and scope of a displayed number.</w:t>
            </w:r>
          </w:p>
        </w:tc>
      </w:tr>
      <w:tr w:rsidR="00EB0B6B" w14:paraId="2E1F7645" w14:textId="77777777">
        <w:trPr>
          <w:cantSplit/>
          <w:jc w:val="center"/>
        </w:trPr>
        <w:tc>
          <w:tcPr>
            <w:tcW w:w="2059" w:type="dxa"/>
            <w:tcMar>
              <w:top w:w="85" w:type="dxa"/>
              <w:left w:w="110" w:type="dxa"/>
              <w:bottom w:w="85" w:type="dxa"/>
              <w:right w:w="110" w:type="dxa"/>
            </w:tcMar>
            <w:vAlign w:val="center"/>
          </w:tcPr>
          <w:p w14:paraId="34578F25" w14:textId="77777777" w:rsidR="00EB0B6B" w:rsidRDefault="00000000">
            <w:pPr>
              <w:spacing w:after="0" w:line="252" w:lineRule="auto"/>
            </w:pPr>
            <w:r>
              <w:rPr>
                <w:rFonts w:eastAsia="Arial" w:cs="Arial"/>
                <w:b/>
                <w:color w:val="16324F"/>
                <w:sz w:val="20"/>
              </w:rPr>
              <w:t>Input views</w:t>
            </w:r>
          </w:p>
        </w:tc>
        <w:tc>
          <w:tcPr>
            <w:tcW w:w="4133" w:type="dxa"/>
            <w:tcMar>
              <w:top w:w="85" w:type="dxa"/>
              <w:left w:w="110" w:type="dxa"/>
              <w:bottom w:w="85" w:type="dxa"/>
              <w:right w:w="110" w:type="dxa"/>
            </w:tcMar>
            <w:vAlign w:val="center"/>
          </w:tcPr>
          <w:p w14:paraId="1E1B5BCE" w14:textId="77777777" w:rsidR="00EB0B6B" w:rsidRDefault="00000000">
            <w:pPr>
              <w:spacing w:after="0" w:line="252" w:lineRule="auto"/>
            </w:pPr>
            <w:r>
              <w:rPr>
                <w:rFonts w:eastAsia="Arial" w:cs="Arial"/>
                <w:sz w:val="20"/>
              </w:rPr>
              <w:t>Show editable assumptions separately from calculated results.</w:t>
            </w:r>
          </w:p>
        </w:tc>
        <w:tc>
          <w:tcPr>
            <w:tcW w:w="3514" w:type="dxa"/>
            <w:tcMar>
              <w:top w:w="85" w:type="dxa"/>
              <w:left w:w="110" w:type="dxa"/>
              <w:bottom w:w="85" w:type="dxa"/>
              <w:right w:w="110" w:type="dxa"/>
            </w:tcMar>
            <w:vAlign w:val="center"/>
          </w:tcPr>
          <w:p w14:paraId="1A9DADC1" w14:textId="77777777" w:rsidR="00EB0B6B" w:rsidRDefault="00000000">
            <w:pPr>
              <w:spacing w:after="0" w:line="252" w:lineRule="auto"/>
            </w:pPr>
            <w:r>
              <w:rPr>
                <w:rFonts w:eastAsia="Arial" w:cs="Arial"/>
                <w:sz w:val="20"/>
              </w:rPr>
              <w:t>Only intended cells are editable and all totals recalculate correctly.</w:t>
            </w:r>
          </w:p>
        </w:tc>
      </w:tr>
      <w:tr w:rsidR="00EB0B6B" w14:paraId="2A706E8A" w14:textId="77777777">
        <w:trPr>
          <w:cantSplit/>
          <w:jc w:val="center"/>
        </w:trPr>
        <w:tc>
          <w:tcPr>
            <w:tcW w:w="2059" w:type="dxa"/>
            <w:tcMar>
              <w:top w:w="85" w:type="dxa"/>
              <w:left w:w="110" w:type="dxa"/>
              <w:bottom w:w="85" w:type="dxa"/>
              <w:right w:w="110" w:type="dxa"/>
            </w:tcMar>
            <w:vAlign w:val="center"/>
          </w:tcPr>
          <w:p w14:paraId="0808EE8A" w14:textId="77777777" w:rsidR="00EB0B6B" w:rsidRDefault="00000000">
            <w:pPr>
              <w:spacing w:after="0" w:line="252" w:lineRule="auto"/>
            </w:pPr>
            <w:r>
              <w:rPr>
                <w:rFonts w:eastAsia="Arial" w:cs="Arial"/>
                <w:b/>
                <w:color w:val="16324F"/>
                <w:sz w:val="20"/>
              </w:rPr>
              <w:t>Applications / plans</w:t>
            </w:r>
          </w:p>
        </w:tc>
        <w:tc>
          <w:tcPr>
            <w:tcW w:w="4133" w:type="dxa"/>
            <w:tcMar>
              <w:top w:w="85" w:type="dxa"/>
              <w:left w:w="110" w:type="dxa"/>
              <w:bottom w:w="85" w:type="dxa"/>
              <w:right w:w="110" w:type="dxa"/>
            </w:tcMar>
            <w:vAlign w:val="center"/>
          </w:tcPr>
          <w:p w14:paraId="59B3E3D2" w14:textId="77777777" w:rsidR="00EB0B6B" w:rsidRDefault="00000000">
            <w:pPr>
              <w:spacing w:after="0" w:line="252" w:lineRule="auto"/>
            </w:pPr>
            <w:r>
              <w:rPr>
                <w:rFonts w:eastAsia="Arial" w:cs="Arial"/>
                <w:sz w:val="20"/>
              </w:rPr>
              <w:t>Assign contributors, reviewers, due dates and dependencies.</w:t>
            </w:r>
          </w:p>
        </w:tc>
        <w:tc>
          <w:tcPr>
            <w:tcW w:w="3514" w:type="dxa"/>
            <w:tcMar>
              <w:top w:w="85" w:type="dxa"/>
              <w:left w:w="110" w:type="dxa"/>
              <w:bottom w:w="85" w:type="dxa"/>
              <w:right w:w="110" w:type="dxa"/>
            </w:tcMar>
            <w:vAlign w:val="center"/>
          </w:tcPr>
          <w:p w14:paraId="6537D843" w14:textId="77777777" w:rsidR="00EB0B6B" w:rsidRDefault="00000000">
            <w:pPr>
              <w:spacing w:after="0" w:line="252" w:lineRule="auto"/>
            </w:pPr>
            <w:r>
              <w:rPr>
                <w:rFonts w:eastAsia="Arial" w:cs="Arial"/>
                <w:sz w:val="20"/>
              </w:rPr>
              <w:t>A complete submission and rejection / revision cycle works.</w:t>
            </w:r>
          </w:p>
        </w:tc>
      </w:tr>
      <w:tr w:rsidR="00EB0B6B" w14:paraId="3FD42FA8" w14:textId="77777777">
        <w:trPr>
          <w:cantSplit/>
          <w:jc w:val="center"/>
        </w:trPr>
        <w:tc>
          <w:tcPr>
            <w:tcW w:w="2059" w:type="dxa"/>
            <w:tcMar>
              <w:top w:w="85" w:type="dxa"/>
              <w:left w:w="110" w:type="dxa"/>
              <w:bottom w:w="85" w:type="dxa"/>
              <w:right w:w="110" w:type="dxa"/>
            </w:tcMar>
            <w:vAlign w:val="center"/>
          </w:tcPr>
          <w:p w14:paraId="364D62B3" w14:textId="77777777" w:rsidR="00EB0B6B" w:rsidRDefault="00000000">
            <w:pPr>
              <w:spacing w:after="0" w:line="252" w:lineRule="auto"/>
            </w:pPr>
            <w:r>
              <w:rPr>
                <w:rFonts w:eastAsia="Arial" w:cs="Arial"/>
                <w:b/>
                <w:color w:val="16324F"/>
                <w:sz w:val="20"/>
              </w:rPr>
              <w:t>Excel reports</w:t>
            </w:r>
          </w:p>
        </w:tc>
        <w:tc>
          <w:tcPr>
            <w:tcW w:w="4133" w:type="dxa"/>
            <w:tcMar>
              <w:top w:w="85" w:type="dxa"/>
              <w:left w:w="110" w:type="dxa"/>
              <w:bottom w:w="85" w:type="dxa"/>
              <w:right w:w="110" w:type="dxa"/>
            </w:tcMar>
            <w:vAlign w:val="center"/>
          </w:tcPr>
          <w:p w14:paraId="51D03A34" w14:textId="77777777" w:rsidR="00EB0B6B" w:rsidRDefault="00000000">
            <w:pPr>
              <w:spacing w:after="0" w:line="252" w:lineRule="auto"/>
            </w:pPr>
            <w:r>
              <w:rPr>
                <w:rFonts w:eastAsia="Arial" w:cs="Arial"/>
                <w:sz w:val="20"/>
              </w:rPr>
              <w:t>Use reusable layouts and supported formulas / report types.</w:t>
            </w:r>
          </w:p>
        </w:tc>
        <w:tc>
          <w:tcPr>
            <w:tcW w:w="3514" w:type="dxa"/>
            <w:tcMar>
              <w:top w:w="85" w:type="dxa"/>
              <w:left w:w="110" w:type="dxa"/>
              <w:bottom w:w="85" w:type="dxa"/>
              <w:right w:w="110" w:type="dxa"/>
            </w:tcMar>
            <w:vAlign w:val="center"/>
          </w:tcPr>
          <w:p w14:paraId="3C55BA2D" w14:textId="77777777" w:rsidR="00EB0B6B" w:rsidRDefault="00000000">
            <w:pPr>
              <w:spacing w:after="0" w:line="252" w:lineRule="auto"/>
            </w:pPr>
            <w:r>
              <w:rPr>
                <w:rFonts w:eastAsia="Arial" w:cs="Arial"/>
                <w:sz w:val="20"/>
              </w:rPr>
              <w:t>Refresh and reopen produce consistent results without manual repair.</w:t>
            </w:r>
          </w:p>
        </w:tc>
      </w:tr>
      <w:tr w:rsidR="00EB0B6B" w14:paraId="5B6179E5" w14:textId="77777777">
        <w:trPr>
          <w:cantSplit/>
          <w:jc w:val="center"/>
        </w:trPr>
        <w:tc>
          <w:tcPr>
            <w:tcW w:w="2059" w:type="dxa"/>
            <w:tcMar>
              <w:top w:w="85" w:type="dxa"/>
              <w:left w:w="110" w:type="dxa"/>
              <w:bottom w:w="85" w:type="dxa"/>
              <w:right w:w="110" w:type="dxa"/>
            </w:tcMar>
            <w:vAlign w:val="center"/>
          </w:tcPr>
          <w:p w14:paraId="4A351BAB" w14:textId="77777777" w:rsidR="00EB0B6B" w:rsidRDefault="00000000">
            <w:pPr>
              <w:spacing w:after="0" w:line="252" w:lineRule="auto"/>
            </w:pPr>
            <w:r>
              <w:rPr>
                <w:rFonts w:eastAsia="Arial" w:cs="Arial"/>
                <w:b/>
                <w:color w:val="16324F"/>
                <w:sz w:val="20"/>
              </w:rPr>
              <w:t>What-if analysis</w:t>
            </w:r>
          </w:p>
        </w:tc>
        <w:tc>
          <w:tcPr>
            <w:tcW w:w="4133" w:type="dxa"/>
            <w:tcMar>
              <w:top w:w="85" w:type="dxa"/>
              <w:left w:w="110" w:type="dxa"/>
              <w:bottom w:w="85" w:type="dxa"/>
              <w:right w:w="110" w:type="dxa"/>
            </w:tcMar>
            <w:vAlign w:val="center"/>
          </w:tcPr>
          <w:p w14:paraId="72734E94" w14:textId="77777777" w:rsidR="00EB0B6B" w:rsidRDefault="00000000">
            <w:pPr>
              <w:spacing w:after="0" w:line="252" w:lineRule="auto"/>
            </w:pPr>
            <w:r>
              <w:rPr>
                <w:rFonts w:eastAsia="Arial" w:cs="Arial"/>
                <w:sz w:val="20"/>
              </w:rPr>
              <w:t>Use private sandboxes or governed scenario versions as appropriate.</w:t>
            </w:r>
          </w:p>
        </w:tc>
        <w:tc>
          <w:tcPr>
            <w:tcW w:w="3514" w:type="dxa"/>
            <w:tcMar>
              <w:top w:w="85" w:type="dxa"/>
              <w:left w:w="110" w:type="dxa"/>
              <w:bottom w:w="85" w:type="dxa"/>
              <w:right w:w="110" w:type="dxa"/>
            </w:tcMar>
            <w:vAlign w:val="center"/>
          </w:tcPr>
          <w:p w14:paraId="4C9A6D57" w14:textId="77777777" w:rsidR="00EB0B6B" w:rsidRDefault="00000000">
            <w:pPr>
              <w:spacing w:after="0" w:line="252" w:lineRule="auto"/>
            </w:pPr>
            <w:r>
              <w:rPr>
                <w:rFonts w:eastAsia="Arial" w:cs="Arial"/>
                <w:sz w:val="20"/>
              </w:rPr>
              <w:t>User distinguishes a private experiment from an approved shared baseline.</w:t>
            </w:r>
          </w:p>
        </w:tc>
      </w:tr>
    </w:tbl>
    <w:p w14:paraId="458E377C" w14:textId="77777777" w:rsidR="00EB0B6B" w:rsidRDefault="00EB0B6B">
      <w:pPr>
        <w:spacing w:after="0" w:line="120" w:lineRule="auto"/>
      </w:pPr>
    </w:p>
    <w:p w14:paraId="7BF35C19" w14:textId="77777777" w:rsidR="00EB0B6B" w:rsidRDefault="00000000">
      <w:pPr>
        <w:pStyle w:val="Heading2"/>
      </w:pPr>
      <w:r>
        <w:rPr>
          <w:rFonts w:ascii="Arial" w:eastAsia="Arial" w:hAnsi="Arial" w:cs="Arial"/>
        </w:rPr>
        <w:t>Sandboxes are not automatically the approved plan</w:t>
      </w:r>
    </w:p>
    <w:p w14:paraId="422112EF" w14:textId="77777777" w:rsidR="00EB0B6B" w:rsidRDefault="00000000">
      <w:r>
        <w:rPr>
          <w:rFonts w:eastAsia="Arial" w:cs="Arial"/>
        </w:rPr>
        <w:t>IBM documents sandboxes as private places to experiment before committing changes to base data. The commit is a deliberate action. A sandbox should not be described as a replacement for approval controls, and its results should be labeled clearly when shared outside the planning interface.</w:t>
      </w:r>
      <w:r>
        <w:rPr>
          <w:rFonts w:eastAsia="Arial" w:cs="Arial"/>
          <w:color w:val="596C7B"/>
          <w:sz w:val="18"/>
        </w:rPr>
        <w:t xml:space="preserve">  </w:t>
      </w:r>
      <w:hyperlink w:anchor="ref_42" w:history="1">
        <w:r>
          <w:rPr>
            <w:color w:val="145EA8"/>
            <w:sz w:val="18"/>
            <w:szCs w:val="18"/>
          </w:rPr>
          <w:t>[R42]</w:t>
        </w:r>
      </w:hyperlink>
    </w:p>
    <w:p w14:paraId="09E02B60" w14:textId="77777777" w:rsidR="00EB0B6B" w:rsidRDefault="00000000">
      <w:pPr>
        <w:pStyle w:val="Heading2"/>
      </w:pPr>
      <w:r>
        <w:rPr>
          <w:rFonts w:ascii="Arial" w:eastAsia="Arial" w:hAnsi="Arial" w:cs="Arial"/>
        </w:rPr>
        <w:t>Suggested planning cycle</w:t>
      </w:r>
    </w:p>
    <w:p w14:paraId="77ECBF77" w14:textId="77777777" w:rsidR="00EB0B6B" w:rsidRDefault="00000000">
      <w:r>
        <w:rPr>
          <w:rFonts w:eastAsia="Arial" w:cs="Arial"/>
        </w:rPr>
        <w:t>Load and reconcile actuals; publish approved assumptions; open input tasks; collect contributor changes; review exceptions; revise and approve; freeze the agreed scenario; distribute the final view; archive the control evidence. Adapt the sequence to the business process and the supported workflow capabilities of the release.</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09EA419B" w14:textId="77777777">
        <w:trPr>
          <w:cantSplit/>
          <w:jc w:val="center"/>
        </w:trPr>
        <w:tc>
          <w:tcPr>
            <w:tcW w:w="9706" w:type="dxa"/>
            <w:shd w:val="clear" w:color="auto" w:fill="EAF5F2"/>
            <w:tcMar>
              <w:top w:w="115" w:type="dxa"/>
              <w:left w:w="150" w:type="dxa"/>
              <w:bottom w:w="115" w:type="dxa"/>
              <w:right w:w="150" w:type="dxa"/>
            </w:tcMar>
          </w:tcPr>
          <w:p w14:paraId="507A1DE8" w14:textId="77777777" w:rsidR="00EB0B6B" w:rsidRDefault="00000000">
            <w:pPr>
              <w:keepNext/>
              <w:spacing w:after="80"/>
            </w:pPr>
            <w:r>
              <w:rPr>
                <w:rFonts w:eastAsia="Arial" w:cs="Arial"/>
                <w:b/>
                <w:color w:val="007D79"/>
                <w:sz w:val="19"/>
              </w:rPr>
              <w:t>USABILITY CONTROL</w:t>
            </w:r>
          </w:p>
          <w:p w14:paraId="77DA39D9" w14:textId="77777777" w:rsidR="00EB0B6B" w:rsidRDefault="00000000">
            <w:pPr>
              <w:spacing w:after="0" w:line="254" w:lineRule="auto"/>
            </w:pPr>
            <w:r>
              <w:rPr>
                <w:rFonts w:eastAsia="Arial" w:cs="Arial"/>
                <w:sz w:val="20"/>
              </w:rPr>
              <w:t>Test with a first-time contributor, not only a modeler. Check navigation, accessible labels, locale formatting, error messages and the consequences of pressing a submit or action button.</w:t>
            </w:r>
          </w:p>
        </w:tc>
      </w:tr>
    </w:tbl>
    <w:p w14:paraId="7AE38FE0" w14:textId="77777777" w:rsidR="00EB0B6B" w:rsidRDefault="00EB0B6B">
      <w:pPr>
        <w:spacing w:after="0" w:line="120" w:lineRule="auto"/>
      </w:pPr>
    </w:p>
    <w:p w14:paraId="071389E7" w14:textId="77777777" w:rsidR="00EB0B6B" w:rsidRDefault="00000000">
      <w:pPr>
        <w:pStyle w:val="Heading1"/>
        <w:pageBreakBefore/>
      </w:pPr>
      <w:bookmarkStart w:id="19" w:name="chapter_19"/>
      <w:r>
        <w:rPr>
          <w:rFonts w:ascii="Arial" w:eastAsia="Arial" w:hAnsi="Arial" w:cs="Arial"/>
        </w:rPr>
        <w:t>19. REST APIs, automation and SAP</w:t>
      </w:r>
      <w:bookmarkEnd w:id="19"/>
    </w:p>
    <w:p w14:paraId="139E0A69" w14:textId="77777777" w:rsidR="00EB0B6B" w:rsidRDefault="00000000">
      <w:pPr>
        <w:keepNext/>
        <w:spacing w:after="240"/>
      </w:pPr>
      <w:r>
        <w:rPr>
          <w:rFonts w:eastAsia="Arial" w:cs="Arial"/>
          <w:color w:val="007D79"/>
          <w:sz w:val="20"/>
        </w:rPr>
        <w:t>Select authentication before writing the integration.</w:t>
      </w:r>
    </w:p>
    <w:p w14:paraId="3102070E" w14:textId="77777777" w:rsidR="00EB0B6B" w:rsidRDefault="00000000">
      <w:r>
        <w:rPr>
          <w:rFonts w:eastAsia="Arial" w:cs="Arial"/>
        </w:rPr>
        <w:t>TM1 REST exposes model entities and operations; its metadata describes objects such as cubes, dimensions, processes and configuration. Workspace APIs and TM1 database APIs are different interfaces. SaaS API-key workflows must not be replaced with a Local username / password example.</w:t>
      </w:r>
      <w:r>
        <w:rPr>
          <w:rFonts w:eastAsia="Arial" w:cs="Arial"/>
          <w:color w:val="596C7B"/>
          <w:sz w:val="18"/>
        </w:rPr>
        <w:t xml:space="preserve">  </w:t>
      </w:r>
      <w:hyperlink w:anchor="ref_36" w:history="1">
        <w:r>
          <w:rPr>
            <w:color w:val="145EA8"/>
            <w:sz w:val="18"/>
            <w:szCs w:val="18"/>
          </w:rPr>
          <w:t>[R36]</w:t>
        </w:r>
      </w:hyperlink>
      <w:r>
        <w:rPr>
          <w:rFonts w:eastAsia="Arial" w:cs="Arial"/>
          <w:color w:val="596C7B"/>
          <w:sz w:val="18"/>
        </w:rPr>
        <w:t xml:space="preserve"> </w:t>
      </w:r>
      <w:hyperlink w:anchor="ref_37" w:history="1">
        <w:r>
          <w:rPr>
            <w:color w:val="145EA8"/>
            <w:sz w:val="18"/>
            <w:szCs w:val="18"/>
          </w:rPr>
          <w:t>[R37]</w:t>
        </w:r>
      </w:hyperlink>
      <w:r>
        <w:rPr>
          <w:rFonts w:eastAsia="Arial" w:cs="Arial"/>
          <w:color w:val="596C7B"/>
          <w:sz w:val="18"/>
        </w:rPr>
        <w:t xml:space="preserve"> </w:t>
      </w:r>
      <w:hyperlink w:anchor="ref_39" w:history="1">
        <w:r>
          <w:rPr>
            <w:color w:val="145EA8"/>
            <w:sz w:val="18"/>
            <w:szCs w:val="18"/>
          </w:rPr>
          <w:t>[R39]</w:t>
        </w:r>
      </w:hyperlink>
      <w:r>
        <w:rPr>
          <w:rFonts w:eastAsia="Arial" w:cs="Arial"/>
          <w:color w:val="596C7B"/>
          <w:sz w:val="18"/>
        </w:rPr>
        <w:t xml:space="preserve"> </w:t>
      </w:r>
      <w:hyperlink w:anchor="ref_57" w:history="1">
        <w:r>
          <w:rPr>
            <w:color w:val="145EA8"/>
            <w:sz w:val="18"/>
            <w:szCs w:val="18"/>
          </w:rPr>
          <w:t>[R57]</w:t>
        </w:r>
      </w:hyperlink>
    </w:p>
    <w:p w14:paraId="35D584AB" w14:textId="77777777" w:rsidR="00EB0B6B" w:rsidRDefault="00000000">
      <w:pPr>
        <w:pStyle w:val="Heading2"/>
      </w:pPr>
      <w:r>
        <w:rPr>
          <w:rFonts w:ascii="Arial" w:eastAsia="Arial" w:hAnsi="Arial" w:cs="Arial"/>
        </w:rPr>
        <w:t>Read-only Local connectivity example</w:t>
      </w:r>
    </w:p>
    <w:p w14:paraId="5B4F7321" w14:textId="77777777" w:rsidR="00EB0B6B" w:rsidRDefault="00000000">
      <w:r>
        <w:rPr>
          <w:rFonts w:eastAsia="Arial" w:cs="Arial"/>
        </w:rPr>
        <w:t>Illustrative Bash commands for a Local TM1 endpoint where native Basic authentication is explicitly enabled and approved. They are not a Cognos or SaaS authentication recipe. curl prompts for the password rather than embedding it in shell history.</w:t>
      </w:r>
    </w:p>
    <w:tbl>
      <w:tblPr>
        <w:tblW w:w="0" w:type="auto"/>
        <w:jc w:val="center"/>
        <w:tblBorders>
          <w:top w:val="single" w:sz="4" w:space="0" w:color="E0E7ED"/>
          <w:left w:val="single" w:sz="4" w:space="0" w:color="E0E7ED"/>
          <w:bottom w:val="single" w:sz="4" w:space="0" w:color="E0E7ED"/>
          <w:right w:val="single" w:sz="4" w:space="0" w:color="E0E7ED"/>
          <w:insideH w:val="single" w:sz="4" w:space="0" w:color="E0E7ED"/>
          <w:insideV w:val="single" w:sz="4" w:space="0" w:color="E0E7ED"/>
        </w:tblBorders>
        <w:tblLayout w:type="fixed"/>
        <w:tblLook w:val="04A0" w:firstRow="1" w:lastRow="0" w:firstColumn="1" w:lastColumn="0" w:noHBand="0" w:noVBand="1"/>
      </w:tblPr>
      <w:tblGrid>
        <w:gridCol w:w="9706"/>
      </w:tblGrid>
      <w:tr w:rsidR="00EB0B6B" w14:paraId="3CE50B7B" w14:textId="77777777">
        <w:trPr>
          <w:cantSplit/>
          <w:jc w:val="center"/>
        </w:trPr>
        <w:tc>
          <w:tcPr>
            <w:tcW w:w="9706" w:type="dxa"/>
            <w:shd w:val="clear" w:color="auto" w:fill="F3F6F8"/>
            <w:tcMar>
              <w:top w:w="105" w:type="dxa"/>
              <w:left w:w="145" w:type="dxa"/>
              <w:bottom w:w="105" w:type="dxa"/>
              <w:right w:w="145" w:type="dxa"/>
            </w:tcMar>
          </w:tcPr>
          <w:p w14:paraId="12009F1E" w14:textId="77777777" w:rsidR="00EB0B6B" w:rsidRDefault="00000000">
            <w:pPr>
              <w:spacing w:after="0" w:line="252" w:lineRule="auto"/>
            </w:pPr>
            <w:r>
              <w:rPr>
                <w:rFonts w:ascii="DejaVu Sans Mono" w:eastAsia="DejaVu Sans Mono" w:hAnsi="DejaVu Sans Mono" w:cs="DejaVu Sans Mono"/>
                <w:color w:val="16324F"/>
                <w:sz w:val="17"/>
              </w:rPr>
              <w:t>TM1_BASE="https://tm1.example.com:12354"</w:t>
            </w:r>
            <w:r>
              <w:rPr>
                <w:rFonts w:ascii="DejaVu Sans Mono" w:eastAsia="DejaVu Sans Mono" w:hAnsi="DejaVu Sans Mono" w:cs="DejaVu Sans Mono"/>
                <w:color w:val="16324F"/>
                <w:sz w:val="17"/>
              </w:rPr>
              <w:br/>
              <w:t>TM1_USER="your-authorized-user"</w:t>
            </w:r>
            <w:r>
              <w:rPr>
                <w:rFonts w:ascii="DejaVu Sans Mono" w:eastAsia="DejaVu Sans Mono" w:hAnsi="DejaVu Sans Mono" w:cs="DejaVu Sans Mono"/>
                <w:color w:val="16324F"/>
                <w:sz w:val="17"/>
              </w:rPr>
              <w:br/>
            </w:r>
            <w:r>
              <w:rPr>
                <w:rFonts w:ascii="DejaVu Sans Mono" w:eastAsia="DejaVu Sans Mono" w:hAnsi="DejaVu Sans Mono" w:cs="DejaVu Sans Mono"/>
                <w:color w:val="16324F"/>
                <w:sz w:val="17"/>
              </w:rPr>
              <w:br/>
              <w:t>curl --fail --show-error --user "$TM1_USER" \</w:t>
            </w:r>
            <w:r>
              <w:rPr>
                <w:rFonts w:ascii="DejaVu Sans Mono" w:eastAsia="DejaVu Sans Mono" w:hAnsi="DejaVu Sans Mono" w:cs="DejaVu Sans Mono"/>
                <w:color w:val="16324F"/>
                <w:sz w:val="17"/>
              </w:rPr>
              <w:br/>
              <w:t xml:space="preserve">  "$TM1_BASE/api/v1/\$metadata"</w:t>
            </w:r>
            <w:r>
              <w:rPr>
                <w:rFonts w:ascii="DejaVu Sans Mono" w:eastAsia="DejaVu Sans Mono" w:hAnsi="DejaVu Sans Mono" w:cs="DejaVu Sans Mono"/>
                <w:color w:val="16324F"/>
                <w:sz w:val="17"/>
              </w:rPr>
              <w:br/>
            </w:r>
            <w:r>
              <w:rPr>
                <w:rFonts w:ascii="DejaVu Sans Mono" w:eastAsia="DejaVu Sans Mono" w:hAnsi="DejaVu Sans Mono" w:cs="DejaVu Sans Mono"/>
                <w:color w:val="16324F"/>
                <w:sz w:val="17"/>
              </w:rPr>
              <w:br/>
              <w:t>curl --fail --show-error --user "$TM1_USER" \</w:t>
            </w:r>
            <w:r>
              <w:rPr>
                <w:rFonts w:ascii="DejaVu Sans Mono" w:eastAsia="DejaVu Sans Mono" w:hAnsi="DejaVu Sans Mono" w:cs="DejaVu Sans Mono"/>
                <w:color w:val="16324F"/>
                <w:sz w:val="17"/>
              </w:rPr>
              <w:br/>
              <w:t xml:space="preserve">  "$TM1_BASE/api/v1/Cubes?\$select=Name"</w:t>
            </w:r>
          </w:p>
        </w:tc>
      </w:tr>
    </w:tbl>
    <w:p w14:paraId="39F62F65" w14:textId="77777777" w:rsidR="00EB0B6B" w:rsidRDefault="00EB0B6B">
      <w:pPr>
        <w:spacing w:after="0" w:line="120" w:lineRule="auto"/>
      </w:pPr>
    </w:p>
    <w:p w14:paraId="34851AFF" w14:textId="77777777" w:rsidR="00EB0B6B" w:rsidRDefault="00000000">
      <w:r>
        <w:rPr>
          <w:rFonts w:eastAsia="Arial" w:cs="Arial"/>
        </w:rPr>
        <w:t>Use the trusted CA configuration appropriate to the environment. Do not add -k to bypass TLS checks. The hostname, account and port are illustrative; use an authorized test model first.</w:t>
      </w:r>
      <w:r>
        <w:rPr>
          <w:rFonts w:eastAsia="Arial" w:cs="Arial"/>
          <w:color w:val="596C7B"/>
          <w:sz w:val="18"/>
        </w:rPr>
        <w:t xml:space="preserve">  </w:t>
      </w:r>
      <w:hyperlink w:anchor="ref_38" w:history="1">
        <w:r>
          <w:rPr>
            <w:color w:val="145EA8"/>
            <w:sz w:val="18"/>
            <w:szCs w:val="18"/>
          </w:rPr>
          <w:t>[R38]</w:t>
        </w:r>
      </w:hyperlink>
    </w:p>
    <w:p w14:paraId="7169724A" w14:textId="77777777" w:rsidR="00EB0B6B" w:rsidRDefault="00000000">
      <w:pPr>
        <w:pStyle w:val="Heading2"/>
      </w:pPr>
      <w:r>
        <w:rPr>
          <w:rFonts w:ascii="Arial" w:eastAsia="Arial" w:hAnsi="Arial" w:cs="Arial"/>
        </w:rPr>
        <w:t>Recommended integration controls</w:t>
      </w:r>
    </w:p>
    <w:p w14:paraId="75526FEC" w14:textId="77777777" w:rsidR="00EB0B6B" w:rsidRDefault="00000000">
      <w:r>
        <w:rPr>
          <w:rFonts w:eastAsia="Arial" w:cs="Arial"/>
        </w:rPr>
        <w:t>Use least-privilege identities, protected secret storage, bounded retries, request identifiers, explicit timeout handling and reconciliation. Before automating writes or process execution, define duplicate-request behavior and partial-failure recovery. Log identifiers and outcomes, not passwords, API keys or complete sensitive payloads.</w:t>
      </w:r>
    </w:p>
    <w:p w14:paraId="769CB86D" w14:textId="77777777" w:rsidR="00EB0B6B" w:rsidRDefault="00000000">
      <w:pPr>
        <w:pStyle w:val="Heading2"/>
      </w:pPr>
      <w:r>
        <w:rPr>
          <w:rFonts w:ascii="Arial" w:eastAsia="Arial" w:hAnsi="Arial" w:cs="Arial"/>
        </w:rPr>
        <w:t>SAP connectivity</w:t>
      </w:r>
    </w:p>
    <w:p w14:paraId="755C2C00" w14:textId="77777777" w:rsidR="00EB0B6B" w:rsidRDefault="00000000">
      <w:r>
        <w:rPr>
          <w:rFonts w:eastAsia="Arial" w:cs="Arial"/>
        </w:rPr>
        <w:t>IBM describes its Planning Analytics Connector for SAP as supporting bidirectional exchange with SAP BW, S/4HANA and HANA Cloud through OData gateways. Use the connector manual and entitlement terms for the specific source and direction. This is not evidence that an arbitrary TI ODBC connection has identical SAP integration behavior.</w:t>
      </w:r>
      <w:r>
        <w:rPr>
          <w:rFonts w:eastAsia="Arial" w:cs="Arial"/>
          <w:color w:val="596C7B"/>
          <w:sz w:val="18"/>
        </w:rPr>
        <w:t xml:space="preserve">  </w:t>
      </w:r>
      <w:hyperlink w:anchor="ref_01" w:history="1">
        <w:r>
          <w:rPr>
            <w:color w:val="145EA8"/>
            <w:sz w:val="18"/>
            <w:szCs w:val="18"/>
          </w:rPr>
          <w:t>[R01]</w:t>
        </w:r>
      </w:hyperlink>
      <w:r>
        <w:rPr>
          <w:rFonts w:eastAsia="Arial" w:cs="Arial"/>
          <w:color w:val="596C7B"/>
          <w:sz w:val="18"/>
        </w:rPr>
        <w:t xml:space="preserve"> </w:t>
      </w:r>
      <w:hyperlink w:anchor="ref_85" w:history="1">
        <w:r>
          <w:rPr>
            <w:color w:val="145EA8"/>
            <w:sz w:val="18"/>
            <w:szCs w:val="18"/>
          </w:rPr>
          <w:t>[R85]</w:t>
        </w:r>
      </w:hyperlink>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1FDB0D94" w14:textId="77777777">
        <w:trPr>
          <w:cantSplit/>
          <w:jc w:val="center"/>
        </w:trPr>
        <w:tc>
          <w:tcPr>
            <w:tcW w:w="9706" w:type="dxa"/>
            <w:shd w:val="clear" w:color="auto" w:fill="EDF4FA"/>
            <w:tcMar>
              <w:top w:w="115" w:type="dxa"/>
              <w:left w:w="150" w:type="dxa"/>
              <w:bottom w:w="115" w:type="dxa"/>
              <w:right w:w="150" w:type="dxa"/>
            </w:tcMar>
          </w:tcPr>
          <w:p w14:paraId="6C10E652" w14:textId="77777777" w:rsidR="00EB0B6B" w:rsidRDefault="00000000">
            <w:pPr>
              <w:keepNext/>
              <w:spacing w:after="80"/>
            </w:pPr>
            <w:r>
              <w:rPr>
                <w:rFonts w:eastAsia="Arial" w:cs="Arial"/>
                <w:b/>
                <w:color w:val="145EA8"/>
                <w:sz w:val="19"/>
              </w:rPr>
              <w:t>API LIFECYCLE</w:t>
            </w:r>
          </w:p>
          <w:p w14:paraId="5F60CE66" w14:textId="77777777" w:rsidR="00EB0B6B" w:rsidRDefault="00000000">
            <w:pPr>
              <w:spacing w:after="0" w:line="254" w:lineRule="auto"/>
            </w:pPr>
            <w:r>
              <w:rPr>
                <w:rFonts w:eastAsia="Arial" w:cs="Arial"/>
                <w:sz w:val="20"/>
              </w:rPr>
              <w:t>Record which API surface, database generation and release each integration uses. Regression-test those dependencies before every platform upgrade.</w:t>
            </w:r>
          </w:p>
        </w:tc>
      </w:tr>
    </w:tbl>
    <w:p w14:paraId="31A4972C" w14:textId="77777777" w:rsidR="00EB0B6B" w:rsidRDefault="00EB0B6B">
      <w:pPr>
        <w:spacing w:after="0" w:line="120" w:lineRule="auto"/>
      </w:pPr>
    </w:p>
    <w:p w14:paraId="12483380" w14:textId="77777777" w:rsidR="00EB0B6B" w:rsidRDefault="00000000">
      <w:pPr>
        <w:pStyle w:val="Heading1"/>
        <w:pageBreakBefore/>
      </w:pPr>
      <w:bookmarkStart w:id="20" w:name="chapter_20"/>
      <w:r>
        <w:rPr>
          <w:rFonts w:ascii="Arial" w:eastAsia="Arial" w:hAnsi="Arial" w:cs="Arial"/>
        </w:rPr>
        <w:t>20. Security, identity and privacy readiness</w:t>
      </w:r>
      <w:bookmarkEnd w:id="20"/>
    </w:p>
    <w:p w14:paraId="76EC7809" w14:textId="77777777" w:rsidR="00EB0B6B" w:rsidRDefault="00000000">
      <w:pPr>
        <w:keepNext/>
        <w:spacing w:after="240"/>
      </w:pPr>
      <w:r>
        <w:rPr>
          <w:rFonts w:eastAsia="Arial" w:cs="Arial"/>
          <w:color w:val="007D79"/>
          <w:sz w:val="20"/>
        </w:rPr>
        <w:t>Authentication, application access and data authorization are separate controls.</w:t>
      </w:r>
    </w:p>
    <w:p w14:paraId="68C5D67F" w14:textId="77777777" w:rsidR="00EB0B6B" w:rsidRDefault="00000000">
      <w:r>
        <w:rPr>
          <w:rFonts w:eastAsia="Arial" w:cs="Arial"/>
        </w:rPr>
        <w:t>TM1 assigns object permissions to groups and users participate through group membership. Multiple group memberships can expand effective privileges. IBM also documents separate hierarchy security in applicable releases and a specific privilege controlling whether a TI process can modify security data.</w:t>
      </w:r>
      <w:r>
        <w:rPr>
          <w:rFonts w:eastAsia="Arial" w:cs="Arial"/>
          <w:color w:val="596C7B"/>
          <w:sz w:val="18"/>
        </w:rPr>
        <w:t xml:space="preserve">  </w:t>
      </w:r>
      <w:hyperlink w:anchor="ref_44" w:history="1">
        <w:r>
          <w:rPr>
            <w:color w:val="145EA8"/>
            <w:sz w:val="18"/>
            <w:szCs w:val="18"/>
          </w:rPr>
          <w:t>[R44]</w:t>
        </w:r>
      </w:hyperlink>
      <w:r>
        <w:rPr>
          <w:rFonts w:eastAsia="Arial" w:cs="Arial"/>
          <w:color w:val="596C7B"/>
          <w:sz w:val="18"/>
        </w:rPr>
        <w:t xml:space="preserve"> </w:t>
      </w:r>
      <w:hyperlink w:anchor="ref_43" w:history="1">
        <w:r>
          <w:rPr>
            <w:color w:val="145EA8"/>
            <w:sz w:val="18"/>
            <w:szCs w:val="18"/>
          </w:rPr>
          <w:t>[R43]</w:t>
        </w:r>
      </w:hyperlink>
      <w:r>
        <w:rPr>
          <w:rFonts w:eastAsia="Arial" w:cs="Arial"/>
          <w:color w:val="596C7B"/>
          <w:sz w:val="18"/>
        </w:rPr>
        <w:t xml:space="preserve"> </w:t>
      </w:r>
      <w:hyperlink w:anchor="ref_45" w:history="1">
        <w:r>
          <w:rPr>
            <w:color w:val="145EA8"/>
            <w:sz w:val="18"/>
            <w:szCs w:val="18"/>
          </w:rPr>
          <w:t>[R45]</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448"/>
        <w:gridCol w:w="7258"/>
      </w:tblGrid>
      <w:tr w:rsidR="00EB0B6B" w14:paraId="04621BDD" w14:textId="77777777">
        <w:trPr>
          <w:cantSplit/>
          <w:tblHeader/>
          <w:jc w:val="center"/>
        </w:trPr>
        <w:tc>
          <w:tcPr>
            <w:tcW w:w="2448" w:type="dxa"/>
            <w:shd w:val="clear" w:color="auto" w:fill="16324F"/>
            <w:tcMar>
              <w:top w:w="100" w:type="dxa"/>
              <w:left w:w="110" w:type="dxa"/>
              <w:bottom w:w="100" w:type="dxa"/>
              <w:right w:w="110" w:type="dxa"/>
            </w:tcMar>
            <w:vAlign w:val="center"/>
          </w:tcPr>
          <w:p w14:paraId="08C2AF44" w14:textId="77777777" w:rsidR="00EB0B6B" w:rsidRDefault="00000000">
            <w:pPr>
              <w:spacing w:after="0" w:line="252" w:lineRule="auto"/>
            </w:pPr>
            <w:r>
              <w:rPr>
                <w:rFonts w:eastAsia="Arial" w:cs="Arial"/>
                <w:b/>
                <w:color w:val="FFFFFF"/>
                <w:sz w:val="20"/>
              </w:rPr>
              <w:t>Control layer</w:t>
            </w:r>
          </w:p>
        </w:tc>
        <w:tc>
          <w:tcPr>
            <w:tcW w:w="7258" w:type="dxa"/>
            <w:shd w:val="clear" w:color="auto" w:fill="16324F"/>
            <w:tcMar>
              <w:top w:w="100" w:type="dxa"/>
              <w:left w:w="110" w:type="dxa"/>
              <w:bottom w:w="100" w:type="dxa"/>
              <w:right w:w="110" w:type="dxa"/>
            </w:tcMar>
            <w:vAlign w:val="center"/>
          </w:tcPr>
          <w:p w14:paraId="2FCA711C" w14:textId="77777777" w:rsidR="00EB0B6B" w:rsidRDefault="00000000">
            <w:pPr>
              <w:spacing w:after="0" w:line="252" w:lineRule="auto"/>
            </w:pPr>
            <w:r>
              <w:rPr>
                <w:rFonts w:eastAsia="Arial" w:cs="Arial"/>
                <w:b/>
                <w:color w:val="FFFFFF"/>
                <w:sz w:val="20"/>
              </w:rPr>
              <w:t>Recommended implementation / evidence</w:t>
            </w:r>
          </w:p>
        </w:tc>
      </w:tr>
      <w:tr w:rsidR="00EB0B6B" w14:paraId="4E6EF85D" w14:textId="77777777">
        <w:trPr>
          <w:cantSplit/>
          <w:jc w:val="center"/>
        </w:trPr>
        <w:tc>
          <w:tcPr>
            <w:tcW w:w="2448" w:type="dxa"/>
            <w:tcMar>
              <w:top w:w="85" w:type="dxa"/>
              <w:left w:w="110" w:type="dxa"/>
              <w:bottom w:w="85" w:type="dxa"/>
              <w:right w:w="110" w:type="dxa"/>
            </w:tcMar>
            <w:vAlign w:val="center"/>
          </w:tcPr>
          <w:p w14:paraId="42D394D9" w14:textId="77777777" w:rsidR="00EB0B6B" w:rsidRDefault="00000000">
            <w:pPr>
              <w:spacing w:after="0" w:line="252" w:lineRule="auto"/>
            </w:pPr>
            <w:r>
              <w:rPr>
                <w:rFonts w:eastAsia="Arial" w:cs="Arial"/>
                <w:b/>
                <w:color w:val="16324F"/>
                <w:sz w:val="20"/>
              </w:rPr>
              <w:t>Identity</w:t>
            </w:r>
          </w:p>
        </w:tc>
        <w:tc>
          <w:tcPr>
            <w:tcW w:w="7258" w:type="dxa"/>
            <w:tcMar>
              <w:top w:w="85" w:type="dxa"/>
              <w:left w:w="110" w:type="dxa"/>
              <w:bottom w:w="85" w:type="dxa"/>
              <w:right w:w="110" w:type="dxa"/>
            </w:tcMar>
            <w:vAlign w:val="center"/>
          </w:tcPr>
          <w:p w14:paraId="4A021F13" w14:textId="77777777" w:rsidR="00EB0B6B" w:rsidRDefault="00000000">
            <w:pPr>
              <w:spacing w:after="0" w:line="252" w:lineRule="auto"/>
            </w:pPr>
            <w:r>
              <w:rPr>
                <w:rFonts w:eastAsia="Arial" w:cs="Arial"/>
                <w:sz w:val="20"/>
              </w:rPr>
              <w:t>Document IBMid / federation or the selected Local authentication model; prove user removal and recovery.</w:t>
            </w:r>
          </w:p>
        </w:tc>
      </w:tr>
      <w:tr w:rsidR="00EB0B6B" w14:paraId="755D6F68" w14:textId="77777777">
        <w:trPr>
          <w:cantSplit/>
          <w:jc w:val="center"/>
        </w:trPr>
        <w:tc>
          <w:tcPr>
            <w:tcW w:w="2448" w:type="dxa"/>
            <w:tcMar>
              <w:top w:w="85" w:type="dxa"/>
              <w:left w:w="110" w:type="dxa"/>
              <w:bottom w:w="85" w:type="dxa"/>
              <w:right w:w="110" w:type="dxa"/>
            </w:tcMar>
            <w:vAlign w:val="center"/>
          </w:tcPr>
          <w:p w14:paraId="123AE72C" w14:textId="77777777" w:rsidR="00EB0B6B" w:rsidRDefault="00000000">
            <w:pPr>
              <w:spacing w:after="0" w:line="252" w:lineRule="auto"/>
            </w:pPr>
            <w:r>
              <w:rPr>
                <w:rFonts w:eastAsia="Arial" w:cs="Arial"/>
                <w:b/>
                <w:color w:val="16324F"/>
                <w:sz w:val="20"/>
              </w:rPr>
              <w:t>Subscription and Workspace</w:t>
            </w:r>
          </w:p>
        </w:tc>
        <w:tc>
          <w:tcPr>
            <w:tcW w:w="7258" w:type="dxa"/>
            <w:tcMar>
              <w:top w:w="85" w:type="dxa"/>
              <w:left w:w="110" w:type="dxa"/>
              <w:bottom w:w="85" w:type="dxa"/>
              <w:right w:w="110" w:type="dxa"/>
            </w:tcMar>
            <w:vAlign w:val="center"/>
          </w:tcPr>
          <w:p w14:paraId="78C33F39" w14:textId="77777777" w:rsidR="00EB0B6B" w:rsidRDefault="00000000">
            <w:pPr>
              <w:spacing w:after="0" w:line="252" w:lineRule="auto"/>
            </w:pPr>
            <w:r>
              <w:rPr>
                <w:rFonts w:eastAsia="Arial" w:cs="Arial"/>
                <w:sz w:val="20"/>
              </w:rPr>
              <w:t>Approve roles, groups, folder access and administrative scope.</w:t>
            </w:r>
          </w:p>
        </w:tc>
      </w:tr>
      <w:tr w:rsidR="00EB0B6B" w14:paraId="5228F6F8" w14:textId="77777777">
        <w:trPr>
          <w:cantSplit/>
          <w:jc w:val="center"/>
        </w:trPr>
        <w:tc>
          <w:tcPr>
            <w:tcW w:w="2448" w:type="dxa"/>
            <w:tcMar>
              <w:top w:w="85" w:type="dxa"/>
              <w:left w:w="110" w:type="dxa"/>
              <w:bottom w:w="85" w:type="dxa"/>
              <w:right w:w="110" w:type="dxa"/>
            </w:tcMar>
            <w:vAlign w:val="center"/>
          </w:tcPr>
          <w:p w14:paraId="1C87D2CF" w14:textId="77777777" w:rsidR="00EB0B6B" w:rsidRDefault="00000000">
            <w:pPr>
              <w:spacing w:after="0" w:line="252" w:lineRule="auto"/>
            </w:pPr>
            <w:r>
              <w:rPr>
                <w:rFonts w:eastAsia="Arial" w:cs="Arial"/>
                <w:b/>
                <w:color w:val="16324F"/>
                <w:sz w:val="20"/>
              </w:rPr>
              <w:t>Database authorization</w:t>
            </w:r>
          </w:p>
        </w:tc>
        <w:tc>
          <w:tcPr>
            <w:tcW w:w="7258" w:type="dxa"/>
            <w:tcMar>
              <w:top w:w="85" w:type="dxa"/>
              <w:left w:w="110" w:type="dxa"/>
              <w:bottom w:w="85" w:type="dxa"/>
              <w:right w:w="110" w:type="dxa"/>
            </w:tcMar>
            <w:vAlign w:val="center"/>
          </w:tcPr>
          <w:p w14:paraId="21AF0394" w14:textId="77777777" w:rsidR="00EB0B6B" w:rsidRDefault="00000000">
            <w:pPr>
              <w:spacing w:after="0" w:line="252" w:lineRule="auto"/>
            </w:pPr>
            <w:r>
              <w:rPr>
                <w:rFonts w:eastAsia="Arial" w:cs="Arial"/>
                <w:sz w:val="20"/>
              </w:rPr>
              <w:t>Test cube, dimension, hierarchy, element and cell access with representative user personas.</w:t>
            </w:r>
          </w:p>
        </w:tc>
      </w:tr>
      <w:tr w:rsidR="00EB0B6B" w14:paraId="3DF3315D" w14:textId="77777777">
        <w:trPr>
          <w:cantSplit/>
          <w:jc w:val="center"/>
        </w:trPr>
        <w:tc>
          <w:tcPr>
            <w:tcW w:w="2448" w:type="dxa"/>
            <w:tcMar>
              <w:top w:w="85" w:type="dxa"/>
              <w:left w:w="110" w:type="dxa"/>
              <w:bottom w:w="85" w:type="dxa"/>
              <w:right w:w="110" w:type="dxa"/>
            </w:tcMar>
            <w:vAlign w:val="center"/>
          </w:tcPr>
          <w:p w14:paraId="08975666" w14:textId="77777777" w:rsidR="00EB0B6B" w:rsidRDefault="00000000">
            <w:pPr>
              <w:spacing w:after="0" w:line="252" w:lineRule="auto"/>
            </w:pPr>
            <w:r>
              <w:rPr>
                <w:rFonts w:eastAsia="Arial" w:cs="Arial"/>
                <w:b/>
                <w:color w:val="16324F"/>
                <w:sz w:val="20"/>
              </w:rPr>
              <w:t>Automation</w:t>
            </w:r>
          </w:p>
        </w:tc>
        <w:tc>
          <w:tcPr>
            <w:tcW w:w="7258" w:type="dxa"/>
            <w:tcMar>
              <w:top w:w="85" w:type="dxa"/>
              <w:left w:w="110" w:type="dxa"/>
              <w:bottom w:w="85" w:type="dxa"/>
              <w:right w:w="110" w:type="dxa"/>
            </w:tcMar>
            <w:vAlign w:val="center"/>
          </w:tcPr>
          <w:p w14:paraId="30DA336A" w14:textId="77777777" w:rsidR="00EB0B6B" w:rsidRDefault="00000000">
            <w:pPr>
              <w:spacing w:after="0" w:line="252" w:lineRule="auto"/>
            </w:pPr>
            <w:r>
              <w:rPr>
                <w:rFonts w:eastAsia="Arial" w:cs="Arial"/>
                <w:sz w:val="20"/>
              </w:rPr>
              <w:t>Use individually accountable service identities / API access and controlled secret rotation.</w:t>
            </w:r>
          </w:p>
        </w:tc>
      </w:tr>
      <w:tr w:rsidR="00EB0B6B" w14:paraId="2F5AE3AD" w14:textId="77777777">
        <w:trPr>
          <w:cantSplit/>
          <w:jc w:val="center"/>
        </w:trPr>
        <w:tc>
          <w:tcPr>
            <w:tcW w:w="2448" w:type="dxa"/>
            <w:tcMar>
              <w:top w:w="85" w:type="dxa"/>
              <w:left w:w="110" w:type="dxa"/>
              <w:bottom w:w="85" w:type="dxa"/>
              <w:right w:w="110" w:type="dxa"/>
            </w:tcMar>
            <w:vAlign w:val="center"/>
          </w:tcPr>
          <w:p w14:paraId="35B99E0B" w14:textId="77777777" w:rsidR="00EB0B6B" w:rsidRDefault="00000000">
            <w:pPr>
              <w:spacing w:after="0" w:line="252" w:lineRule="auto"/>
            </w:pPr>
            <w:r>
              <w:rPr>
                <w:rFonts w:eastAsia="Arial" w:cs="Arial"/>
                <w:b/>
                <w:color w:val="16324F"/>
                <w:sz w:val="20"/>
              </w:rPr>
              <w:t>Transport and storage</w:t>
            </w:r>
          </w:p>
        </w:tc>
        <w:tc>
          <w:tcPr>
            <w:tcW w:w="7258" w:type="dxa"/>
            <w:tcMar>
              <w:top w:w="85" w:type="dxa"/>
              <w:left w:w="110" w:type="dxa"/>
              <w:bottom w:w="85" w:type="dxa"/>
              <w:right w:w="110" w:type="dxa"/>
            </w:tcMar>
            <w:vAlign w:val="center"/>
          </w:tcPr>
          <w:p w14:paraId="2CF0DCFF" w14:textId="77777777" w:rsidR="00EB0B6B" w:rsidRDefault="00000000">
            <w:pPr>
              <w:spacing w:after="0" w:line="252" w:lineRule="auto"/>
            </w:pPr>
            <w:r>
              <w:rPr>
                <w:rFonts w:eastAsia="Arial" w:cs="Arial"/>
                <w:sz w:val="20"/>
              </w:rPr>
              <w:t>Maintain certificate trust, protect backups and document encryption-key custody.</w:t>
            </w:r>
          </w:p>
        </w:tc>
      </w:tr>
      <w:tr w:rsidR="00EB0B6B" w14:paraId="6515C6DE" w14:textId="77777777">
        <w:trPr>
          <w:cantSplit/>
          <w:jc w:val="center"/>
        </w:trPr>
        <w:tc>
          <w:tcPr>
            <w:tcW w:w="2448" w:type="dxa"/>
            <w:tcMar>
              <w:top w:w="85" w:type="dxa"/>
              <w:left w:w="110" w:type="dxa"/>
              <w:bottom w:w="85" w:type="dxa"/>
              <w:right w:w="110" w:type="dxa"/>
            </w:tcMar>
            <w:vAlign w:val="center"/>
          </w:tcPr>
          <w:p w14:paraId="4CDD30CC" w14:textId="77777777" w:rsidR="00EB0B6B" w:rsidRDefault="00000000">
            <w:pPr>
              <w:spacing w:after="0" w:line="252" w:lineRule="auto"/>
            </w:pPr>
            <w:r>
              <w:rPr>
                <w:rFonts w:eastAsia="Arial" w:cs="Arial"/>
                <w:b/>
                <w:color w:val="16324F"/>
                <w:sz w:val="20"/>
              </w:rPr>
              <w:t>Audit and retention</w:t>
            </w:r>
          </w:p>
        </w:tc>
        <w:tc>
          <w:tcPr>
            <w:tcW w:w="7258" w:type="dxa"/>
            <w:tcMar>
              <w:top w:w="85" w:type="dxa"/>
              <w:left w:w="110" w:type="dxa"/>
              <w:bottom w:w="85" w:type="dxa"/>
              <w:right w:w="110" w:type="dxa"/>
            </w:tcMar>
            <w:vAlign w:val="center"/>
          </w:tcPr>
          <w:p w14:paraId="5CA5F0DA" w14:textId="77777777" w:rsidR="00EB0B6B" w:rsidRDefault="00000000">
            <w:pPr>
              <w:spacing w:after="0" w:line="252" w:lineRule="auto"/>
            </w:pPr>
            <w:r>
              <w:rPr>
                <w:rFonts w:eastAsia="Arial" w:cs="Arial"/>
                <w:sz w:val="20"/>
              </w:rPr>
              <w:t>Define needed evidence, access to logs, retention and secure disposal with the responsible teams.</w:t>
            </w:r>
          </w:p>
        </w:tc>
      </w:tr>
    </w:tbl>
    <w:p w14:paraId="0F7B0D2A" w14:textId="77777777" w:rsidR="00EB0B6B" w:rsidRDefault="00EB0B6B">
      <w:pPr>
        <w:spacing w:after="0" w:line="120" w:lineRule="auto"/>
      </w:pPr>
    </w:p>
    <w:p w14:paraId="7EB4C7EA" w14:textId="77777777" w:rsidR="00EB0B6B" w:rsidRDefault="00000000">
      <w:r>
        <w:rPr>
          <w:rFonts w:eastAsia="Arial" w:cs="Arial"/>
        </w:rPr>
        <w:t>IBM's cloud roles guidance distinguishes subscription, Workspace and database permissions. A broad Workspace role should not be treated as proof of appropriate data access.</w:t>
      </w:r>
      <w:r>
        <w:rPr>
          <w:rFonts w:eastAsia="Arial" w:cs="Arial"/>
          <w:color w:val="596C7B"/>
          <w:sz w:val="18"/>
        </w:rPr>
        <w:t xml:space="preserve">  </w:t>
      </w:r>
      <w:hyperlink w:anchor="ref_46" w:history="1">
        <w:r>
          <w:rPr>
            <w:color w:val="145EA8"/>
            <w:sz w:val="18"/>
            <w:szCs w:val="18"/>
          </w:rPr>
          <w:t>[R46]</w:t>
        </w:r>
      </w:hyperlink>
    </w:p>
    <w:p w14:paraId="78665D08" w14:textId="77777777" w:rsidR="00EB0B6B" w:rsidRDefault="00000000">
      <w:pPr>
        <w:pStyle w:val="Heading2"/>
      </w:pPr>
      <w:r>
        <w:rPr>
          <w:rFonts w:ascii="Arial" w:eastAsia="Arial" w:hAnsi="Arial" w:cs="Arial"/>
        </w:rPr>
        <w:t>GDPR readiness</w:t>
      </w:r>
    </w:p>
    <w:p w14:paraId="0A0BF405" w14:textId="77777777" w:rsidR="00EB0B6B" w:rsidRDefault="00000000">
      <w:r>
        <w:rPr>
          <w:rFonts w:eastAsia="Arial" w:cs="Arial"/>
        </w:rPr>
        <w:t xml:space="preserve">The requested IBM GDPR-readiness paper is included at </w:t>
      </w:r>
      <w:hyperlink w:anchor="ref_09" w:history="1">
        <w:r>
          <w:rPr>
            <w:color w:val="145EA8"/>
            <w:sz w:val="21"/>
            <w:szCs w:val="21"/>
          </w:rPr>
          <w:t>[R09]</w:t>
        </w:r>
      </w:hyperlink>
      <w:r>
        <w:rPr>
          <w:rFonts w:eastAsia="Arial" w:cs="Arial"/>
        </w:rPr>
        <w:t>. Its full PDF text was not retrievable during this research. The following are implementation planning questions, not quoted IBM requirements or a legal compliance opinion: What personal data enters the model? Why is it needed? Who can access it? Where is it stored or exported? How are retention, correction and deletion handled? Who approves AI processing and international access?</w:t>
      </w:r>
    </w:p>
    <w:p w14:paraId="079D1DE4" w14:textId="77777777" w:rsidR="00EB0B6B" w:rsidRDefault="00000000">
      <w:r>
        <w:rPr>
          <w:rFonts w:eastAsia="Arial" w:cs="Arial"/>
        </w:rPr>
        <w:t>Keep a data inventory spanning cubes, source extracts, logs, exported workbooks and backups. Ask the privacy / legal team to map the deployment to applicable obligations and contract terms. Product configuration alone does not establish organizational GDPR compliance.</w:t>
      </w:r>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0F7DD9E9" w14:textId="77777777">
        <w:trPr>
          <w:cantSplit/>
          <w:jc w:val="center"/>
        </w:trPr>
        <w:tc>
          <w:tcPr>
            <w:tcW w:w="9706" w:type="dxa"/>
            <w:shd w:val="clear" w:color="auto" w:fill="FFF4DC"/>
            <w:tcMar>
              <w:top w:w="115" w:type="dxa"/>
              <w:left w:w="150" w:type="dxa"/>
              <w:bottom w:w="115" w:type="dxa"/>
              <w:right w:w="150" w:type="dxa"/>
            </w:tcMar>
          </w:tcPr>
          <w:p w14:paraId="31905E8A" w14:textId="77777777" w:rsidR="00EB0B6B" w:rsidRDefault="00000000">
            <w:pPr>
              <w:keepNext/>
              <w:spacing w:after="80"/>
            </w:pPr>
            <w:r>
              <w:rPr>
                <w:rFonts w:eastAsia="Arial" w:cs="Arial"/>
                <w:b/>
                <w:color w:val="99620C"/>
                <w:sz w:val="19"/>
              </w:rPr>
              <w:t>ENCRYPTION RECOVERY</w:t>
            </w:r>
          </w:p>
          <w:p w14:paraId="0A879C24" w14:textId="77777777" w:rsidR="00EB0B6B" w:rsidRDefault="00000000">
            <w:pPr>
              <w:spacing w:after="0" w:line="254" w:lineRule="auto"/>
            </w:pPr>
            <w:r>
              <w:rPr>
                <w:rFonts w:eastAsia="Arial" w:cs="Arial"/>
                <w:sz w:val="20"/>
              </w:rPr>
              <w:t>IBM recommends testing encryption, encrypted backup, restore and decryption before production use. Loss of required keys can make data unavailable; key recovery must be tested with the backup procedure.</w:t>
            </w:r>
          </w:p>
        </w:tc>
      </w:tr>
    </w:tbl>
    <w:p w14:paraId="6A1D8866" w14:textId="77777777" w:rsidR="00EB0B6B" w:rsidRDefault="00EB0B6B">
      <w:pPr>
        <w:spacing w:after="0" w:line="120" w:lineRule="auto"/>
      </w:pPr>
    </w:p>
    <w:p w14:paraId="0A069935" w14:textId="77777777" w:rsidR="00EB0B6B" w:rsidRDefault="00000000">
      <w:r>
        <w:rPr>
          <w:rFonts w:eastAsia="Arial" w:cs="Arial"/>
        </w:rPr>
        <w:t>See IBM TM1Crypt troubleshooting guidance.</w:t>
      </w:r>
      <w:r>
        <w:rPr>
          <w:rFonts w:eastAsia="Arial" w:cs="Arial"/>
          <w:color w:val="596C7B"/>
          <w:sz w:val="18"/>
        </w:rPr>
        <w:t xml:space="preserve">  </w:t>
      </w:r>
      <w:hyperlink w:anchor="ref_47" w:history="1">
        <w:r>
          <w:rPr>
            <w:color w:val="145EA8"/>
            <w:sz w:val="18"/>
            <w:szCs w:val="18"/>
          </w:rPr>
          <w:t>[R47]</w:t>
        </w:r>
      </w:hyperlink>
    </w:p>
    <w:p w14:paraId="3A304C2A" w14:textId="77777777" w:rsidR="00EB0B6B" w:rsidRDefault="00000000">
      <w:pPr>
        <w:pStyle w:val="Heading1"/>
        <w:pageBreakBefore/>
      </w:pPr>
      <w:bookmarkStart w:id="21" w:name="chapter_21"/>
      <w:r>
        <w:rPr>
          <w:rFonts w:ascii="Arial" w:eastAsia="Arial" w:hAnsi="Arial" w:cs="Arial"/>
        </w:rPr>
        <w:t>21. Backup, restore and disaster recovery</w:t>
      </w:r>
      <w:bookmarkEnd w:id="21"/>
    </w:p>
    <w:p w14:paraId="69E6ACCA" w14:textId="77777777" w:rsidR="00EB0B6B" w:rsidRDefault="00000000">
      <w:pPr>
        <w:keepNext/>
        <w:spacing w:after="240"/>
      </w:pPr>
      <w:r>
        <w:rPr>
          <w:rFonts w:eastAsia="Arial" w:cs="Arial"/>
          <w:color w:val="007D79"/>
          <w:sz w:val="20"/>
        </w:rPr>
        <w:t>Protect the whole planning service, not only cube files.</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491"/>
        <w:gridCol w:w="7215"/>
      </w:tblGrid>
      <w:tr w:rsidR="00EB0B6B" w14:paraId="045CA225" w14:textId="77777777">
        <w:trPr>
          <w:cantSplit/>
          <w:tblHeader/>
          <w:jc w:val="center"/>
        </w:trPr>
        <w:tc>
          <w:tcPr>
            <w:tcW w:w="2491" w:type="dxa"/>
            <w:shd w:val="clear" w:color="auto" w:fill="16324F"/>
            <w:tcMar>
              <w:top w:w="100" w:type="dxa"/>
              <w:left w:w="110" w:type="dxa"/>
              <w:bottom w:w="100" w:type="dxa"/>
              <w:right w:w="110" w:type="dxa"/>
            </w:tcMar>
            <w:vAlign w:val="center"/>
          </w:tcPr>
          <w:p w14:paraId="517FB0CD" w14:textId="77777777" w:rsidR="00EB0B6B" w:rsidRDefault="00000000">
            <w:pPr>
              <w:spacing w:after="0" w:line="252" w:lineRule="auto"/>
            </w:pPr>
            <w:r>
              <w:rPr>
                <w:rFonts w:eastAsia="Arial" w:cs="Arial"/>
                <w:b/>
                <w:color w:val="FFFFFF"/>
                <w:sz w:val="20"/>
              </w:rPr>
              <w:t>Recovery scope</w:t>
            </w:r>
          </w:p>
        </w:tc>
        <w:tc>
          <w:tcPr>
            <w:tcW w:w="7214" w:type="dxa"/>
            <w:shd w:val="clear" w:color="auto" w:fill="16324F"/>
            <w:tcMar>
              <w:top w:w="100" w:type="dxa"/>
              <w:left w:w="110" w:type="dxa"/>
              <w:bottom w:w="100" w:type="dxa"/>
              <w:right w:w="110" w:type="dxa"/>
            </w:tcMar>
            <w:vAlign w:val="center"/>
          </w:tcPr>
          <w:p w14:paraId="2AAE8622" w14:textId="77777777" w:rsidR="00EB0B6B" w:rsidRDefault="00000000">
            <w:pPr>
              <w:spacing w:after="0" w:line="252" w:lineRule="auto"/>
            </w:pPr>
            <w:r>
              <w:rPr>
                <w:rFonts w:eastAsia="Arial" w:cs="Arial"/>
                <w:b/>
                <w:color w:val="FFFFFF"/>
                <w:sz w:val="20"/>
              </w:rPr>
              <w:t>What to include in the recovery design</w:t>
            </w:r>
          </w:p>
        </w:tc>
      </w:tr>
      <w:tr w:rsidR="00EB0B6B" w14:paraId="7345C9E7" w14:textId="77777777">
        <w:trPr>
          <w:cantSplit/>
          <w:jc w:val="center"/>
        </w:trPr>
        <w:tc>
          <w:tcPr>
            <w:tcW w:w="2491" w:type="dxa"/>
            <w:tcMar>
              <w:top w:w="85" w:type="dxa"/>
              <w:left w:w="110" w:type="dxa"/>
              <w:bottom w:w="85" w:type="dxa"/>
              <w:right w:w="110" w:type="dxa"/>
            </w:tcMar>
            <w:vAlign w:val="center"/>
          </w:tcPr>
          <w:p w14:paraId="70C5061C" w14:textId="77777777" w:rsidR="00EB0B6B" w:rsidRDefault="00000000">
            <w:pPr>
              <w:spacing w:after="0" w:line="252" w:lineRule="auto"/>
            </w:pPr>
            <w:r>
              <w:rPr>
                <w:rFonts w:eastAsia="Arial" w:cs="Arial"/>
                <w:b/>
                <w:color w:val="16324F"/>
                <w:sz w:val="20"/>
              </w:rPr>
              <w:t>TM1 model and data</w:t>
            </w:r>
          </w:p>
        </w:tc>
        <w:tc>
          <w:tcPr>
            <w:tcW w:w="7214" w:type="dxa"/>
            <w:tcMar>
              <w:top w:w="85" w:type="dxa"/>
              <w:left w:w="110" w:type="dxa"/>
              <w:bottom w:w="85" w:type="dxa"/>
              <w:right w:w="110" w:type="dxa"/>
            </w:tcMar>
            <w:vAlign w:val="center"/>
          </w:tcPr>
          <w:p w14:paraId="51884181" w14:textId="77777777" w:rsidR="00EB0B6B" w:rsidRDefault="00000000">
            <w:pPr>
              <w:spacing w:after="0" w:line="252" w:lineRule="auto"/>
            </w:pPr>
            <w:r>
              <w:rPr>
                <w:rFonts w:eastAsia="Arial" w:cs="Arial"/>
                <w:sz w:val="20"/>
              </w:rPr>
              <w:t>Database data, rules, processes, chores, security, required configuration and an application-consistent recovery method.</w:t>
            </w:r>
          </w:p>
        </w:tc>
      </w:tr>
      <w:tr w:rsidR="00EB0B6B" w14:paraId="23E910FE" w14:textId="77777777">
        <w:trPr>
          <w:cantSplit/>
          <w:jc w:val="center"/>
        </w:trPr>
        <w:tc>
          <w:tcPr>
            <w:tcW w:w="2491" w:type="dxa"/>
            <w:tcMar>
              <w:top w:w="85" w:type="dxa"/>
              <w:left w:w="110" w:type="dxa"/>
              <w:bottom w:w="85" w:type="dxa"/>
              <w:right w:w="110" w:type="dxa"/>
            </w:tcMar>
            <w:vAlign w:val="center"/>
          </w:tcPr>
          <w:p w14:paraId="575F8D2A" w14:textId="77777777" w:rsidR="00EB0B6B" w:rsidRDefault="00000000">
            <w:pPr>
              <w:spacing w:after="0" w:line="252" w:lineRule="auto"/>
            </w:pPr>
            <w:r>
              <w:rPr>
                <w:rFonts w:eastAsia="Arial" w:cs="Arial"/>
                <w:b/>
                <w:color w:val="16324F"/>
                <w:sz w:val="20"/>
              </w:rPr>
              <w:t>Workspace content</w:t>
            </w:r>
          </w:p>
        </w:tc>
        <w:tc>
          <w:tcPr>
            <w:tcW w:w="7214" w:type="dxa"/>
            <w:tcMar>
              <w:top w:w="85" w:type="dxa"/>
              <w:left w:w="110" w:type="dxa"/>
              <w:bottom w:w="85" w:type="dxa"/>
              <w:right w:w="110" w:type="dxa"/>
            </w:tcMar>
            <w:vAlign w:val="center"/>
          </w:tcPr>
          <w:p w14:paraId="07B773FB" w14:textId="77777777" w:rsidR="00EB0B6B" w:rsidRDefault="00000000">
            <w:pPr>
              <w:spacing w:after="0" w:line="252" w:lineRule="auto"/>
            </w:pPr>
            <w:r>
              <w:rPr>
                <w:rFonts w:eastAsia="Arial" w:cs="Arial"/>
                <w:sz w:val="20"/>
              </w:rPr>
              <w:t>Books, applications, plans, preferences and other content using the supported Workspace backup / export procedure.</w:t>
            </w:r>
          </w:p>
        </w:tc>
      </w:tr>
      <w:tr w:rsidR="00EB0B6B" w14:paraId="6AF9D7DA" w14:textId="77777777">
        <w:trPr>
          <w:cantSplit/>
          <w:jc w:val="center"/>
        </w:trPr>
        <w:tc>
          <w:tcPr>
            <w:tcW w:w="2491" w:type="dxa"/>
            <w:tcMar>
              <w:top w:w="85" w:type="dxa"/>
              <w:left w:w="110" w:type="dxa"/>
              <w:bottom w:w="85" w:type="dxa"/>
              <w:right w:w="110" w:type="dxa"/>
            </w:tcMar>
            <w:vAlign w:val="center"/>
          </w:tcPr>
          <w:p w14:paraId="3F3DAB94" w14:textId="77777777" w:rsidR="00EB0B6B" w:rsidRDefault="00000000">
            <w:pPr>
              <w:spacing w:after="0" w:line="252" w:lineRule="auto"/>
            </w:pPr>
            <w:r>
              <w:rPr>
                <w:rFonts w:eastAsia="Arial" w:cs="Arial"/>
                <w:b/>
                <w:color w:val="16324F"/>
                <w:sz w:val="20"/>
              </w:rPr>
              <w:t>Spreadsheet Services and clients</w:t>
            </w:r>
          </w:p>
        </w:tc>
        <w:tc>
          <w:tcPr>
            <w:tcW w:w="7214" w:type="dxa"/>
            <w:tcMar>
              <w:top w:w="85" w:type="dxa"/>
              <w:left w:w="110" w:type="dxa"/>
              <w:bottom w:w="85" w:type="dxa"/>
              <w:right w:w="110" w:type="dxa"/>
            </w:tcMar>
            <w:vAlign w:val="center"/>
          </w:tcPr>
          <w:p w14:paraId="3BEC154C" w14:textId="77777777" w:rsidR="00EB0B6B" w:rsidRDefault="00000000">
            <w:pPr>
              <w:spacing w:after="0" w:line="252" w:lineRule="auto"/>
            </w:pPr>
            <w:r>
              <w:rPr>
                <w:rFonts w:eastAsia="Arial" w:cs="Arial"/>
                <w:sz w:val="20"/>
              </w:rPr>
              <w:t>Configuration, custom certificates, deployment settings and approved report artifacts.</w:t>
            </w:r>
          </w:p>
        </w:tc>
      </w:tr>
      <w:tr w:rsidR="00EB0B6B" w14:paraId="3D6B99BF" w14:textId="77777777">
        <w:trPr>
          <w:cantSplit/>
          <w:jc w:val="center"/>
        </w:trPr>
        <w:tc>
          <w:tcPr>
            <w:tcW w:w="2491" w:type="dxa"/>
            <w:tcMar>
              <w:top w:w="85" w:type="dxa"/>
              <w:left w:w="110" w:type="dxa"/>
              <w:bottom w:w="85" w:type="dxa"/>
              <w:right w:w="110" w:type="dxa"/>
            </w:tcMar>
            <w:vAlign w:val="center"/>
          </w:tcPr>
          <w:p w14:paraId="0DDABED5" w14:textId="77777777" w:rsidR="00EB0B6B" w:rsidRDefault="00000000">
            <w:pPr>
              <w:spacing w:after="0" w:line="252" w:lineRule="auto"/>
            </w:pPr>
            <w:r>
              <w:rPr>
                <w:rFonts w:eastAsia="Arial" w:cs="Arial"/>
                <w:b/>
                <w:color w:val="16324F"/>
                <w:sz w:val="20"/>
              </w:rPr>
              <w:t>Integration layer</w:t>
            </w:r>
          </w:p>
        </w:tc>
        <w:tc>
          <w:tcPr>
            <w:tcW w:w="7214" w:type="dxa"/>
            <w:tcMar>
              <w:top w:w="85" w:type="dxa"/>
              <w:left w:w="110" w:type="dxa"/>
              <w:bottom w:w="85" w:type="dxa"/>
              <w:right w:w="110" w:type="dxa"/>
            </w:tcMar>
            <w:vAlign w:val="center"/>
          </w:tcPr>
          <w:p w14:paraId="1BD7B5F1" w14:textId="77777777" w:rsidR="00EB0B6B" w:rsidRDefault="00000000">
            <w:pPr>
              <w:spacing w:after="0" w:line="252" w:lineRule="auto"/>
            </w:pPr>
            <w:r>
              <w:rPr>
                <w:rFonts w:eastAsia="Arial" w:cs="Arial"/>
                <w:sz w:val="20"/>
              </w:rPr>
              <w:t>Mappings, source contracts, connector configuration, schedules and protected secret references.</w:t>
            </w:r>
          </w:p>
        </w:tc>
      </w:tr>
      <w:tr w:rsidR="00EB0B6B" w14:paraId="16D5D2A0" w14:textId="77777777">
        <w:trPr>
          <w:cantSplit/>
          <w:jc w:val="center"/>
        </w:trPr>
        <w:tc>
          <w:tcPr>
            <w:tcW w:w="2491" w:type="dxa"/>
            <w:tcMar>
              <w:top w:w="85" w:type="dxa"/>
              <w:left w:w="110" w:type="dxa"/>
              <w:bottom w:w="85" w:type="dxa"/>
              <w:right w:w="110" w:type="dxa"/>
            </w:tcMar>
            <w:vAlign w:val="center"/>
          </w:tcPr>
          <w:p w14:paraId="63F5FAE4" w14:textId="77777777" w:rsidR="00EB0B6B" w:rsidRDefault="00000000">
            <w:pPr>
              <w:spacing w:after="0" w:line="252" w:lineRule="auto"/>
            </w:pPr>
            <w:r>
              <w:rPr>
                <w:rFonts w:eastAsia="Arial" w:cs="Arial"/>
                <w:b/>
                <w:color w:val="16324F"/>
                <w:sz w:val="20"/>
              </w:rPr>
              <w:t>Identity and infrastructure</w:t>
            </w:r>
          </w:p>
        </w:tc>
        <w:tc>
          <w:tcPr>
            <w:tcW w:w="7214" w:type="dxa"/>
            <w:tcMar>
              <w:top w:w="85" w:type="dxa"/>
              <w:left w:w="110" w:type="dxa"/>
              <w:bottom w:w="85" w:type="dxa"/>
              <w:right w:w="110" w:type="dxa"/>
            </w:tcMar>
            <w:vAlign w:val="center"/>
          </w:tcPr>
          <w:p w14:paraId="6EA6FA1B" w14:textId="77777777" w:rsidR="00EB0B6B" w:rsidRDefault="00000000">
            <w:pPr>
              <w:spacing w:after="0" w:line="252" w:lineRule="auto"/>
            </w:pPr>
            <w:r>
              <w:rPr>
                <w:rFonts w:eastAsia="Arial" w:cs="Arial"/>
                <w:sz w:val="20"/>
              </w:rPr>
              <w:t>Identity mappings, service configuration, network / certificate dependencies and key-recovery arrangements.</w:t>
            </w:r>
          </w:p>
        </w:tc>
      </w:tr>
    </w:tbl>
    <w:p w14:paraId="23FDFE7F" w14:textId="77777777" w:rsidR="00EB0B6B" w:rsidRDefault="00EB0B6B">
      <w:pPr>
        <w:spacing w:after="0" w:line="120" w:lineRule="auto"/>
      </w:pPr>
    </w:p>
    <w:p w14:paraId="621914B8" w14:textId="77777777" w:rsidR="00EB0B6B" w:rsidRDefault="00000000">
      <w:r>
        <w:rPr>
          <w:rFonts w:eastAsia="Arial" w:cs="Arial"/>
        </w:rPr>
        <w:t>IBM Workspace installation guidance includes backup / restore as a distinct operation. A concrete upgrade notice requires Workspace content backup and restore at the 2.0.100 / 2.1.7 boundary because the backing database changed. This illustrates why a successful TM1 data backup is not proof of complete Workspace recovery.</w:t>
      </w:r>
      <w:r>
        <w:rPr>
          <w:rFonts w:eastAsia="Arial" w:cs="Arial"/>
          <w:color w:val="596C7B"/>
          <w:sz w:val="18"/>
        </w:rPr>
        <w:t xml:space="preserve">  </w:t>
      </w:r>
      <w:hyperlink w:anchor="ref_21" w:history="1">
        <w:r>
          <w:rPr>
            <w:color w:val="145EA8"/>
            <w:sz w:val="18"/>
            <w:szCs w:val="18"/>
          </w:rPr>
          <w:t>[R21]</w:t>
        </w:r>
      </w:hyperlink>
      <w:r>
        <w:rPr>
          <w:rFonts w:eastAsia="Arial" w:cs="Arial"/>
          <w:color w:val="596C7B"/>
          <w:sz w:val="18"/>
        </w:rPr>
        <w:t xml:space="preserve"> </w:t>
      </w:r>
      <w:hyperlink w:anchor="ref_49" w:history="1">
        <w:r>
          <w:rPr>
            <w:color w:val="145EA8"/>
            <w:sz w:val="18"/>
            <w:szCs w:val="18"/>
          </w:rPr>
          <w:t>[R49]</w:t>
        </w:r>
      </w:hyperlink>
    </w:p>
    <w:p w14:paraId="773CB4BA" w14:textId="77777777" w:rsidR="00EB0B6B" w:rsidRDefault="00000000">
      <w:pPr>
        <w:pStyle w:val="Heading2"/>
      </w:pPr>
      <w:r>
        <w:rPr>
          <w:rFonts w:ascii="Arial" w:eastAsia="Arial" w:hAnsi="Arial" w:cs="Arial"/>
        </w:rPr>
        <w:t>Recommended recovery exercise</w:t>
      </w:r>
    </w:p>
    <w:p w14:paraId="6EEE3443"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Agree business recovery-point and recovery-time objectives and document which offering / contract meets them.</w:t>
      </w:r>
    </w:p>
    <w:p w14:paraId="4357CF5F"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Create a recovery set using the supported methods; retain version, timestamp and environment identifiers.</w:t>
      </w:r>
    </w:p>
    <w:p w14:paraId="1ABB520C"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Restore into an isolated nonproduction target with compatible component versions.</w:t>
      </w:r>
    </w:p>
    <w:p w14:paraId="1F47445E"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Validate authentication, data totals, permissions, books, websheets, TI and scheduled processes.</w:t>
      </w:r>
    </w:p>
    <w:p w14:paraId="0C1691DC"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Measure elapsed recovery time and record gaps, key dependencies and owner sign-off.</w:t>
      </w:r>
    </w:p>
    <w:p w14:paraId="58E651E1"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Repeat after material architecture, identity, encryption or version changes.</w:t>
      </w:r>
    </w:p>
    <w:p w14:paraId="16DFFDFB" w14:textId="77777777" w:rsidR="00EB0B6B" w:rsidRDefault="00000000">
      <w:pPr>
        <w:pStyle w:val="Heading2"/>
      </w:pPr>
      <w:r>
        <w:rPr>
          <w:rFonts w:ascii="Arial" w:eastAsia="Arial" w:hAnsi="Arial" w:cs="Arial"/>
        </w:rPr>
        <w:t>Hosted-service boundary</w:t>
      </w:r>
    </w:p>
    <w:p w14:paraId="2A1F4679" w14:textId="77777777" w:rsidR="00EB0B6B" w:rsidRDefault="00000000">
      <w:r>
        <w:rPr>
          <w:rFonts w:eastAsia="Arial" w:cs="Arial"/>
        </w:rPr>
        <w:t>Confirm IBM-managed backup coverage, customer export options, retention and recovery requests for the actual offering. Do not assume that a SaaS database backup includes all front-end assets or that Local file-copy instructions apply to a managed service.</w:t>
      </w:r>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3419F693" w14:textId="77777777">
        <w:trPr>
          <w:cantSplit/>
          <w:jc w:val="center"/>
        </w:trPr>
        <w:tc>
          <w:tcPr>
            <w:tcW w:w="9706" w:type="dxa"/>
            <w:shd w:val="clear" w:color="auto" w:fill="EAF5F2"/>
            <w:tcMar>
              <w:top w:w="115" w:type="dxa"/>
              <w:left w:w="150" w:type="dxa"/>
              <w:bottom w:w="115" w:type="dxa"/>
              <w:right w:w="150" w:type="dxa"/>
            </w:tcMar>
          </w:tcPr>
          <w:p w14:paraId="0CDF63F5" w14:textId="77777777" w:rsidR="00EB0B6B" w:rsidRDefault="00000000">
            <w:pPr>
              <w:keepNext/>
              <w:spacing w:after="80"/>
            </w:pPr>
            <w:r>
              <w:rPr>
                <w:rFonts w:eastAsia="Arial" w:cs="Arial"/>
                <w:b/>
                <w:color w:val="007D79"/>
                <w:sz w:val="19"/>
              </w:rPr>
              <w:t>AVOID FALSE ASSURANCE</w:t>
            </w:r>
          </w:p>
          <w:p w14:paraId="710A52DE" w14:textId="77777777" w:rsidR="00EB0B6B" w:rsidRDefault="00000000">
            <w:pPr>
              <w:spacing w:after="0" w:line="254" w:lineRule="auto"/>
            </w:pPr>
            <w:r>
              <w:rPr>
                <w:rFonts w:eastAsia="Arial" w:cs="Arial"/>
                <w:sz w:val="20"/>
              </w:rPr>
              <w:t>A backup job marked successful is only one control. Evidence of a usable restore and business reconciliation is the acceptance criterion.</w:t>
            </w:r>
          </w:p>
        </w:tc>
      </w:tr>
    </w:tbl>
    <w:p w14:paraId="63153CD8" w14:textId="77777777" w:rsidR="00EB0B6B" w:rsidRDefault="00EB0B6B">
      <w:pPr>
        <w:spacing w:after="0" w:line="120" w:lineRule="auto"/>
      </w:pPr>
    </w:p>
    <w:p w14:paraId="40CC0355" w14:textId="77777777" w:rsidR="00EB0B6B" w:rsidRDefault="00000000">
      <w:pPr>
        <w:pStyle w:val="Heading1"/>
        <w:pageBreakBefore/>
      </w:pPr>
      <w:bookmarkStart w:id="22" w:name="chapter_22"/>
      <w:r>
        <w:rPr>
          <w:rFonts w:ascii="Arial" w:eastAsia="Arial" w:hAnsi="Arial" w:cs="Arial"/>
        </w:rPr>
        <w:t>22. Operations, capacity and performance</w:t>
      </w:r>
      <w:bookmarkEnd w:id="22"/>
    </w:p>
    <w:p w14:paraId="6DA8BE0D" w14:textId="77777777" w:rsidR="00EB0B6B" w:rsidRDefault="00000000">
      <w:pPr>
        <w:keepNext/>
        <w:spacing w:after="240"/>
      </w:pPr>
      <w:r>
        <w:rPr>
          <w:rFonts w:eastAsia="Arial" w:cs="Arial"/>
          <w:color w:val="007D79"/>
          <w:sz w:val="20"/>
        </w:rPr>
        <w:t>Measure the business workload before tuning the platform.</w:t>
      </w:r>
    </w:p>
    <w:p w14:paraId="7D8FE152" w14:textId="77777777" w:rsidR="00EB0B6B" w:rsidRDefault="00000000">
      <w:r>
        <w:rPr>
          <w:rFonts w:eastAsia="Arial" w:cs="Arial"/>
        </w:rPr>
        <w:t>Planning Analytics Administration provides a database operational view; the Local agent enables management capabilities such as activity inspection, logs and alerts. IBM Local and SaaS 101 hubs organize component-specific must-gathers and operational knowledge. Use these as the starting point for runbooks.</w:t>
      </w:r>
      <w:r>
        <w:rPr>
          <w:rFonts w:eastAsia="Arial" w:cs="Arial"/>
          <w:color w:val="596C7B"/>
          <w:sz w:val="18"/>
        </w:rPr>
        <w:t xml:space="preserve">  </w:t>
      </w:r>
      <w:hyperlink w:anchor="ref_35" w:history="1">
        <w:r>
          <w:rPr>
            <w:color w:val="145EA8"/>
            <w:sz w:val="18"/>
            <w:szCs w:val="18"/>
          </w:rPr>
          <w:t>[R35]</w:t>
        </w:r>
      </w:hyperlink>
      <w:r>
        <w:rPr>
          <w:rFonts w:eastAsia="Arial" w:cs="Arial"/>
          <w:color w:val="596C7B"/>
          <w:sz w:val="18"/>
        </w:rPr>
        <w:t xml:space="preserve"> </w:t>
      </w:r>
      <w:hyperlink w:anchor="ref_15" w:history="1">
        <w:r>
          <w:rPr>
            <w:color w:val="145EA8"/>
            <w:sz w:val="18"/>
            <w:szCs w:val="18"/>
          </w:rPr>
          <w:t>[R15]</w:t>
        </w:r>
      </w:hyperlink>
      <w:r>
        <w:rPr>
          <w:rFonts w:eastAsia="Arial" w:cs="Arial"/>
          <w:color w:val="596C7B"/>
          <w:sz w:val="18"/>
        </w:rPr>
        <w:t xml:space="preserve"> </w:t>
      </w:r>
      <w:hyperlink w:anchor="ref_16" w:history="1">
        <w:r>
          <w:rPr>
            <w:color w:val="145EA8"/>
            <w:sz w:val="18"/>
            <w:szCs w:val="18"/>
          </w:rPr>
          <w:t>[R16]</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016"/>
        <w:gridCol w:w="3802"/>
        <w:gridCol w:w="3888"/>
      </w:tblGrid>
      <w:tr w:rsidR="00EB0B6B" w14:paraId="22834BD8" w14:textId="77777777">
        <w:trPr>
          <w:cantSplit/>
          <w:tblHeader/>
          <w:jc w:val="center"/>
        </w:trPr>
        <w:tc>
          <w:tcPr>
            <w:tcW w:w="2016" w:type="dxa"/>
            <w:shd w:val="clear" w:color="auto" w:fill="16324F"/>
            <w:tcMar>
              <w:top w:w="100" w:type="dxa"/>
              <w:left w:w="110" w:type="dxa"/>
              <w:bottom w:w="100" w:type="dxa"/>
              <w:right w:w="110" w:type="dxa"/>
            </w:tcMar>
            <w:vAlign w:val="center"/>
          </w:tcPr>
          <w:p w14:paraId="13C3F683" w14:textId="77777777" w:rsidR="00EB0B6B" w:rsidRDefault="00000000">
            <w:pPr>
              <w:spacing w:after="0" w:line="252" w:lineRule="auto"/>
            </w:pPr>
            <w:r>
              <w:rPr>
                <w:rFonts w:eastAsia="Arial" w:cs="Arial"/>
                <w:b/>
                <w:color w:val="FFFFFF"/>
                <w:sz w:val="20"/>
              </w:rPr>
              <w:t>Signal</w:t>
            </w:r>
          </w:p>
        </w:tc>
        <w:tc>
          <w:tcPr>
            <w:tcW w:w="3802" w:type="dxa"/>
            <w:shd w:val="clear" w:color="auto" w:fill="16324F"/>
            <w:tcMar>
              <w:top w:w="100" w:type="dxa"/>
              <w:left w:w="110" w:type="dxa"/>
              <w:bottom w:w="100" w:type="dxa"/>
              <w:right w:w="110" w:type="dxa"/>
            </w:tcMar>
            <w:vAlign w:val="center"/>
          </w:tcPr>
          <w:p w14:paraId="5FD4AC78" w14:textId="77777777" w:rsidR="00EB0B6B" w:rsidRDefault="00000000">
            <w:pPr>
              <w:spacing w:after="0" w:line="252" w:lineRule="auto"/>
            </w:pPr>
            <w:r>
              <w:rPr>
                <w:rFonts w:eastAsia="Arial" w:cs="Arial"/>
                <w:b/>
                <w:color w:val="FFFFFF"/>
                <w:sz w:val="20"/>
              </w:rPr>
              <w:t>What it can indicate</w:t>
            </w:r>
          </w:p>
        </w:tc>
        <w:tc>
          <w:tcPr>
            <w:tcW w:w="3888" w:type="dxa"/>
            <w:shd w:val="clear" w:color="auto" w:fill="16324F"/>
            <w:tcMar>
              <w:top w:w="100" w:type="dxa"/>
              <w:left w:w="110" w:type="dxa"/>
              <w:bottom w:w="100" w:type="dxa"/>
              <w:right w:w="110" w:type="dxa"/>
            </w:tcMar>
            <w:vAlign w:val="center"/>
          </w:tcPr>
          <w:p w14:paraId="7CE9703A" w14:textId="77777777" w:rsidR="00EB0B6B" w:rsidRDefault="00000000">
            <w:pPr>
              <w:spacing w:after="0" w:line="252" w:lineRule="auto"/>
            </w:pPr>
            <w:r>
              <w:rPr>
                <w:rFonts w:eastAsia="Arial" w:cs="Arial"/>
                <w:b/>
                <w:color w:val="FFFFFF"/>
                <w:sz w:val="20"/>
              </w:rPr>
              <w:t>Recommended next step</w:t>
            </w:r>
          </w:p>
        </w:tc>
      </w:tr>
      <w:tr w:rsidR="00EB0B6B" w14:paraId="21159785" w14:textId="77777777">
        <w:trPr>
          <w:cantSplit/>
          <w:jc w:val="center"/>
        </w:trPr>
        <w:tc>
          <w:tcPr>
            <w:tcW w:w="2016" w:type="dxa"/>
            <w:tcMar>
              <w:top w:w="85" w:type="dxa"/>
              <w:left w:w="110" w:type="dxa"/>
              <w:bottom w:w="85" w:type="dxa"/>
              <w:right w:w="110" w:type="dxa"/>
            </w:tcMar>
            <w:vAlign w:val="center"/>
          </w:tcPr>
          <w:p w14:paraId="2201712A" w14:textId="77777777" w:rsidR="00EB0B6B" w:rsidRDefault="00000000">
            <w:pPr>
              <w:spacing w:after="0" w:line="252" w:lineRule="auto"/>
            </w:pPr>
            <w:r>
              <w:rPr>
                <w:rFonts w:eastAsia="Arial" w:cs="Arial"/>
                <w:b/>
                <w:color w:val="16324F"/>
                <w:sz w:val="20"/>
              </w:rPr>
              <w:t>Memory growth</w:t>
            </w:r>
          </w:p>
        </w:tc>
        <w:tc>
          <w:tcPr>
            <w:tcW w:w="3802" w:type="dxa"/>
            <w:tcMar>
              <w:top w:w="85" w:type="dxa"/>
              <w:left w:w="110" w:type="dxa"/>
              <w:bottom w:w="85" w:type="dxa"/>
              <w:right w:w="110" w:type="dxa"/>
            </w:tcMar>
            <w:vAlign w:val="center"/>
          </w:tcPr>
          <w:p w14:paraId="2C5F2DFA" w14:textId="77777777" w:rsidR="00EB0B6B" w:rsidRDefault="00000000">
            <w:pPr>
              <w:spacing w:after="0" w:line="252" w:lineRule="auto"/>
            </w:pPr>
            <w:r>
              <w:rPr>
                <w:rFonts w:eastAsia="Arial" w:cs="Arial"/>
                <w:sz w:val="20"/>
              </w:rPr>
              <w:t>Larger models, calculation / feeder effects, concurrent workload or content changes.</w:t>
            </w:r>
          </w:p>
        </w:tc>
        <w:tc>
          <w:tcPr>
            <w:tcW w:w="3888" w:type="dxa"/>
            <w:tcMar>
              <w:top w:w="85" w:type="dxa"/>
              <w:left w:w="110" w:type="dxa"/>
              <w:bottom w:w="85" w:type="dxa"/>
              <w:right w:w="110" w:type="dxa"/>
            </w:tcMar>
            <w:vAlign w:val="center"/>
          </w:tcPr>
          <w:p w14:paraId="5A73A1DE" w14:textId="77777777" w:rsidR="00EB0B6B" w:rsidRDefault="00000000">
            <w:pPr>
              <w:spacing w:after="0" w:line="252" w:lineRule="auto"/>
            </w:pPr>
            <w:r>
              <w:rPr>
                <w:rFonts w:eastAsia="Arial" w:cs="Arial"/>
                <w:sz w:val="20"/>
              </w:rPr>
              <w:t>Compare against the baseline, release changes and representative model tests.</w:t>
            </w:r>
          </w:p>
        </w:tc>
      </w:tr>
      <w:tr w:rsidR="00EB0B6B" w14:paraId="5B5AF431" w14:textId="77777777">
        <w:trPr>
          <w:cantSplit/>
          <w:jc w:val="center"/>
        </w:trPr>
        <w:tc>
          <w:tcPr>
            <w:tcW w:w="2016" w:type="dxa"/>
            <w:tcMar>
              <w:top w:w="85" w:type="dxa"/>
              <w:left w:w="110" w:type="dxa"/>
              <w:bottom w:w="85" w:type="dxa"/>
              <w:right w:w="110" w:type="dxa"/>
            </w:tcMar>
            <w:vAlign w:val="center"/>
          </w:tcPr>
          <w:p w14:paraId="546282EF" w14:textId="77777777" w:rsidR="00EB0B6B" w:rsidRDefault="00000000">
            <w:pPr>
              <w:spacing w:after="0" w:line="252" w:lineRule="auto"/>
            </w:pPr>
            <w:r>
              <w:rPr>
                <w:rFonts w:eastAsia="Arial" w:cs="Arial"/>
                <w:b/>
                <w:color w:val="16324F"/>
                <w:sz w:val="20"/>
              </w:rPr>
              <w:t>Long calculation or TI time</w:t>
            </w:r>
          </w:p>
        </w:tc>
        <w:tc>
          <w:tcPr>
            <w:tcW w:w="3802" w:type="dxa"/>
            <w:tcMar>
              <w:top w:w="85" w:type="dxa"/>
              <w:left w:w="110" w:type="dxa"/>
              <w:bottom w:w="85" w:type="dxa"/>
              <w:right w:w="110" w:type="dxa"/>
            </w:tcMar>
            <w:vAlign w:val="center"/>
          </w:tcPr>
          <w:p w14:paraId="6245FED0" w14:textId="77777777" w:rsidR="00EB0B6B" w:rsidRDefault="00000000">
            <w:pPr>
              <w:spacing w:after="0" w:line="252" w:lineRule="auto"/>
            </w:pPr>
            <w:r>
              <w:rPr>
                <w:rFonts w:eastAsia="Arial" w:cs="Arial"/>
                <w:sz w:val="20"/>
              </w:rPr>
              <w:t>Source latency, inefficient process logic, contention or model design.</w:t>
            </w:r>
          </w:p>
        </w:tc>
        <w:tc>
          <w:tcPr>
            <w:tcW w:w="3888" w:type="dxa"/>
            <w:tcMar>
              <w:top w:w="85" w:type="dxa"/>
              <w:left w:w="110" w:type="dxa"/>
              <w:bottom w:w="85" w:type="dxa"/>
              <w:right w:w="110" w:type="dxa"/>
            </w:tcMar>
            <w:vAlign w:val="center"/>
          </w:tcPr>
          <w:p w14:paraId="324D524C" w14:textId="77777777" w:rsidR="00EB0B6B" w:rsidRDefault="00000000">
            <w:pPr>
              <w:spacing w:after="0" w:line="252" w:lineRule="auto"/>
            </w:pPr>
            <w:r>
              <w:rPr>
                <w:rFonts w:eastAsia="Arial" w:cs="Arial"/>
                <w:sz w:val="20"/>
              </w:rPr>
              <w:t>Separate source time from model time; inspect the relevant logs and workload.</w:t>
            </w:r>
          </w:p>
        </w:tc>
      </w:tr>
      <w:tr w:rsidR="00EB0B6B" w14:paraId="1E0C72C1" w14:textId="77777777">
        <w:trPr>
          <w:cantSplit/>
          <w:jc w:val="center"/>
        </w:trPr>
        <w:tc>
          <w:tcPr>
            <w:tcW w:w="2016" w:type="dxa"/>
            <w:tcMar>
              <w:top w:w="85" w:type="dxa"/>
              <w:left w:w="110" w:type="dxa"/>
              <w:bottom w:w="85" w:type="dxa"/>
              <w:right w:w="110" w:type="dxa"/>
            </w:tcMar>
            <w:vAlign w:val="center"/>
          </w:tcPr>
          <w:p w14:paraId="4B56D9B0" w14:textId="77777777" w:rsidR="00EB0B6B" w:rsidRDefault="00000000">
            <w:pPr>
              <w:spacing w:after="0" w:line="252" w:lineRule="auto"/>
            </w:pPr>
            <w:r>
              <w:rPr>
                <w:rFonts w:eastAsia="Arial" w:cs="Arial"/>
                <w:b/>
                <w:color w:val="16324F"/>
                <w:sz w:val="20"/>
              </w:rPr>
              <w:t>Waiting users / threads</w:t>
            </w:r>
          </w:p>
        </w:tc>
        <w:tc>
          <w:tcPr>
            <w:tcW w:w="3802" w:type="dxa"/>
            <w:tcMar>
              <w:top w:w="85" w:type="dxa"/>
              <w:left w:w="110" w:type="dxa"/>
              <w:bottom w:w="85" w:type="dxa"/>
              <w:right w:w="110" w:type="dxa"/>
            </w:tcMar>
            <w:vAlign w:val="center"/>
          </w:tcPr>
          <w:p w14:paraId="5DE9FF44" w14:textId="77777777" w:rsidR="00EB0B6B" w:rsidRDefault="00000000">
            <w:pPr>
              <w:spacing w:after="0" w:line="252" w:lineRule="auto"/>
            </w:pPr>
            <w:r>
              <w:rPr>
                <w:rFonts w:eastAsia="Arial" w:cs="Arial"/>
                <w:sz w:val="20"/>
              </w:rPr>
              <w:t>Contention or long-running activities.</w:t>
            </w:r>
          </w:p>
        </w:tc>
        <w:tc>
          <w:tcPr>
            <w:tcW w:w="3888" w:type="dxa"/>
            <w:tcMar>
              <w:top w:w="85" w:type="dxa"/>
              <w:left w:w="110" w:type="dxa"/>
              <w:bottom w:w="85" w:type="dxa"/>
              <w:right w:w="110" w:type="dxa"/>
            </w:tcMar>
            <w:vAlign w:val="center"/>
          </w:tcPr>
          <w:p w14:paraId="74F2B4BB" w14:textId="77777777" w:rsidR="00EB0B6B" w:rsidRDefault="00000000">
            <w:pPr>
              <w:spacing w:after="0" w:line="252" w:lineRule="auto"/>
            </w:pPr>
            <w:r>
              <w:rPr>
                <w:rFonts w:eastAsia="Arial" w:cs="Arial"/>
                <w:sz w:val="20"/>
              </w:rPr>
              <w:t>Identify the owner and business impact before canceling a process.</w:t>
            </w:r>
          </w:p>
        </w:tc>
      </w:tr>
      <w:tr w:rsidR="00EB0B6B" w14:paraId="45E46A1D" w14:textId="77777777">
        <w:trPr>
          <w:cantSplit/>
          <w:jc w:val="center"/>
        </w:trPr>
        <w:tc>
          <w:tcPr>
            <w:tcW w:w="2016" w:type="dxa"/>
            <w:tcMar>
              <w:top w:w="85" w:type="dxa"/>
              <w:left w:w="110" w:type="dxa"/>
              <w:bottom w:w="85" w:type="dxa"/>
              <w:right w:w="110" w:type="dxa"/>
            </w:tcMar>
            <w:vAlign w:val="center"/>
          </w:tcPr>
          <w:p w14:paraId="5E9B23AA" w14:textId="77777777" w:rsidR="00EB0B6B" w:rsidRDefault="00000000">
            <w:pPr>
              <w:spacing w:after="0" w:line="252" w:lineRule="auto"/>
            </w:pPr>
            <w:r>
              <w:rPr>
                <w:rFonts w:eastAsia="Arial" w:cs="Arial"/>
                <w:b/>
                <w:color w:val="16324F"/>
                <w:sz w:val="20"/>
              </w:rPr>
              <w:t>Slow workbook / book</w:t>
            </w:r>
          </w:p>
        </w:tc>
        <w:tc>
          <w:tcPr>
            <w:tcW w:w="3802" w:type="dxa"/>
            <w:tcMar>
              <w:top w:w="85" w:type="dxa"/>
              <w:left w:w="110" w:type="dxa"/>
              <w:bottom w:w="85" w:type="dxa"/>
              <w:right w:w="110" w:type="dxa"/>
            </w:tcMar>
            <w:vAlign w:val="center"/>
          </w:tcPr>
          <w:p w14:paraId="00B40A87" w14:textId="77777777" w:rsidR="00EB0B6B" w:rsidRDefault="00000000">
            <w:pPr>
              <w:spacing w:after="0" w:line="252" w:lineRule="auto"/>
            </w:pPr>
            <w:r>
              <w:rPr>
                <w:rFonts w:eastAsia="Arial" w:cs="Arial"/>
                <w:sz w:val="20"/>
              </w:rPr>
              <w:t>Large result set, report design, service dependency or client issue.</w:t>
            </w:r>
          </w:p>
        </w:tc>
        <w:tc>
          <w:tcPr>
            <w:tcW w:w="3888" w:type="dxa"/>
            <w:tcMar>
              <w:top w:w="85" w:type="dxa"/>
              <w:left w:w="110" w:type="dxa"/>
              <w:bottom w:w="85" w:type="dxa"/>
              <w:right w:w="110" w:type="dxa"/>
            </w:tcMar>
            <w:vAlign w:val="center"/>
          </w:tcPr>
          <w:p w14:paraId="16048163" w14:textId="77777777" w:rsidR="00EB0B6B" w:rsidRDefault="00000000">
            <w:pPr>
              <w:spacing w:after="0" w:line="252" w:lineRule="auto"/>
            </w:pPr>
            <w:r>
              <w:rPr>
                <w:rFonts w:eastAsia="Arial" w:cs="Arial"/>
                <w:sz w:val="20"/>
              </w:rPr>
              <w:t>Reproduce with a small controlled view and compare web / Excel behavior.</w:t>
            </w:r>
          </w:p>
        </w:tc>
      </w:tr>
      <w:tr w:rsidR="00EB0B6B" w14:paraId="69D1ED1A" w14:textId="77777777">
        <w:trPr>
          <w:cantSplit/>
          <w:jc w:val="center"/>
        </w:trPr>
        <w:tc>
          <w:tcPr>
            <w:tcW w:w="2016" w:type="dxa"/>
            <w:tcMar>
              <w:top w:w="85" w:type="dxa"/>
              <w:left w:w="110" w:type="dxa"/>
              <w:bottom w:w="85" w:type="dxa"/>
              <w:right w:w="110" w:type="dxa"/>
            </w:tcMar>
            <w:vAlign w:val="center"/>
          </w:tcPr>
          <w:p w14:paraId="66C7B3E3" w14:textId="77777777" w:rsidR="00EB0B6B" w:rsidRDefault="00000000">
            <w:pPr>
              <w:spacing w:after="0" w:line="252" w:lineRule="auto"/>
            </w:pPr>
            <w:r>
              <w:rPr>
                <w:rFonts w:eastAsia="Arial" w:cs="Arial"/>
                <w:b/>
                <w:color w:val="16324F"/>
                <w:sz w:val="20"/>
              </w:rPr>
              <w:t>Container / service exits</w:t>
            </w:r>
          </w:p>
        </w:tc>
        <w:tc>
          <w:tcPr>
            <w:tcW w:w="3802" w:type="dxa"/>
            <w:tcMar>
              <w:top w:w="85" w:type="dxa"/>
              <w:left w:w="110" w:type="dxa"/>
              <w:bottom w:w="85" w:type="dxa"/>
              <w:right w:w="110" w:type="dxa"/>
            </w:tcMar>
            <w:vAlign w:val="center"/>
          </w:tcPr>
          <w:p w14:paraId="164CE96E" w14:textId="77777777" w:rsidR="00EB0B6B" w:rsidRDefault="00000000">
            <w:pPr>
              <w:spacing w:after="0" w:line="252" w:lineRule="auto"/>
            </w:pPr>
            <w:r>
              <w:rPr>
                <w:rFonts w:eastAsia="Arial" w:cs="Arial"/>
                <w:sz w:val="20"/>
              </w:rPr>
              <w:t>Host restart, runtime or service-level problem.</w:t>
            </w:r>
          </w:p>
        </w:tc>
        <w:tc>
          <w:tcPr>
            <w:tcW w:w="3888" w:type="dxa"/>
            <w:tcMar>
              <w:top w:w="85" w:type="dxa"/>
              <w:left w:w="110" w:type="dxa"/>
              <w:bottom w:w="85" w:type="dxa"/>
              <w:right w:w="110" w:type="dxa"/>
            </w:tcMar>
            <w:vAlign w:val="center"/>
          </w:tcPr>
          <w:p w14:paraId="1FA3CBE6" w14:textId="77777777" w:rsidR="00EB0B6B" w:rsidRDefault="00000000">
            <w:pPr>
              <w:spacing w:after="0" w:line="252" w:lineRule="auto"/>
            </w:pPr>
            <w:r>
              <w:rPr>
                <w:rFonts w:eastAsia="Arial" w:cs="Arial"/>
                <w:sz w:val="20"/>
              </w:rPr>
              <w:t>Inspect host and component health; do not repeatedly restart without evidence.</w:t>
            </w:r>
          </w:p>
        </w:tc>
      </w:tr>
    </w:tbl>
    <w:p w14:paraId="3581E147" w14:textId="77777777" w:rsidR="00EB0B6B" w:rsidRDefault="00EB0B6B">
      <w:pPr>
        <w:spacing w:after="0" w:line="120" w:lineRule="auto"/>
      </w:pPr>
    </w:p>
    <w:p w14:paraId="52AC2AAC" w14:textId="77777777" w:rsidR="00EB0B6B" w:rsidRDefault="00000000">
      <w:pPr>
        <w:pStyle w:val="Heading2"/>
      </w:pPr>
      <w:r>
        <w:rPr>
          <w:rFonts w:ascii="Arial" w:eastAsia="Arial" w:hAnsi="Arial" w:cs="Arial"/>
        </w:rPr>
        <w:t>Recommended service runbook</w:t>
      </w:r>
    </w:p>
    <w:p w14:paraId="31EDE612" w14:textId="77777777" w:rsidR="00EB0B6B" w:rsidRDefault="00000000">
      <w:r>
        <w:rPr>
          <w:rFonts w:eastAsia="Arial" w:cs="Arial"/>
        </w:rPr>
        <w:t>Record the daily validation procedure, scheduled processing windows, capacity thresholds, incident contacts and approved interventions. For each intervention identify the operator, reason, affected business process and rollback. Tie monitoring to user outcomes such as data freshness and planning-cycle completion, not only CPU usage.</w:t>
      </w:r>
    </w:p>
    <w:p w14:paraId="0EA0155C" w14:textId="77777777" w:rsidR="00EB0B6B" w:rsidRDefault="00000000">
      <w:pPr>
        <w:pStyle w:val="Heading2"/>
      </w:pPr>
      <w:r>
        <w:rPr>
          <w:rFonts w:ascii="Arial" w:eastAsia="Arial" w:hAnsi="Arial" w:cs="Arial"/>
        </w:rPr>
        <w:t>Performance-test design</w:t>
      </w:r>
    </w:p>
    <w:p w14:paraId="2E603594" w14:textId="77777777" w:rsidR="00EB0B6B" w:rsidRDefault="00000000">
      <w:r>
        <w:rPr>
          <w:rFonts w:eastAsia="Arial" w:cs="Arial"/>
        </w:rPr>
        <w:t>Use realistic concurrent contributors, representative rules, TI jobs and report refreshes. Record the data size, version matrix, response-time distribution, peak memory and errors. Compare like-for-like runs after tuning. Avoid promising capacity from a small sample model or a single-user demonstration.</w:t>
      </w:r>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542E812A" w14:textId="77777777">
        <w:trPr>
          <w:cantSplit/>
          <w:jc w:val="center"/>
        </w:trPr>
        <w:tc>
          <w:tcPr>
            <w:tcW w:w="9706" w:type="dxa"/>
            <w:shd w:val="clear" w:color="auto" w:fill="FFF4DC"/>
            <w:tcMar>
              <w:top w:w="115" w:type="dxa"/>
              <w:left w:w="150" w:type="dxa"/>
              <w:bottom w:w="115" w:type="dxa"/>
              <w:right w:w="150" w:type="dxa"/>
            </w:tcMar>
          </w:tcPr>
          <w:p w14:paraId="3BF4295C" w14:textId="77777777" w:rsidR="00EB0B6B" w:rsidRDefault="00000000">
            <w:pPr>
              <w:keepNext/>
              <w:spacing w:after="80"/>
            </w:pPr>
            <w:r>
              <w:rPr>
                <w:rFonts w:eastAsia="Arial" w:cs="Arial"/>
                <w:b/>
                <w:color w:val="99620C"/>
                <w:sz w:val="19"/>
              </w:rPr>
              <w:t>STOP-CONDITION DISCIPLINE</w:t>
            </w:r>
          </w:p>
          <w:p w14:paraId="20E389E9" w14:textId="77777777" w:rsidR="00EB0B6B" w:rsidRDefault="00000000">
            <w:pPr>
              <w:spacing w:after="0" w:line="254" w:lineRule="auto"/>
            </w:pPr>
            <w:r>
              <w:rPr>
                <w:rFonts w:eastAsia="Arial" w:cs="Arial"/>
                <w:sz w:val="20"/>
              </w:rPr>
              <w:t>Do not repeatedly retry a heavy load or calculation while the system is contended. A bounded retry policy and a named operator are safer than an uncontrolled loop that amplifies an outage.</w:t>
            </w:r>
          </w:p>
        </w:tc>
      </w:tr>
    </w:tbl>
    <w:p w14:paraId="171E1A14" w14:textId="77777777" w:rsidR="00EB0B6B" w:rsidRDefault="00EB0B6B">
      <w:pPr>
        <w:spacing w:after="0" w:line="120" w:lineRule="auto"/>
      </w:pPr>
    </w:p>
    <w:p w14:paraId="78DB215E" w14:textId="77777777" w:rsidR="00EB0B6B" w:rsidRDefault="00000000">
      <w:pPr>
        <w:pStyle w:val="Heading1"/>
        <w:pageBreakBefore/>
      </w:pPr>
      <w:bookmarkStart w:id="23" w:name="chapter_23"/>
      <w:r>
        <w:rPr>
          <w:rFonts w:ascii="Arial" w:eastAsia="Arial" w:hAnsi="Arial" w:cs="Arial"/>
        </w:rPr>
        <w:t>23. Upgrade and migration strategy</w:t>
      </w:r>
      <w:bookmarkEnd w:id="23"/>
    </w:p>
    <w:p w14:paraId="099C0485" w14:textId="77777777" w:rsidR="00EB0B6B" w:rsidRDefault="00000000">
      <w:pPr>
        <w:keepNext/>
        <w:spacing w:after="240"/>
      </w:pPr>
      <w:r>
        <w:rPr>
          <w:rFonts w:eastAsia="Arial" w:cs="Arial"/>
          <w:color w:val="007D79"/>
          <w:sz w:val="20"/>
        </w:rPr>
        <w:t>Treat component alignment and rollback as first-class deliverables.</w:t>
      </w:r>
    </w:p>
    <w:p w14:paraId="41660F0D" w14:textId="77777777" w:rsidR="00EB0B6B" w:rsidRDefault="00000000">
      <w:r>
        <w:rPr>
          <w:rFonts w:eastAsia="Arial" w:cs="Arial"/>
        </w:rPr>
        <w:t>The 2.1.24 download notice recommends aligned Workspace, Excel and Spreadsheet Services builds. Other upgrade boundaries have special requirements: the 2.0.9.21 data-tier installer transition and the Workspace backup / restore boundary are examples. Consult release notes, fix lists, conformance and deprecation notices together.</w:t>
      </w:r>
      <w:r>
        <w:rPr>
          <w:rFonts w:eastAsia="Arial" w:cs="Arial"/>
          <w:color w:val="596C7B"/>
          <w:sz w:val="18"/>
        </w:rPr>
        <w:t xml:space="preserve">  </w:t>
      </w:r>
      <w:hyperlink w:anchor="ref_17" w:history="1">
        <w:r>
          <w:rPr>
            <w:color w:val="145EA8"/>
            <w:sz w:val="18"/>
            <w:szCs w:val="18"/>
          </w:rPr>
          <w:t>[R17]</w:t>
        </w:r>
      </w:hyperlink>
      <w:r>
        <w:rPr>
          <w:rFonts w:eastAsia="Arial" w:cs="Arial"/>
          <w:color w:val="596C7B"/>
          <w:sz w:val="18"/>
        </w:rPr>
        <w:t xml:space="preserve"> </w:t>
      </w:r>
      <w:hyperlink w:anchor="ref_27" w:history="1">
        <w:r>
          <w:rPr>
            <w:color w:val="145EA8"/>
            <w:sz w:val="18"/>
            <w:szCs w:val="18"/>
          </w:rPr>
          <w:t>[R27]</w:t>
        </w:r>
      </w:hyperlink>
      <w:r>
        <w:rPr>
          <w:rFonts w:eastAsia="Arial" w:cs="Arial"/>
          <w:color w:val="596C7B"/>
          <w:sz w:val="18"/>
        </w:rPr>
        <w:t xml:space="preserve"> </w:t>
      </w:r>
      <w:hyperlink w:anchor="ref_19" w:history="1">
        <w:r>
          <w:rPr>
            <w:color w:val="145EA8"/>
            <w:sz w:val="18"/>
            <w:szCs w:val="18"/>
          </w:rPr>
          <w:t>[R19]</w:t>
        </w:r>
      </w:hyperlink>
      <w:r>
        <w:rPr>
          <w:rFonts w:eastAsia="Arial" w:cs="Arial"/>
          <w:color w:val="596C7B"/>
          <w:sz w:val="18"/>
        </w:rPr>
        <w:t xml:space="preserve"> </w:t>
      </w:r>
      <w:hyperlink w:anchor="ref_31" w:history="1">
        <w:r>
          <w:rPr>
            <w:color w:val="145EA8"/>
            <w:sz w:val="18"/>
            <w:szCs w:val="18"/>
          </w:rPr>
          <w:t>[R31]</w:t>
        </w:r>
      </w:hyperlink>
      <w:r>
        <w:rPr>
          <w:rFonts w:eastAsia="Arial" w:cs="Arial"/>
          <w:color w:val="596C7B"/>
          <w:sz w:val="18"/>
        </w:rPr>
        <w:t xml:space="preserve"> </w:t>
      </w:r>
      <w:hyperlink w:anchor="ref_24" w:history="1">
        <w:r>
          <w:rPr>
            <w:color w:val="145EA8"/>
            <w:sz w:val="18"/>
            <w:szCs w:val="18"/>
          </w:rPr>
          <w:t>[R24]</w:t>
        </w:r>
      </w:hyperlink>
      <w:r>
        <w:rPr>
          <w:rFonts w:eastAsia="Arial" w:cs="Arial"/>
          <w:color w:val="596C7B"/>
          <w:sz w:val="18"/>
        </w:rPr>
        <w:t xml:space="preserve"> </w:t>
      </w:r>
      <w:hyperlink w:anchor="ref_49" w:history="1">
        <w:r>
          <w:rPr>
            <w:color w:val="145EA8"/>
            <w:sz w:val="18"/>
            <w:szCs w:val="18"/>
          </w:rPr>
          <w:t>[R49]</w:t>
        </w:r>
      </w:hyperlink>
    </w:p>
    <w:p w14:paraId="035C2A10" w14:textId="77777777" w:rsidR="00EB0B6B" w:rsidRDefault="00000000">
      <w:pPr>
        <w:pStyle w:val="Heading2"/>
      </w:pPr>
      <w:r>
        <w:rPr>
          <w:rFonts w:ascii="Arial" w:eastAsia="Arial" w:hAnsi="Arial" w:cs="Arial"/>
        </w:rPr>
        <w:t>Recommended upgrade procedure</w:t>
      </w:r>
    </w:p>
    <w:p w14:paraId="01C64E1B" w14:textId="77777777" w:rsidR="00EB0B6B" w:rsidRDefault="00000000">
      <w:pPr>
        <w:spacing w:after="80" w:line="257" w:lineRule="auto"/>
        <w:ind w:left="317" w:hanging="317"/>
      </w:pPr>
      <w:r>
        <w:rPr>
          <w:rFonts w:eastAsia="Arial" w:cs="Arial"/>
          <w:b/>
          <w:color w:val="007D79"/>
          <w:sz w:val="21"/>
        </w:rPr>
        <w:t xml:space="preserve">1. </w:t>
      </w:r>
      <w:r>
        <w:rPr>
          <w:rFonts w:eastAsia="Arial" w:cs="Arial"/>
          <w:sz w:val="21"/>
        </w:rPr>
        <w:t>Inventory the source offering, database generation, all component builds, custom integrations and unsupported dependencies.</w:t>
      </w:r>
    </w:p>
    <w:p w14:paraId="2FAF0E51" w14:textId="77777777" w:rsidR="00EB0B6B" w:rsidRDefault="00000000">
      <w:pPr>
        <w:spacing w:after="80" w:line="257" w:lineRule="auto"/>
        <w:ind w:left="317" w:hanging="317"/>
      </w:pPr>
      <w:r>
        <w:rPr>
          <w:rFonts w:eastAsia="Arial" w:cs="Arial"/>
          <w:b/>
          <w:color w:val="007D79"/>
          <w:sz w:val="21"/>
        </w:rPr>
        <w:t xml:space="preserve">2. </w:t>
      </w:r>
      <w:r>
        <w:rPr>
          <w:rFonts w:eastAsia="Arial" w:cs="Arial"/>
          <w:sz w:val="21"/>
        </w:rPr>
        <w:t>Select the target and generate its supported-configuration report; read every intervening required migration step.</w:t>
      </w:r>
    </w:p>
    <w:p w14:paraId="69C50F38" w14:textId="77777777" w:rsidR="00EB0B6B" w:rsidRDefault="00000000">
      <w:pPr>
        <w:spacing w:after="80" w:line="257" w:lineRule="auto"/>
        <w:ind w:left="317" w:hanging="317"/>
      </w:pPr>
      <w:r>
        <w:rPr>
          <w:rFonts w:eastAsia="Arial" w:cs="Arial"/>
          <w:b/>
          <w:color w:val="007D79"/>
          <w:sz w:val="21"/>
        </w:rPr>
        <w:t xml:space="preserve">3. </w:t>
      </w:r>
      <w:r>
        <w:rPr>
          <w:rFonts w:eastAsia="Arial" w:cs="Arial"/>
          <w:sz w:val="21"/>
        </w:rPr>
        <w:t>Create and test the recovery set; preserve installation kits, certificate material and a rollback decision point.</w:t>
      </w:r>
    </w:p>
    <w:p w14:paraId="47E5C75D" w14:textId="77777777" w:rsidR="00EB0B6B" w:rsidRDefault="00000000">
      <w:pPr>
        <w:spacing w:after="80" w:line="257" w:lineRule="auto"/>
        <w:ind w:left="317" w:hanging="317"/>
      </w:pPr>
      <w:r>
        <w:rPr>
          <w:rFonts w:eastAsia="Arial" w:cs="Arial"/>
          <w:b/>
          <w:color w:val="007D79"/>
          <w:sz w:val="21"/>
        </w:rPr>
        <w:t xml:space="preserve">4. </w:t>
      </w:r>
      <w:r>
        <w:rPr>
          <w:rFonts w:eastAsia="Arial" w:cs="Arial"/>
          <w:sz w:val="21"/>
        </w:rPr>
        <w:t>Clone or migrate a representative workload into an isolated test environment.</w:t>
      </w:r>
    </w:p>
    <w:p w14:paraId="551E0377" w14:textId="77777777" w:rsidR="00EB0B6B" w:rsidRDefault="00000000">
      <w:pPr>
        <w:spacing w:after="80" w:line="257" w:lineRule="auto"/>
        <w:ind w:left="317" w:hanging="317"/>
      </w:pPr>
      <w:r>
        <w:rPr>
          <w:rFonts w:eastAsia="Arial" w:cs="Arial"/>
          <w:b/>
          <w:color w:val="007D79"/>
          <w:sz w:val="21"/>
        </w:rPr>
        <w:t xml:space="preserve">5. </w:t>
      </w:r>
      <w:r>
        <w:rPr>
          <w:rFonts w:eastAsia="Arial" w:cs="Arial"/>
          <w:sz w:val="21"/>
        </w:rPr>
        <w:t>Run calculation, security, integration, workflow, Excel, websheet, API and performance regression tests.</w:t>
      </w:r>
    </w:p>
    <w:p w14:paraId="7B77CD69" w14:textId="77777777" w:rsidR="00EB0B6B" w:rsidRDefault="00000000">
      <w:pPr>
        <w:spacing w:after="80" w:line="257" w:lineRule="auto"/>
        <w:ind w:left="317" w:hanging="317"/>
      </w:pPr>
      <w:r>
        <w:rPr>
          <w:rFonts w:eastAsia="Arial" w:cs="Arial"/>
          <w:b/>
          <w:color w:val="007D79"/>
          <w:sz w:val="21"/>
        </w:rPr>
        <w:t xml:space="preserve">6. </w:t>
      </w:r>
      <w:r>
        <w:rPr>
          <w:rFonts w:eastAsia="Arial" w:cs="Arial"/>
          <w:sz w:val="21"/>
        </w:rPr>
        <w:t>Rehearse production cutover, including user communication, source-load freeze, credentials and rescheduling.</w:t>
      </w:r>
    </w:p>
    <w:p w14:paraId="3E10258A" w14:textId="77777777" w:rsidR="00EB0B6B" w:rsidRDefault="00000000">
      <w:pPr>
        <w:spacing w:after="80" w:line="257" w:lineRule="auto"/>
        <w:ind w:left="317" w:hanging="317"/>
      </w:pPr>
      <w:r>
        <w:rPr>
          <w:rFonts w:eastAsia="Arial" w:cs="Arial"/>
          <w:b/>
          <w:color w:val="007D79"/>
          <w:sz w:val="21"/>
        </w:rPr>
        <w:t xml:space="preserve">7. </w:t>
      </w:r>
      <w:r>
        <w:rPr>
          <w:rFonts w:eastAsia="Arial" w:cs="Arial"/>
          <w:sz w:val="21"/>
        </w:rPr>
        <w:t>After cutover, reconcile results and obtain business sign-off before retiring the previous environment.</w:t>
      </w:r>
    </w:p>
    <w:p w14:paraId="0C7CE44C" w14:textId="77777777" w:rsidR="00EB0B6B" w:rsidRDefault="00000000">
      <w:pPr>
        <w:pStyle w:val="Heading2"/>
      </w:pPr>
      <w:r>
        <w:rPr>
          <w:rFonts w:ascii="Arial" w:eastAsia="Arial" w:hAnsi="Arial" w:cs="Arial"/>
        </w:rPr>
        <w:t>TM1 12 is a distinct migration concern</w:t>
      </w:r>
    </w:p>
    <w:p w14:paraId="2E4EDDD3" w14:textId="77777777" w:rsidR="00EB0B6B" w:rsidRDefault="00000000">
      <w:r>
        <w:rPr>
          <w:rFonts w:eastAsia="Arial" w:cs="Arial"/>
        </w:rPr>
        <w:t>Front-end version renumbering does not itself prove that the database generation changed. Review TM1 12 documentation, migration tooling and API / integration compatibility separately. The Local 3.1.11 technical preview is explicitly unsupported for official product support and requires its specified database and Workspace pair.</w:t>
      </w:r>
      <w:r>
        <w:rPr>
          <w:rFonts w:eastAsia="Arial" w:cs="Arial"/>
          <w:color w:val="596C7B"/>
          <w:sz w:val="18"/>
        </w:rPr>
        <w:t xml:space="preserve">  </w:t>
      </w:r>
      <w:hyperlink w:anchor="ref_74" w:history="1">
        <w:r>
          <w:rPr>
            <w:color w:val="145EA8"/>
            <w:sz w:val="18"/>
            <w:szCs w:val="18"/>
          </w:rPr>
          <w:t>[R74]</w:t>
        </w:r>
      </w:hyperlink>
      <w:r>
        <w:rPr>
          <w:rFonts w:eastAsia="Arial" w:cs="Arial"/>
          <w:color w:val="596C7B"/>
          <w:sz w:val="18"/>
        </w:rPr>
        <w:t xml:space="preserve"> </w:t>
      </w:r>
      <w:hyperlink w:anchor="ref_75" w:history="1">
        <w:r>
          <w:rPr>
            <w:color w:val="145EA8"/>
            <w:sz w:val="18"/>
            <w:szCs w:val="18"/>
          </w:rPr>
          <w:t>[R75]</w:t>
        </w:r>
      </w:hyperlink>
      <w:r>
        <w:rPr>
          <w:rFonts w:eastAsia="Arial" w:cs="Arial"/>
          <w:color w:val="596C7B"/>
          <w:sz w:val="18"/>
        </w:rPr>
        <w:t xml:space="preserve"> </w:t>
      </w:r>
      <w:hyperlink w:anchor="ref_18" w:history="1">
        <w:r>
          <w:rPr>
            <w:color w:val="145EA8"/>
            <w:sz w:val="18"/>
            <w:szCs w:val="18"/>
          </w:rPr>
          <w:t>[R18]</w:t>
        </w:r>
      </w:hyperlink>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68BF8F23" w14:textId="77777777">
        <w:trPr>
          <w:cantSplit/>
          <w:jc w:val="center"/>
        </w:trPr>
        <w:tc>
          <w:tcPr>
            <w:tcW w:w="9706" w:type="dxa"/>
            <w:shd w:val="clear" w:color="auto" w:fill="FFF4DC"/>
            <w:tcMar>
              <w:top w:w="115" w:type="dxa"/>
              <w:left w:w="150" w:type="dxa"/>
              <w:bottom w:w="115" w:type="dxa"/>
              <w:right w:w="150" w:type="dxa"/>
            </w:tcMar>
          </w:tcPr>
          <w:p w14:paraId="22A0B38F" w14:textId="77777777" w:rsidR="00EB0B6B" w:rsidRDefault="00000000">
            <w:pPr>
              <w:keepNext/>
              <w:spacing w:after="80"/>
            </w:pPr>
            <w:r>
              <w:rPr>
                <w:rFonts w:eastAsia="Arial" w:cs="Arial"/>
                <w:b/>
                <w:color w:val="99620C"/>
                <w:sz w:val="19"/>
              </w:rPr>
              <w:t>PREVIEW IS NOT PRODUCTION AUTHORIZATION</w:t>
            </w:r>
          </w:p>
          <w:p w14:paraId="0A152881" w14:textId="77777777" w:rsidR="00EB0B6B" w:rsidRDefault="00000000">
            <w:pPr>
              <w:spacing w:after="0" w:line="254" w:lineRule="auto"/>
            </w:pPr>
            <w:r>
              <w:rPr>
                <w:rFonts w:eastAsia="Arial" w:cs="Arial"/>
                <w:sz w:val="20"/>
              </w:rPr>
              <w:t>Evaluate technical-preview capabilities in an isolated environment with nonproduction data. A newer version number, downloadable kit or successful demo does not replace a production support statement and validated architecture.</w:t>
            </w:r>
          </w:p>
        </w:tc>
      </w:tr>
    </w:tbl>
    <w:p w14:paraId="17E32D59" w14:textId="77777777" w:rsidR="00EB0B6B" w:rsidRDefault="00EB0B6B">
      <w:pPr>
        <w:spacing w:after="0" w:line="120" w:lineRule="auto"/>
      </w:pPr>
    </w:p>
    <w:p w14:paraId="014F7DF0" w14:textId="77777777" w:rsidR="00EB0B6B" w:rsidRDefault="00000000">
      <w:r>
        <w:rPr>
          <w:rFonts w:eastAsia="Arial" w:cs="Arial"/>
        </w:rPr>
        <w:t>Check lifecycle terms and extensions directly before planning an upgrade deadline; older lifecycle pages may not reflect a customer's current support position.</w:t>
      </w:r>
      <w:r>
        <w:rPr>
          <w:rFonts w:eastAsia="Arial" w:cs="Arial"/>
          <w:color w:val="596C7B"/>
          <w:sz w:val="18"/>
        </w:rPr>
        <w:t xml:space="preserve">  </w:t>
      </w:r>
      <w:hyperlink w:anchor="ref_20" w:history="1">
        <w:r>
          <w:rPr>
            <w:color w:val="145EA8"/>
            <w:sz w:val="18"/>
            <w:szCs w:val="18"/>
          </w:rPr>
          <w:t>[R20]</w:t>
        </w:r>
      </w:hyperlink>
    </w:p>
    <w:p w14:paraId="619F020E" w14:textId="77777777" w:rsidR="00EB0B6B" w:rsidRDefault="00000000">
      <w:pPr>
        <w:pStyle w:val="Heading1"/>
        <w:pageBreakBefore/>
      </w:pPr>
      <w:bookmarkStart w:id="24" w:name="chapter_24"/>
      <w:r>
        <w:rPr>
          <w:rFonts w:ascii="Arial" w:eastAsia="Arial" w:hAnsi="Arial" w:cs="Arial"/>
        </w:rPr>
        <w:t>24. New features: what to evaluate now</w:t>
      </w:r>
      <w:bookmarkEnd w:id="24"/>
    </w:p>
    <w:p w14:paraId="2C1EB0D3" w14:textId="77777777" w:rsidR="00EB0B6B" w:rsidRDefault="00000000">
      <w:pPr>
        <w:keepNext/>
        <w:spacing w:after="240"/>
      </w:pPr>
      <w:r>
        <w:rPr>
          <w:rFonts w:eastAsia="Arial" w:cs="Arial"/>
          <w:color w:val="007D79"/>
          <w:sz w:val="20"/>
        </w:rPr>
        <w:t>Keep release, offering and feature availability together.</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872"/>
        <w:gridCol w:w="4349"/>
        <w:gridCol w:w="3485"/>
      </w:tblGrid>
      <w:tr w:rsidR="00EB0B6B" w14:paraId="1A5A8566" w14:textId="77777777">
        <w:trPr>
          <w:cantSplit/>
          <w:tblHeader/>
          <w:jc w:val="center"/>
        </w:trPr>
        <w:tc>
          <w:tcPr>
            <w:tcW w:w="1872" w:type="dxa"/>
            <w:shd w:val="clear" w:color="auto" w:fill="16324F"/>
            <w:tcMar>
              <w:top w:w="100" w:type="dxa"/>
              <w:left w:w="110" w:type="dxa"/>
              <w:bottom w:w="100" w:type="dxa"/>
              <w:right w:w="110" w:type="dxa"/>
            </w:tcMar>
            <w:vAlign w:val="center"/>
          </w:tcPr>
          <w:p w14:paraId="30725683" w14:textId="77777777" w:rsidR="00EB0B6B" w:rsidRDefault="00000000">
            <w:pPr>
              <w:spacing w:after="0" w:line="252" w:lineRule="auto"/>
            </w:pPr>
            <w:r>
              <w:rPr>
                <w:rFonts w:eastAsia="Arial" w:cs="Arial"/>
                <w:b/>
                <w:color w:val="FFFFFF"/>
                <w:sz w:val="20"/>
              </w:rPr>
              <w:t>Feature area</w:t>
            </w:r>
          </w:p>
        </w:tc>
        <w:tc>
          <w:tcPr>
            <w:tcW w:w="4349" w:type="dxa"/>
            <w:shd w:val="clear" w:color="auto" w:fill="16324F"/>
            <w:tcMar>
              <w:top w:w="100" w:type="dxa"/>
              <w:left w:w="110" w:type="dxa"/>
              <w:bottom w:w="100" w:type="dxa"/>
              <w:right w:w="110" w:type="dxa"/>
            </w:tcMar>
            <w:vAlign w:val="center"/>
          </w:tcPr>
          <w:p w14:paraId="2D6D9A7C" w14:textId="77777777" w:rsidR="00EB0B6B" w:rsidRDefault="00000000">
            <w:pPr>
              <w:spacing w:after="0" w:line="252" w:lineRule="auto"/>
            </w:pPr>
            <w:r>
              <w:rPr>
                <w:rFonts w:eastAsia="Arial" w:cs="Arial"/>
                <w:b/>
                <w:color w:val="FFFFFF"/>
                <w:sz w:val="20"/>
              </w:rPr>
              <w:t>Reviewed change</w:t>
            </w:r>
          </w:p>
        </w:tc>
        <w:tc>
          <w:tcPr>
            <w:tcW w:w="3485" w:type="dxa"/>
            <w:shd w:val="clear" w:color="auto" w:fill="16324F"/>
            <w:tcMar>
              <w:top w:w="100" w:type="dxa"/>
              <w:left w:w="110" w:type="dxa"/>
              <w:bottom w:w="100" w:type="dxa"/>
              <w:right w:w="110" w:type="dxa"/>
            </w:tcMar>
            <w:vAlign w:val="center"/>
          </w:tcPr>
          <w:p w14:paraId="60CC580B" w14:textId="77777777" w:rsidR="00EB0B6B" w:rsidRDefault="00000000">
            <w:pPr>
              <w:spacing w:after="0" w:line="252" w:lineRule="auto"/>
            </w:pPr>
            <w:r>
              <w:rPr>
                <w:rFonts w:eastAsia="Arial" w:cs="Arial"/>
                <w:b/>
                <w:color w:val="FFFFFF"/>
                <w:sz w:val="20"/>
              </w:rPr>
              <w:t>Qualification / action</w:t>
            </w:r>
          </w:p>
        </w:tc>
      </w:tr>
      <w:tr w:rsidR="00EB0B6B" w14:paraId="2FDF8433" w14:textId="77777777">
        <w:trPr>
          <w:cantSplit/>
          <w:jc w:val="center"/>
        </w:trPr>
        <w:tc>
          <w:tcPr>
            <w:tcW w:w="1872" w:type="dxa"/>
            <w:tcMar>
              <w:top w:w="85" w:type="dxa"/>
              <w:left w:w="110" w:type="dxa"/>
              <w:bottom w:w="85" w:type="dxa"/>
              <w:right w:w="110" w:type="dxa"/>
            </w:tcMar>
            <w:vAlign w:val="center"/>
          </w:tcPr>
          <w:p w14:paraId="1DBC6702" w14:textId="77777777" w:rsidR="00EB0B6B" w:rsidRDefault="00000000">
            <w:pPr>
              <w:spacing w:after="0" w:line="252" w:lineRule="auto"/>
            </w:pPr>
            <w:r>
              <w:rPr>
                <w:rFonts w:eastAsia="Arial" w:cs="Arial"/>
                <w:b/>
                <w:color w:val="16324F"/>
                <w:sz w:val="20"/>
              </w:rPr>
              <w:t>Release alignment</w:t>
            </w:r>
          </w:p>
        </w:tc>
        <w:tc>
          <w:tcPr>
            <w:tcW w:w="4349" w:type="dxa"/>
            <w:tcMar>
              <w:top w:w="85" w:type="dxa"/>
              <w:left w:w="110" w:type="dxa"/>
              <w:bottom w:w="85" w:type="dxa"/>
              <w:right w:w="110" w:type="dxa"/>
            </w:tcMar>
            <w:vAlign w:val="center"/>
          </w:tcPr>
          <w:p w14:paraId="5FC8801B" w14:textId="77777777" w:rsidR="00EB0B6B" w:rsidRDefault="00000000">
            <w:pPr>
              <w:spacing w:after="0" w:line="252" w:lineRule="auto"/>
            </w:pPr>
            <w:r>
              <w:rPr>
                <w:rFonts w:eastAsia="Arial" w:cs="Arial"/>
                <w:sz w:val="20"/>
              </w:rPr>
              <w:t>Local 2.1.24 is the September 2026 refresh.</w:t>
            </w:r>
          </w:p>
        </w:tc>
        <w:tc>
          <w:tcPr>
            <w:tcW w:w="3485" w:type="dxa"/>
            <w:tcMar>
              <w:top w:w="85" w:type="dxa"/>
              <w:left w:w="110" w:type="dxa"/>
              <w:bottom w:w="85" w:type="dxa"/>
              <w:right w:w="110" w:type="dxa"/>
            </w:tcMar>
            <w:vAlign w:val="center"/>
          </w:tcPr>
          <w:p w14:paraId="29E7777B" w14:textId="77777777" w:rsidR="00EB0B6B" w:rsidRDefault="00000000">
            <w:pPr>
              <w:spacing w:after="0" w:line="252" w:lineRule="auto"/>
            </w:pPr>
            <w:r>
              <w:rPr>
                <w:rFonts w:eastAsia="Arial" w:cs="Arial"/>
                <w:sz w:val="20"/>
              </w:rPr>
              <w:t>Use its recommended companion components and fix list.</w:t>
            </w:r>
          </w:p>
        </w:tc>
      </w:tr>
      <w:tr w:rsidR="00EB0B6B" w14:paraId="23212B6B" w14:textId="77777777">
        <w:trPr>
          <w:cantSplit/>
          <w:jc w:val="center"/>
        </w:trPr>
        <w:tc>
          <w:tcPr>
            <w:tcW w:w="1872" w:type="dxa"/>
            <w:tcMar>
              <w:top w:w="85" w:type="dxa"/>
              <w:left w:w="110" w:type="dxa"/>
              <w:bottom w:w="85" w:type="dxa"/>
              <w:right w:w="110" w:type="dxa"/>
            </w:tcMar>
            <w:vAlign w:val="center"/>
          </w:tcPr>
          <w:p w14:paraId="2CDF5C30" w14:textId="77777777" w:rsidR="00EB0B6B" w:rsidRDefault="00000000">
            <w:pPr>
              <w:spacing w:after="0" w:line="252" w:lineRule="auto"/>
            </w:pPr>
            <w:r>
              <w:rPr>
                <w:rFonts w:eastAsia="Arial" w:cs="Arial"/>
                <w:b/>
                <w:color w:val="16324F"/>
                <w:sz w:val="20"/>
              </w:rPr>
              <w:t>Forecasting</w:t>
            </w:r>
          </w:p>
        </w:tc>
        <w:tc>
          <w:tcPr>
            <w:tcW w:w="4349" w:type="dxa"/>
            <w:tcMar>
              <w:top w:w="85" w:type="dxa"/>
              <w:left w:w="110" w:type="dxa"/>
              <w:bottom w:w="85" w:type="dxa"/>
              <w:right w:w="110" w:type="dxa"/>
            </w:tcMar>
            <w:vAlign w:val="center"/>
          </w:tcPr>
          <w:p w14:paraId="0FE0781B" w14:textId="77777777" w:rsidR="00EB0B6B" w:rsidRDefault="00000000">
            <w:pPr>
              <w:spacing w:after="0" w:line="252" w:lineRule="auto"/>
            </w:pPr>
            <w:r>
              <w:rPr>
                <w:rFonts w:eastAsia="Arial" w:cs="Arial"/>
                <w:sz w:val="20"/>
              </w:rPr>
              <w:t>Extended engine provides additional model choices.</w:t>
            </w:r>
          </w:p>
        </w:tc>
        <w:tc>
          <w:tcPr>
            <w:tcW w:w="3485" w:type="dxa"/>
            <w:tcMar>
              <w:top w:w="85" w:type="dxa"/>
              <w:left w:w="110" w:type="dxa"/>
              <w:bottom w:w="85" w:type="dxa"/>
              <w:right w:w="110" w:type="dxa"/>
            </w:tcMar>
            <w:vAlign w:val="center"/>
          </w:tcPr>
          <w:p w14:paraId="316C4F0B" w14:textId="77777777" w:rsidR="00EB0B6B" w:rsidRDefault="00000000">
            <w:pPr>
              <w:spacing w:after="0" w:line="252" w:lineRule="auto"/>
            </w:pPr>
            <w:r>
              <w:rPr>
                <w:rFonts w:eastAsia="Arial" w:cs="Arial"/>
                <w:sz w:val="20"/>
              </w:rPr>
              <w:t>Verify the deployed release and evaluate forecast quality on held-out data.</w:t>
            </w:r>
          </w:p>
        </w:tc>
      </w:tr>
      <w:tr w:rsidR="00EB0B6B" w14:paraId="6F6F9FE0" w14:textId="77777777">
        <w:trPr>
          <w:cantSplit/>
          <w:jc w:val="center"/>
        </w:trPr>
        <w:tc>
          <w:tcPr>
            <w:tcW w:w="1872" w:type="dxa"/>
            <w:tcMar>
              <w:top w:w="85" w:type="dxa"/>
              <w:left w:w="110" w:type="dxa"/>
              <w:bottom w:w="85" w:type="dxa"/>
              <w:right w:w="110" w:type="dxa"/>
            </w:tcMar>
            <w:vAlign w:val="center"/>
          </w:tcPr>
          <w:p w14:paraId="4A8B7A38" w14:textId="77777777" w:rsidR="00EB0B6B" w:rsidRDefault="00000000">
            <w:pPr>
              <w:spacing w:after="0" w:line="252" w:lineRule="auto"/>
            </w:pPr>
            <w:r>
              <w:rPr>
                <w:rFonts w:eastAsia="Arial" w:cs="Arial"/>
                <w:b/>
                <w:color w:val="16324F"/>
                <w:sz w:val="20"/>
              </w:rPr>
              <w:t>SaaS data sources</w:t>
            </w:r>
          </w:p>
        </w:tc>
        <w:tc>
          <w:tcPr>
            <w:tcW w:w="4349" w:type="dxa"/>
            <w:tcMar>
              <w:top w:w="85" w:type="dxa"/>
              <w:left w:w="110" w:type="dxa"/>
              <w:bottom w:w="85" w:type="dxa"/>
              <w:right w:w="110" w:type="dxa"/>
            </w:tcMar>
            <w:vAlign w:val="center"/>
          </w:tcPr>
          <w:p w14:paraId="63DC81B8" w14:textId="77777777" w:rsidR="00EB0B6B" w:rsidRDefault="00000000">
            <w:pPr>
              <w:spacing w:after="0" w:line="252" w:lineRule="auto"/>
            </w:pPr>
            <w:r>
              <w:rPr>
                <w:rFonts w:eastAsia="Arial" w:cs="Arial"/>
                <w:sz w:val="20"/>
              </w:rPr>
              <w:t>3.1.11 adds Redshift, Box, Dremio, Dropbox, FTP, Google Cloud Storage, Netezza and Azure Fabric Warehouse connections.</w:t>
            </w:r>
          </w:p>
        </w:tc>
        <w:tc>
          <w:tcPr>
            <w:tcW w:w="3485" w:type="dxa"/>
            <w:tcMar>
              <w:top w:w="85" w:type="dxa"/>
              <w:left w:w="110" w:type="dxa"/>
              <w:bottom w:w="85" w:type="dxa"/>
              <w:right w:w="110" w:type="dxa"/>
            </w:tcMar>
            <w:vAlign w:val="center"/>
          </w:tcPr>
          <w:p w14:paraId="1D6965B5" w14:textId="77777777" w:rsidR="00EB0B6B" w:rsidRDefault="00000000">
            <w:pPr>
              <w:spacing w:after="0" w:line="252" w:lineRule="auto"/>
            </w:pPr>
            <w:r>
              <w:rPr>
                <w:rFonts w:eastAsia="Arial" w:cs="Arial"/>
                <w:sz w:val="20"/>
              </w:rPr>
              <w:t>The notice scopes this list to SaaS and Advanced Certified Containers.</w:t>
            </w:r>
          </w:p>
        </w:tc>
      </w:tr>
      <w:tr w:rsidR="00EB0B6B" w14:paraId="218FD911" w14:textId="77777777">
        <w:trPr>
          <w:cantSplit/>
          <w:jc w:val="center"/>
        </w:trPr>
        <w:tc>
          <w:tcPr>
            <w:tcW w:w="1872" w:type="dxa"/>
            <w:tcMar>
              <w:top w:w="85" w:type="dxa"/>
              <w:left w:w="110" w:type="dxa"/>
              <w:bottom w:w="85" w:type="dxa"/>
              <w:right w:w="110" w:type="dxa"/>
            </w:tcMar>
            <w:vAlign w:val="center"/>
          </w:tcPr>
          <w:p w14:paraId="28554D63" w14:textId="77777777" w:rsidR="00EB0B6B" w:rsidRDefault="00000000">
            <w:pPr>
              <w:spacing w:after="0" w:line="252" w:lineRule="auto"/>
            </w:pPr>
            <w:r>
              <w:rPr>
                <w:rFonts w:eastAsia="Arial" w:cs="Arial"/>
                <w:b/>
                <w:color w:val="16324F"/>
                <w:sz w:val="20"/>
              </w:rPr>
              <w:t>AI provider</w:t>
            </w:r>
          </w:p>
        </w:tc>
        <w:tc>
          <w:tcPr>
            <w:tcW w:w="4349" w:type="dxa"/>
            <w:tcMar>
              <w:top w:w="85" w:type="dxa"/>
              <w:left w:w="110" w:type="dxa"/>
              <w:bottom w:w="85" w:type="dxa"/>
              <w:right w:w="110" w:type="dxa"/>
            </w:tcMar>
            <w:vAlign w:val="center"/>
          </w:tcPr>
          <w:p w14:paraId="6B868FED" w14:textId="77777777" w:rsidR="00EB0B6B" w:rsidRDefault="00000000">
            <w:pPr>
              <w:spacing w:after="0" w:line="252" w:lineRule="auto"/>
            </w:pPr>
            <w:r>
              <w:rPr>
                <w:rFonts w:eastAsia="Arial" w:cs="Arial"/>
                <w:sz w:val="20"/>
              </w:rPr>
              <w:t>3.1.11 adds an Amazon Bedrock provider option alongside watsonx.ai.</w:t>
            </w:r>
          </w:p>
        </w:tc>
        <w:tc>
          <w:tcPr>
            <w:tcW w:w="3485" w:type="dxa"/>
            <w:tcMar>
              <w:top w:w="85" w:type="dxa"/>
              <w:left w:w="110" w:type="dxa"/>
              <w:bottom w:w="85" w:type="dxa"/>
              <w:right w:w="110" w:type="dxa"/>
            </w:tcMar>
            <w:vAlign w:val="center"/>
          </w:tcPr>
          <w:p w14:paraId="244C6372" w14:textId="77777777" w:rsidR="00EB0B6B" w:rsidRDefault="00000000">
            <w:pPr>
              <w:spacing w:after="0" w:line="252" w:lineRule="auto"/>
            </w:pPr>
            <w:r>
              <w:rPr>
                <w:rFonts w:eastAsia="Arial" w:cs="Arial"/>
                <w:sz w:val="20"/>
              </w:rPr>
              <w:t>Feature-flag, credentials and model configuration apply; do not assume entitlement.</w:t>
            </w:r>
          </w:p>
        </w:tc>
      </w:tr>
      <w:tr w:rsidR="00EB0B6B" w14:paraId="5E7F5FD2" w14:textId="77777777">
        <w:trPr>
          <w:cantSplit/>
          <w:jc w:val="center"/>
        </w:trPr>
        <w:tc>
          <w:tcPr>
            <w:tcW w:w="1872" w:type="dxa"/>
            <w:tcMar>
              <w:top w:w="85" w:type="dxa"/>
              <w:left w:w="110" w:type="dxa"/>
              <w:bottom w:w="85" w:type="dxa"/>
              <w:right w:w="110" w:type="dxa"/>
            </w:tcMar>
            <w:vAlign w:val="center"/>
          </w:tcPr>
          <w:p w14:paraId="2687340C" w14:textId="77777777" w:rsidR="00EB0B6B" w:rsidRDefault="00000000">
            <w:pPr>
              <w:spacing w:after="0" w:line="252" w:lineRule="auto"/>
            </w:pPr>
            <w:r>
              <w:rPr>
                <w:rFonts w:eastAsia="Arial" w:cs="Arial"/>
                <w:b/>
                <w:color w:val="16324F"/>
                <w:sz w:val="20"/>
              </w:rPr>
              <w:t>Database APIs</w:t>
            </w:r>
          </w:p>
        </w:tc>
        <w:tc>
          <w:tcPr>
            <w:tcW w:w="4349" w:type="dxa"/>
            <w:tcMar>
              <w:top w:w="85" w:type="dxa"/>
              <w:left w:w="110" w:type="dxa"/>
              <w:bottom w:w="85" w:type="dxa"/>
              <w:right w:w="110" w:type="dxa"/>
            </w:tcMar>
            <w:vAlign w:val="center"/>
          </w:tcPr>
          <w:p w14:paraId="2BE48627" w14:textId="77777777" w:rsidR="00EB0B6B" w:rsidRDefault="00000000">
            <w:pPr>
              <w:spacing w:after="0" w:line="252" w:lineRule="auto"/>
            </w:pPr>
            <w:r>
              <w:rPr>
                <w:rFonts w:eastAsia="Arial" w:cs="Arial"/>
                <w:sz w:val="20"/>
              </w:rPr>
              <w:t>Workspace REST database-management capabilities expand.</w:t>
            </w:r>
          </w:p>
        </w:tc>
        <w:tc>
          <w:tcPr>
            <w:tcW w:w="3485" w:type="dxa"/>
            <w:tcMar>
              <w:top w:w="85" w:type="dxa"/>
              <w:left w:w="110" w:type="dxa"/>
              <w:bottom w:w="85" w:type="dxa"/>
              <w:right w:w="110" w:type="dxa"/>
            </w:tcMar>
            <w:vAlign w:val="center"/>
          </w:tcPr>
          <w:p w14:paraId="78FB5F2E" w14:textId="77777777" w:rsidR="00EB0B6B" w:rsidRDefault="00000000">
            <w:pPr>
              <w:spacing w:after="0" w:line="252" w:lineRule="auto"/>
            </w:pPr>
            <w:r>
              <w:rPr>
                <w:rFonts w:eastAsia="Arial" w:cs="Arial"/>
                <w:sz w:val="20"/>
              </w:rPr>
              <w:t>Create, delete and backup-management operations cited in the notice are TM1 12-specific.</w:t>
            </w:r>
          </w:p>
        </w:tc>
      </w:tr>
      <w:tr w:rsidR="00EB0B6B" w14:paraId="22D8BF17" w14:textId="77777777">
        <w:trPr>
          <w:cantSplit/>
          <w:jc w:val="center"/>
        </w:trPr>
        <w:tc>
          <w:tcPr>
            <w:tcW w:w="1872" w:type="dxa"/>
            <w:tcMar>
              <w:top w:w="85" w:type="dxa"/>
              <w:left w:w="110" w:type="dxa"/>
              <w:bottom w:w="85" w:type="dxa"/>
              <w:right w:w="110" w:type="dxa"/>
            </w:tcMar>
            <w:vAlign w:val="center"/>
          </w:tcPr>
          <w:p w14:paraId="578BDBB8" w14:textId="77777777" w:rsidR="00EB0B6B" w:rsidRDefault="00000000">
            <w:pPr>
              <w:spacing w:after="0" w:line="252" w:lineRule="auto"/>
            </w:pPr>
            <w:r>
              <w:rPr>
                <w:rFonts w:eastAsia="Arial" w:cs="Arial"/>
                <w:b/>
                <w:color w:val="16324F"/>
                <w:sz w:val="20"/>
              </w:rPr>
              <w:t>Plans and reporting</w:t>
            </w:r>
          </w:p>
        </w:tc>
        <w:tc>
          <w:tcPr>
            <w:tcW w:w="4349" w:type="dxa"/>
            <w:tcMar>
              <w:top w:w="85" w:type="dxa"/>
              <w:left w:w="110" w:type="dxa"/>
              <w:bottom w:w="85" w:type="dxa"/>
              <w:right w:w="110" w:type="dxa"/>
            </w:tcMar>
            <w:vAlign w:val="center"/>
          </w:tcPr>
          <w:p w14:paraId="2B791948" w14:textId="77777777" w:rsidR="00EB0B6B" w:rsidRDefault="00000000">
            <w:pPr>
              <w:spacing w:after="0" w:line="252" w:lineRule="auto"/>
            </w:pPr>
            <w:r>
              <w:rPr>
                <w:rFonts w:eastAsia="Arial" w:cs="Arial"/>
                <w:sz w:val="20"/>
              </w:rPr>
              <w:t>3.1.11 updates task action logs, approval navigation and exploration reports.</w:t>
            </w:r>
          </w:p>
        </w:tc>
        <w:tc>
          <w:tcPr>
            <w:tcW w:w="3485" w:type="dxa"/>
            <w:tcMar>
              <w:top w:w="85" w:type="dxa"/>
              <w:left w:w="110" w:type="dxa"/>
              <w:bottom w:w="85" w:type="dxa"/>
              <w:right w:w="110" w:type="dxa"/>
            </w:tcMar>
            <w:vAlign w:val="center"/>
          </w:tcPr>
          <w:p w14:paraId="5FCBA729" w14:textId="77777777" w:rsidR="00EB0B6B" w:rsidRDefault="00000000">
            <w:pPr>
              <w:spacing w:after="0" w:line="252" w:lineRule="auto"/>
            </w:pPr>
            <w:r>
              <w:rPr>
                <w:rFonts w:eastAsia="Arial" w:cs="Arial"/>
                <w:sz w:val="20"/>
              </w:rPr>
              <w:t>Regression-test existing planning workflows and book interactions.</w:t>
            </w:r>
          </w:p>
        </w:tc>
      </w:tr>
      <w:tr w:rsidR="00EB0B6B" w14:paraId="56170916" w14:textId="77777777">
        <w:trPr>
          <w:cantSplit/>
          <w:jc w:val="center"/>
        </w:trPr>
        <w:tc>
          <w:tcPr>
            <w:tcW w:w="1872" w:type="dxa"/>
            <w:tcMar>
              <w:top w:w="85" w:type="dxa"/>
              <w:left w:w="110" w:type="dxa"/>
              <w:bottom w:w="85" w:type="dxa"/>
              <w:right w:w="110" w:type="dxa"/>
            </w:tcMar>
            <w:vAlign w:val="center"/>
          </w:tcPr>
          <w:p w14:paraId="70279E1C" w14:textId="77777777" w:rsidR="00EB0B6B" w:rsidRDefault="00000000">
            <w:pPr>
              <w:spacing w:after="0" w:line="252" w:lineRule="auto"/>
            </w:pPr>
            <w:r>
              <w:rPr>
                <w:rFonts w:eastAsia="Arial" w:cs="Arial"/>
                <w:b/>
                <w:color w:val="16324F"/>
                <w:sz w:val="20"/>
              </w:rPr>
              <w:t>Agent / API integration</w:t>
            </w:r>
          </w:p>
        </w:tc>
        <w:tc>
          <w:tcPr>
            <w:tcW w:w="4349" w:type="dxa"/>
            <w:tcMar>
              <w:top w:w="85" w:type="dxa"/>
              <w:left w:w="110" w:type="dxa"/>
              <w:bottom w:w="85" w:type="dxa"/>
              <w:right w:w="110" w:type="dxa"/>
            </w:tcMar>
            <w:vAlign w:val="center"/>
          </w:tcPr>
          <w:p w14:paraId="3AE98053" w14:textId="77777777" w:rsidR="00EB0B6B" w:rsidRDefault="00000000">
            <w:pPr>
              <w:spacing w:after="0" w:line="252" w:lineRule="auto"/>
            </w:pPr>
            <w:r>
              <w:rPr>
                <w:rFonts w:eastAsia="Arial" w:cs="Arial"/>
                <w:sz w:val="20"/>
              </w:rPr>
              <w:t>3.1.9 includes agent, modeling, notification and API changes.</w:t>
            </w:r>
          </w:p>
        </w:tc>
        <w:tc>
          <w:tcPr>
            <w:tcW w:w="3485" w:type="dxa"/>
            <w:tcMar>
              <w:top w:w="85" w:type="dxa"/>
              <w:left w:w="110" w:type="dxa"/>
              <w:bottom w:w="85" w:type="dxa"/>
              <w:right w:w="110" w:type="dxa"/>
            </w:tcMar>
            <w:vAlign w:val="center"/>
          </w:tcPr>
          <w:p w14:paraId="2AECB636" w14:textId="77777777" w:rsidR="00EB0B6B" w:rsidRDefault="00000000">
            <w:pPr>
              <w:spacing w:after="0" w:line="252" w:lineRule="auto"/>
            </w:pPr>
            <w:r>
              <w:rPr>
                <w:rFonts w:eastAsia="Arial" w:cs="Arial"/>
                <w:sz w:val="20"/>
              </w:rPr>
              <w:t>Review integrations and endpoint changes rather than only the visual UI.</w:t>
            </w:r>
          </w:p>
        </w:tc>
      </w:tr>
    </w:tbl>
    <w:p w14:paraId="4CC4782B" w14:textId="77777777" w:rsidR="00EB0B6B" w:rsidRDefault="00EB0B6B">
      <w:pPr>
        <w:spacing w:after="0" w:line="120" w:lineRule="auto"/>
      </w:pPr>
    </w:p>
    <w:p w14:paraId="2842E808" w14:textId="77777777" w:rsidR="00EB0B6B" w:rsidRDefault="00000000">
      <w:r>
        <w:rPr>
          <w:rFonts w:eastAsia="Arial" w:cs="Arial"/>
        </w:rPr>
        <w:t>Release sources: Local download notice, SaaS 3.1.11 / 3.1.9 announcements and IBM's forecasting introduction.</w:t>
      </w:r>
      <w:r>
        <w:rPr>
          <w:rFonts w:eastAsia="Arial" w:cs="Arial"/>
          <w:color w:val="596C7B"/>
          <w:sz w:val="18"/>
        </w:rPr>
        <w:t xml:space="preserve">  </w:t>
      </w:r>
      <w:hyperlink w:anchor="ref_17" w:history="1">
        <w:r>
          <w:rPr>
            <w:color w:val="145EA8"/>
            <w:sz w:val="18"/>
            <w:szCs w:val="18"/>
          </w:rPr>
          <w:t>[R17]</w:t>
        </w:r>
      </w:hyperlink>
      <w:r>
        <w:rPr>
          <w:rFonts w:eastAsia="Arial" w:cs="Arial"/>
          <w:color w:val="596C7B"/>
          <w:sz w:val="18"/>
        </w:rPr>
        <w:t xml:space="preserve"> </w:t>
      </w:r>
      <w:hyperlink w:anchor="ref_69" w:history="1">
        <w:r>
          <w:rPr>
            <w:color w:val="145EA8"/>
            <w:sz w:val="18"/>
            <w:szCs w:val="18"/>
          </w:rPr>
          <w:t>[R69]</w:t>
        </w:r>
      </w:hyperlink>
      <w:r>
        <w:rPr>
          <w:rFonts w:eastAsia="Arial" w:cs="Arial"/>
          <w:color w:val="596C7B"/>
          <w:sz w:val="18"/>
        </w:rPr>
        <w:t xml:space="preserve"> </w:t>
      </w:r>
      <w:hyperlink w:anchor="ref_70" w:history="1">
        <w:r>
          <w:rPr>
            <w:color w:val="145EA8"/>
            <w:sz w:val="18"/>
            <w:szCs w:val="18"/>
          </w:rPr>
          <w:t>[R70]</w:t>
        </w:r>
      </w:hyperlink>
      <w:r>
        <w:rPr>
          <w:rFonts w:eastAsia="Arial" w:cs="Arial"/>
          <w:color w:val="596C7B"/>
          <w:sz w:val="18"/>
        </w:rPr>
        <w:t xml:space="preserve"> </w:t>
      </w:r>
      <w:hyperlink w:anchor="ref_71" w:history="1">
        <w:r>
          <w:rPr>
            <w:color w:val="145EA8"/>
            <w:sz w:val="18"/>
            <w:szCs w:val="18"/>
          </w:rPr>
          <w:t>[R71]</w:t>
        </w:r>
      </w:hyperlink>
    </w:p>
    <w:p w14:paraId="29CC4FA7" w14:textId="77777777" w:rsidR="00EB0B6B" w:rsidRDefault="00000000">
      <w:pPr>
        <w:pStyle w:val="Heading2"/>
      </w:pPr>
      <w:r>
        <w:rPr>
          <w:rFonts w:ascii="Arial" w:eastAsia="Arial" w:hAnsi="Arial" w:cs="Arial"/>
        </w:rPr>
        <w:t>How to evaluate a feature</w:t>
      </w:r>
    </w:p>
    <w:p w14:paraId="1E187DDB" w14:textId="77777777" w:rsidR="00EB0B6B" w:rsidRDefault="00000000">
      <w:r>
        <w:rPr>
          <w:rFonts w:eastAsia="Arial" w:cs="Arial"/>
        </w:rPr>
        <w:t>Record the business problem, target release and offering, feature flag / entitlement, data exposed, permissions, test method, expected result and rollback. Test with ordinary users. Update training and runbooks only after validating the actual deployed behavior.</w:t>
      </w:r>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12E5228B" w14:textId="77777777">
        <w:trPr>
          <w:cantSplit/>
          <w:jc w:val="center"/>
        </w:trPr>
        <w:tc>
          <w:tcPr>
            <w:tcW w:w="9706" w:type="dxa"/>
            <w:shd w:val="clear" w:color="auto" w:fill="EDF4FA"/>
            <w:tcMar>
              <w:top w:w="115" w:type="dxa"/>
              <w:left w:w="150" w:type="dxa"/>
              <w:bottom w:w="115" w:type="dxa"/>
              <w:right w:w="150" w:type="dxa"/>
            </w:tcMar>
          </w:tcPr>
          <w:p w14:paraId="2CA0F946" w14:textId="77777777" w:rsidR="00EB0B6B" w:rsidRDefault="00000000">
            <w:pPr>
              <w:keepNext/>
              <w:spacing w:after="80"/>
            </w:pPr>
            <w:r>
              <w:rPr>
                <w:rFonts w:eastAsia="Arial" w:cs="Arial"/>
                <w:b/>
                <w:color w:val="145EA8"/>
                <w:sz w:val="19"/>
              </w:rPr>
              <w:t>HISTORICAL NEW-FEATURE MANUAL</w:t>
            </w:r>
          </w:p>
          <w:p w14:paraId="3687CD8B" w14:textId="77777777" w:rsidR="00EB0B6B" w:rsidRDefault="00000000">
            <w:pPr>
              <w:spacing w:after="0" w:line="254" w:lineRule="auto"/>
            </w:pPr>
            <w:r>
              <w:rPr>
                <w:rFonts w:eastAsia="Arial" w:cs="Arial"/>
                <w:sz w:val="20"/>
              </w:rPr>
              <w:t>The requested 2.0 New Features manual remains in the reference catalog. For current deployment decisions, pair it with the 2.1 Workspace, 3.1 Excel and TM1 12 release sources.</w:t>
            </w:r>
          </w:p>
        </w:tc>
      </w:tr>
    </w:tbl>
    <w:p w14:paraId="7B6AE830" w14:textId="77777777" w:rsidR="00EB0B6B" w:rsidRDefault="00EB0B6B">
      <w:pPr>
        <w:spacing w:after="0" w:line="120" w:lineRule="auto"/>
      </w:pPr>
    </w:p>
    <w:p w14:paraId="4F5A7465" w14:textId="77777777" w:rsidR="00EB0B6B" w:rsidRDefault="00000000">
      <w:r>
        <w:rPr>
          <w:rFonts w:eastAsia="Arial" w:cs="Arial"/>
        </w:rPr>
        <w:t>See the component new-feature indexes.</w:t>
      </w:r>
      <w:r>
        <w:rPr>
          <w:rFonts w:eastAsia="Arial" w:cs="Arial"/>
          <w:color w:val="596C7B"/>
          <w:sz w:val="18"/>
        </w:rPr>
        <w:t xml:space="preserve">  </w:t>
      </w:r>
      <w:hyperlink w:anchor="ref_05" w:history="1">
        <w:r>
          <w:rPr>
            <w:color w:val="145EA8"/>
            <w:sz w:val="18"/>
            <w:szCs w:val="18"/>
          </w:rPr>
          <w:t>[R05]</w:t>
        </w:r>
      </w:hyperlink>
      <w:r>
        <w:rPr>
          <w:rFonts w:eastAsia="Arial" w:cs="Arial"/>
          <w:color w:val="596C7B"/>
          <w:sz w:val="18"/>
        </w:rPr>
        <w:t xml:space="preserve"> </w:t>
      </w:r>
      <w:hyperlink w:anchor="ref_76" w:history="1">
        <w:r>
          <w:rPr>
            <w:color w:val="145EA8"/>
            <w:sz w:val="18"/>
            <w:szCs w:val="18"/>
          </w:rPr>
          <w:t>[R76]</w:t>
        </w:r>
      </w:hyperlink>
      <w:r>
        <w:rPr>
          <w:rFonts w:eastAsia="Arial" w:cs="Arial"/>
          <w:color w:val="596C7B"/>
          <w:sz w:val="18"/>
        </w:rPr>
        <w:t xml:space="preserve"> </w:t>
      </w:r>
      <w:hyperlink w:anchor="ref_77" w:history="1">
        <w:r>
          <w:rPr>
            <w:color w:val="145EA8"/>
            <w:sz w:val="18"/>
            <w:szCs w:val="18"/>
          </w:rPr>
          <w:t>[R77]</w:t>
        </w:r>
      </w:hyperlink>
      <w:r>
        <w:rPr>
          <w:rFonts w:eastAsia="Arial" w:cs="Arial"/>
          <w:color w:val="596C7B"/>
          <w:sz w:val="18"/>
        </w:rPr>
        <w:t xml:space="preserve"> </w:t>
      </w:r>
      <w:hyperlink w:anchor="ref_75" w:history="1">
        <w:r>
          <w:rPr>
            <w:color w:val="145EA8"/>
            <w:sz w:val="18"/>
            <w:szCs w:val="18"/>
          </w:rPr>
          <w:t>[R75]</w:t>
        </w:r>
      </w:hyperlink>
    </w:p>
    <w:p w14:paraId="5C302360" w14:textId="77777777" w:rsidR="00EB0B6B" w:rsidRDefault="00000000">
      <w:pPr>
        <w:pStyle w:val="Heading1"/>
        <w:pageBreakBefore/>
      </w:pPr>
      <w:bookmarkStart w:id="25" w:name="chapter_25"/>
      <w:r>
        <w:rPr>
          <w:rFonts w:ascii="Arial" w:eastAsia="Arial" w:hAnsi="Arial" w:cs="Arial"/>
        </w:rPr>
        <w:t>25. Forecasting and AI governance</w:t>
      </w:r>
      <w:bookmarkEnd w:id="25"/>
    </w:p>
    <w:p w14:paraId="3DCA0E2A" w14:textId="77777777" w:rsidR="00EB0B6B" w:rsidRDefault="00000000">
      <w:pPr>
        <w:keepNext/>
        <w:spacing w:after="240"/>
      </w:pPr>
      <w:r>
        <w:rPr>
          <w:rFonts w:eastAsia="Arial" w:cs="Arial"/>
          <w:color w:val="007D79"/>
          <w:sz w:val="20"/>
        </w:rPr>
        <w:t>Separate statistical prediction, explanation and authorized action.</w:t>
      </w:r>
    </w:p>
    <w:p w14:paraId="0B8E3781" w14:textId="77777777" w:rsidR="00EB0B6B" w:rsidRDefault="00000000">
      <w:r>
        <w:rPr>
          <w:rFonts w:eastAsia="Arial" w:cs="Arial"/>
        </w:rPr>
        <w:t>IBM describes baseline forecasting, on-demand forecasting, spreading and saved statistical details. The Extended Forecasting Engine announcement identifies additional methods including Holt-Winters, MSTL, Auto ARIMA, BATS and XGBoost. Select the engine and method according to the release and forecast use case, not the appeal of an algorithm name.</w:t>
      </w:r>
      <w:r>
        <w:rPr>
          <w:rFonts w:eastAsia="Arial" w:cs="Arial"/>
          <w:color w:val="596C7B"/>
          <w:sz w:val="18"/>
        </w:rPr>
        <w:t xml:space="preserve">  </w:t>
      </w:r>
      <w:hyperlink w:anchor="ref_86" w:history="1">
        <w:r>
          <w:rPr>
            <w:color w:val="145EA8"/>
            <w:sz w:val="18"/>
            <w:szCs w:val="18"/>
          </w:rPr>
          <w:t>[R86]</w:t>
        </w:r>
      </w:hyperlink>
      <w:r>
        <w:rPr>
          <w:rFonts w:eastAsia="Arial" w:cs="Arial"/>
          <w:color w:val="596C7B"/>
          <w:sz w:val="18"/>
        </w:rPr>
        <w:t xml:space="preserve"> </w:t>
      </w:r>
      <w:hyperlink w:anchor="ref_71" w:history="1">
        <w:r>
          <w:rPr>
            <w:color w:val="145EA8"/>
            <w:sz w:val="18"/>
            <w:szCs w:val="18"/>
          </w:rPr>
          <w:t>[R71]</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152"/>
        <w:gridCol w:w="5156"/>
        <w:gridCol w:w="3398"/>
      </w:tblGrid>
      <w:tr w:rsidR="00EB0B6B" w14:paraId="52B13B65" w14:textId="77777777">
        <w:trPr>
          <w:cantSplit/>
          <w:tblHeader/>
          <w:jc w:val="center"/>
        </w:trPr>
        <w:tc>
          <w:tcPr>
            <w:tcW w:w="1152" w:type="dxa"/>
            <w:shd w:val="clear" w:color="auto" w:fill="16324F"/>
            <w:tcMar>
              <w:top w:w="100" w:type="dxa"/>
              <w:left w:w="110" w:type="dxa"/>
              <w:bottom w:w="100" w:type="dxa"/>
              <w:right w:w="110" w:type="dxa"/>
            </w:tcMar>
            <w:vAlign w:val="center"/>
          </w:tcPr>
          <w:p w14:paraId="69F405F6" w14:textId="77777777" w:rsidR="00EB0B6B" w:rsidRDefault="00000000">
            <w:pPr>
              <w:spacing w:after="0" w:line="252" w:lineRule="auto"/>
            </w:pPr>
            <w:r>
              <w:rPr>
                <w:rFonts w:eastAsia="Arial" w:cs="Arial"/>
                <w:b/>
                <w:color w:val="FFFFFF"/>
                <w:sz w:val="20"/>
              </w:rPr>
              <w:t>Stage</w:t>
            </w:r>
          </w:p>
        </w:tc>
        <w:tc>
          <w:tcPr>
            <w:tcW w:w="5155" w:type="dxa"/>
            <w:shd w:val="clear" w:color="auto" w:fill="16324F"/>
            <w:tcMar>
              <w:top w:w="100" w:type="dxa"/>
              <w:left w:w="110" w:type="dxa"/>
              <w:bottom w:w="100" w:type="dxa"/>
              <w:right w:w="110" w:type="dxa"/>
            </w:tcMar>
            <w:vAlign w:val="center"/>
          </w:tcPr>
          <w:p w14:paraId="51958DC0" w14:textId="77777777" w:rsidR="00EB0B6B" w:rsidRDefault="00000000">
            <w:pPr>
              <w:spacing w:after="0" w:line="252" w:lineRule="auto"/>
            </w:pPr>
            <w:r>
              <w:rPr>
                <w:rFonts w:eastAsia="Arial" w:cs="Arial"/>
                <w:b/>
                <w:color w:val="FFFFFF"/>
                <w:sz w:val="20"/>
              </w:rPr>
              <w:t>Recommended control</w:t>
            </w:r>
          </w:p>
        </w:tc>
        <w:tc>
          <w:tcPr>
            <w:tcW w:w="3398" w:type="dxa"/>
            <w:shd w:val="clear" w:color="auto" w:fill="16324F"/>
            <w:tcMar>
              <w:top w:w="100" w:type="dxa"/>
              <w:left w:w="110" w:type="dxa"/>
              <w:bottom w:w="100" w:type="dxa"/>
              <w:right w:w="110" w:type="dxa"/>
            </w:tcMar>
            <w:vAlign w:val="center"/>
          </w:tcPr>
          <w:p w14:paraId="716BE15A" w14:textId="77777777" w:rsidR="00EB0B6B" w:rsidRDefault="00000000">
            <w:pPr>
              <w:spacing w:after="0" w:line="252" w:lineRule="auto"/>
            </w:pPr>
            <w:r>
              <w:rPr>
                <w:rFonts w:eastAsia="Arial" w:cs="Arial"/>
                <w:b/>
                <w:color w:val="FFFFFF"/>
                <w:sz w:val="20"/>
              </w:rPr>
              <w:t>Evidence</w:t>
            </w:r>
          </w:p>
        </w:tc>
      </w:tr>
      <w:tr w:rsidR="00EB0B6B" w14:paraId="38F300CC" w14:textId="77777777">
        <w:trPr>
          <w:cantSplit/>
          <w:jc w:val="center"/>
        </w:trPr>
        <w:tc>
          <w:tcPr>
            <w:tcW w:w="1152" w:type="dxa"/>
            <w:tcMar>
              <w:top w:w="85" w:type="dxa"/>
              <w:left w:w="110" w:type="dxa"/>
              <w:bottom w:w="85" w:type="dxa"/>
              <w:right w:w="110" w:type="dxa"/>
            </w:tcMar>
            <w:vAlign w:val="center"/>
          </w:tcPr>
          <w:p w14:paraId="74407BB6" w14:textId="77777777" w:rsidR="00EB0B6B" w:rsidRDefault="00000000">
            <w:pPr>
              <w:spacing w:after="0" w:line="252" w:lineRule="auto"/>
            </w:pPr>
            <w:r>
              <w:rPr>
                <w:rFonts w:eastAsia="Arial" w:cs="Arial"/>
                <w:b/>
                <w:color w:val="16324F"/>
                <w:sz w:val="20"/>
              </w:rPr>
              <w:t>Prepare</w:t>
            </w:r>
          </w:p>
        </w:tc>
        <w:tc>
          <w:tcPr>
            <w:tcW w:w="5155" w:type="dxa"/>
            <w:tcMar>
              <w:top w:w="85" w:type="dxa"/>
              <w:left w:w="110" w:type="dxa"/>
              <w:bottom w:w="85" w:type="dxa"/>
              <w:right w:w="110" w:type="dxa"/>
            </w:tcMar>
            <w:vAlign w:val="center"/>
          </w:tcPr>
          <w:p w14:paraId="68D6F624" w14:textId="77777777" w:rsidR="00EB0B6B" w:rsidRDefault="00000000">
            <w:pPr>
              <w:spacing w:after="0" w:line="252" w:lineRule="auto"/>
            </w:pPr>
            <w:r>
              <w:rPr>
                <w:rFonts w:eastAsia="Arial" w:cs="Arial"/>
                <w:sz w:val="20"/>
              </w:rPr>
              <w:t>Define time grain, missing data, exclusions, history window and the business target.</w:t>
            </w:r>
          </w:p>
        </w:tc>
        <w:tc>
          <w:tcPr>
            <w:tcW w:w="3398" w:type="dxa"/>
            <w:tcMar>
              <w:top w:w="85" w:type="dxa"/>
              <w:left w:w="110" w:type="dxa"/>
              <w:bottom w:w="85" w:type="dxa"/>
              <w:right w:w="110" w:type="dxa"/>
            </w:tcMar>
            <w:vAlign w:val="center"/>
          </w:tcPr>
          <w:p w14:paraId="19ADBB31" w14:textId="77777777" w:rsidR="00EB0B6B" w:rsidRDefault="00000000">
            <w:pPr>
              <w:spacing w:after="0" w:line="252" w:lineRule="auto"/>
            </w:pPr>
            <w:r>
              <w:rPr>
                <w:rFonts w:eastAsia="Arial" w:cs="Arial"/>
                <w:sz w:val="20"/>
              </w:rPr>
              <w:t>A documented training / evaluation dataset.</w:t>
            </w:r>
          </w:p>
        </w:tc>
      </w:tr>
      <w:tr w:rsidR="00EB0B6B" w14:paraId="366E64C4" w14:textId="77777777">
        <w:trPr>
          <w:cantSplit/>
          <w:jc w:val="center"/>
        </w:trPr>
        <w:tc>
          <w:tcPr>
            <w:tcW w:w="1152" w:type="dxa"/>
            <w:tcMar>
              <w:top w:w="85" w:type="dxa"/>
              <w:left w:w="110" w:type="dxa"/>
              <w:bottom w:w="85" w:type="dxa"/>
              <w:right w:w="110" w:type="dxa"/>
            </w:tcMar>
            <w:vAlign w:val="center"/>
          </w:tcPr>
          <w:p w14:paraId="5D725C36" w14:textId="77777777" w:rsidR="00EB0B6B" w:rsidRDefault="00000000">
            <w:pPr>
              <w:spacing w:after="0" w:line="252" w:lineRule="auto"/>
            </w:pPr>
            <w:r>
              <w:rPr>
                <w:rFonts w:eastAsia="Arial" w:cs="Arial"/>
                <w:b/>
                <w:color w:val="16324F"/>
                <w:sz w:val="20"/>
              </w:rPr>
              <w:t>Forecast</w:t>
            </w:r>
          </w:p>
        </w:tc>
        <w:tc>
          <w:tcPr>
            <w:tcW w:w="5155" w:type="dxa"/>
            <w:tcMar>
              <w:top w:w="85" w:type="dxa"/>
              <w:left w:w="110" w:type="dxa"/>
              <w:bottom w:w="85" w:type="dxa"/>
              <w:right w:w="110" w:type="dxa"/>
            </w:tcMar>
            <w:vAlign w:val="center"/>
          </w:tcPr>
          <w:p w14:paraId="0748761D" w14:textId="77777777" w:rsidR="00EB0B6B" w:rsidRDefault="00000000">
            <w:pPr>
              <w:spacing w:after="0" w:line="252" w:lineRule="auto"/>
            </w:pPr>
            <w:r>
              <w:rPr>
                <w:rFonts w:eastAsia="Arial" w:cs="Arial"/>
                <w:sz w:val="20"/>
              </w:rPr>
              <w:t>Compare an approved baseline with eligible methods using held-out periods.</w:t>
            </w:r>
          </w:p>
        </w:tc>
        <w:tc>
          <w:tcPr>
            <w:tcW w:w="3398" w:type="dxa"/>
            <w:tcMar>
              <w:top w:w="85" w:type="dxa"/>
              <w:left w:w="110" w:type="dxa"/>
              <w:bottom w:w="85" w:type="dxa"/>
              <w:right w:w="110" w:type="dxa"/>
            </w:tcMar>
            <w:vAlign w:val="center"/>
          </w:tcPr>
          <w:p w14:paraId="01E7D8A2" w14:textId="77777777" w:rsidR="00EB0B6B" w:rsidRDefault="00000000">
            <w:pPr>
              <w:spacing w:after="0" w:line="252" w:lineRule="auto"/>
            </w:pPr>
            <w:r>
              <w:rPr>
                <w:rFonts w:eastAsia="Arial" w:cs="Arial"/>
                <w:sz w:val="20"/>
              </w:rPr>
              <w:t>Recorded error and bias measures appropriate to the business.</w:t>
            </w:r>
          </w:p>
        </w:tc>
      </w:tr>
      <w:tr w:rsidR="00EB0B6B" w14:paraId="63B827EB" w14:textId="77777777">
        <w:trPr>
          <w:cantSplit/>
          <w:jc w:val="center"/>
        </w:trPr>
        <w:tc>
          <w:tcPr>
            <w:tcW w:w="1152" w:type="dxa"/>
            <w:tcMar>
              <w:top w:w="85" w:type="dxa"/>
              <w:left w:w="110" w:type="dxa"/>
              <w:bottom w:w="85" w:type="dxa"/>
              <w:right w:w="110" w:type="dxa"/>
            </w:tcMar>
            <w:vAlign w:val="center"/>
          </w:tcPr>
          <w:p w14:paraId="441C8999" w14:textId="77777777" w:rsidR="00EB0B6B" w:rsidRDefault="00000000">
            <w:pPr>
              <w:spacing w:after="0" w:line="252" w:lineRule="auto"/>
            </w:pPr>
            <w:r>
              <w:rPr>
                <w:rFonts w:eastAsia="Arial" w:cs="Arial"/>
                <w:b/>
                <w:color w:val="16324F"/>
                <w:sz w:val="20"/>
              </w:rPr>
              <w:t>Review</w:t>
            </w:r>
          </w:p>
        </w:tc>
        <w:tc>
          <w:tcPr>
            <w:tcW w:w="5155" w:type="dxa"/>
            <w:tcMar>
              <w:top w:w="85" w:type="dxa"/>
              <w:left w:w="110" w:type="dxa"/>
              <w:bottom w:w="85" w:type="dxa"/>
              <w:right w:w="110" w:type="dxa"/>
            </w:tcMar>
            <w:vAlign w:val="center"/>
          </w:tcPr>
          <w:p w14:paraId="15D78D9F" w14:textId="77777777" w:rsidR="00EB0B6B" w:rsidRDefault="00000000">
            <w:pPr>
              <w:spacing w:after="0" w:line="252" w:lineRule="auto"/>
            </w:pPr>
            <w:r>
              <w:rPr>
                <w:rFonts w:eastAsia="Arial" w:cs="Arial"/>
                <w:sz w:val="20"/>
              </w:rPr>
              <w:t>Inspect anomalies, changing drivers, confidence and unusual events.</w:t>
            </w:r>
          </w:p>
        </w:tc>
        <w:tc>
          <w:tcPr>
            <w:tcW w:w="3398" w:type="dxa"/>
            <w:tcMar>
              <w:top w:w="85" w:type="dxa"/>
              <w:left w:w="110" w:type="dxa"/>
              <w:bottom w:w="85" w:type="dxa"/>
              <w:right w:w="110" w:type="dxa"/>
            </w:tcMar>
            <w:vAlign w:val="center"/>
          </w:tcPr>
          <w:p w14:paraId="0960DAD7" w14:textId="77777777" w:rsidR="00EB0B6B" w:rsidRDefault="00000000">
            <w:pPr>
              <w:spacing w:after="0" w:line="252" w:lineRule="auto"/>
            </w:pPr>
            <w:r>
              <w:rPr>
                <w:rFonts w:eastAsia="Arial" w:cs="Arial"/>
                <w:sz w:val="20"/>
              </w:rPr>
              <w:t>Named reviewer and rationale for overrides.</w:t>
            </w:r>
          </w:p>
        </w:tc>
      </w:tr>
      <w:tr w:rsidR="00EB0B6B" w14:paraId="255F816A" w14:textId="77777777">
        <w:trPr>
          <w:cantSplit/>
          <w:jc w:val="center"/>
        </w:trPr>
        <w:tc>
          <w:tcPr>
            <w:tcW w:w="1152" w:type="dxa"/>
            <w:tcMar>
              <w:top w:w="85" w:type="dxa"/>
              <w:left w:w="110" w:type="dxa"/>
              <w:bottom w:w="85" w:type="dxa"/>
              <w:right w:w="110" w:type="dxa"/>
            </w:tcMar>
            <w:vAlign w:val="center"/>
          </w:tcPr>
          <w:p w14:paraId="2AE05CF5" w14:textId="77777777" w:rsidR="00EB0B6B" w:rsidRDefault="00000000">
            <w:pPr>
              <w:spacing w:after="0" w:line="252" w:lineRule="auto"/>
            </w:pPr>
            <w:r>
              <w:rPr>
                <w:rFonts w:eastAsia="Arial" w:cs="Arial"/>
                <w:b/>
                <w:color w:val="16324F"/>
                <w:sz w:val="20"/>
              </w:rPr>
              <w:t>Publish</w:t>
            </w:r>
          </w:p>
        </w:tc>
        <w:tc>
          <w:tcPr>
            <w:tcW w:w="5155" w:type="dxa"/>
            <w:tcMar>
              <w:top w:w="85" w:type="dxa"/>
              <w:left w:w="110" w:type="dxa"/>
              <w:bottom w:w="85" w:type="dxa"/>
              <w:right w:w="110" w:type="dxa"/>
            </w:tcMar>
            <w:vAlign w:val="center"/>
          </w:tcPr>
          <w:p w14:paraId="7C5ADCC5" w14:textId="77777777" w:rsidR="00EB0B6B" w:rsidRDefault="00000000">
            <w:pPr>
              <w:spacing w:after="0" w:line="252" w:lineRule="auto"/>
            </w:pPr>
            <w:r>
              <w:rPr>
                <w:rFonts w:eastAsia="Arial" w:cs="Arial"/>
                <w:sz w:val="20"/>
              </w:rPr>
              <w:t>Keep forecast output separate from approved targets until accepted.</w:t>
            </w:r>
          </w:p>
        </w:tc>
        <w:tc>
          <w:tcPr>
            <w:tcW w:w="3398" w:type="dxa"/>
            <w:tcMar>
              <w:top w:w="85" w:type="dxa"/>
              <w:left w:w="110" w:type="dxa"/>
              <w:bottom w:w="85" w:type="dxa"/>
              <w:right w:w="110" w:type="dxa"/>
            </w:tcMar>
            <w:vAlign w:val="center"/>
          </w:tcPr>
          <w:p w14:paraId="44D4737E" w14:textId="77777777" w:rsidR="00EB0B6B" w:rsidRDefault="00000000">
            <w:pPr>
              <w:spacing w:after="0" w:line="252" w:lineRule="auto"/>
            </w:pPr>
            <w:r>
              <w:rPr>
                <w:rFonts w:eastAsia="Arial" w:cs="Arial"/>
                <w:sz w:val="20"/>
              </w:rPr>
              <w:t>Versioned scenario and an accountable approval.</w:t>
            </w:r>
          </w:p>
        </w:tc>
      </w:tr>
      <w:tr w:rsidR="00EB0B6B" w14:paraId="00EDA5F9" w14:textId="77777777">
        <w:trPr>
          <w:cantSplit/>
          <w:jc w:val="center"/>
        </w:trPr>
        <w:tc>
          <w:tcPr>
            <w:tcW w:w="1152" w:type="dxa"/>
            <w:tcMar>
              <w:top w:w="85" w:type="dxa"/>
              <w:left w:w="110" w:type="dxa"/>
              <w:bottom w:w="85" w:type="dxa"/>
              <w:right w:w="110" w:type="dxa"/>
            </w:tcMar>
            <w:vAlign w:val="center"/>
          </w:tcPr>
          <w:p w14:paraId="5BF494C6" w14:textId="77777777" w:rsidR="00EB0B6B" w:rsidRDefault="00000000">
            <w:pPr>
              <w:spacing w:after="0" w:line="252" w:lineRule="auto"/>
            </w:pPr>
            <w:r>
              <w:rPr>
                <w:rFonts w:eastAsia="Arial" w:cs="Arial"/>
                <w:b/>
                <w:color w:val="16324F"/>
                <w:sz w:val="20"/>
              </w:rPr>
              <w:t>Monitor</w:t>
            </w:r>
          </w:p>
        </w:tc>
        <w:tc>
          <w:tcPr>
            <w:tcW w:w="5155" w:type="dxa"/>
            <w:tcMar>
              <w:top w:w="85" w:type="dxa"/>
              <w:left w:w="110" w:type="dxa"/>
              <w:bottom w:w="85" w:type="dxa"/>
              <w:right w:w="110" w:type="dxa"/>
            </w:tcMar>
            <w:vAlign w:val="center"/>
          </w:tcPr>
          <w:p w14:paraId="50FC64E4" w14:textId="77777777" w:rsidR="00EB0B6B" w:rsidRDefault="00000000">
            <w:pPr>
              <w:spacing w:after="0" w:line="252" w:lineRule="auto"/>
            </w:pPr>
            <w:r>
              <w:rPr>
                <w:rFonts w:eastAsia="Arial" w:cs="Arial"/>
                <w:sz w:val="20"/>
              </w:rPr>
              <w:t>Track degradation and changes in business assumptions.</w:t>
            </w:r>
          </w:p>
        </w:tc>
        <w:tc>
          <w:tcPr>
            <w:tcW w:w="3398" w:type="dxa"/>
            <w:tcMar>
              <w:top w:w="85" w:type="dxa"/>
              <w:left w:w="110" w:type="dxa"/>
              <w:bottom w:w="85" w:type="dxa"/>
              <w:right w:w="110" w:type="dxa"/>
            </w:tcMar>
            <w:vAlign w:val="center"/>
          </w:tcPr>
          <w:p w14:paraId="7DB76D6B" w14:textId="77777777" w:rsidR="00EB0B6B" w:rsidRDefault="00000000">
            <w:pPr>
              <w:spacing w:after="0" w:line="252" w:lineRule="auto"/>
            </w:pPr>
            <w:r>
              <w:rPr>
                <w:rFonts w:eastAsia="Arial" w:cs="Arial"/>
                <w:sz w:val="20"/>
              </w:rPr>
              <w:t>A retraining / review trigger and rollback plan.</w:t>
            </w:r>
          </w:p>
        </w:tc>
      </w:tr>
    </w:tbl>
    <w:p w14:paraId="3804FDED" w14:textId="77777777" w:rsidR="00EB0B6B" w:rsidRDefault="00EB0B6B">
      <w:pPr>
        <w:spacing w:after="0" w:line="120" w:lineRule="auto"/>
      </w:pPr>
    </w:p>
    <w:p w14:paraId="328E36FB" w14:textId="77777777" w:rsidR="00EB0B6B" w:rsidRDefault="00000000">
      <w:pPr>
        <w:pStyle w:val="Heading2"/>
      </w:pPr>
      <w:r>
        <w:rPr>
          <w:rFonts w:ascii="Arial" w:eastAsia="Arial" w:hAnsi="Arial" w:cs="Arial"/>
        </w:rPr>
        <w:t>Planning Analytics Agent and extensions</w:t>
      </w:r>
    </w:p>
    <w:p w14:paraId="14DFFDDF" w14:textId="77777777" w:rsidR="00EB0B6B" w:rsidRDefault="00000000">
      <w:r>
        <w:rPr>
          <w:rFonts w:eastAsia="Arial" w:cs="Arial"/>
        </w:rPr>
        <w:t>IBM positions the Agent as model-aware assistance and describes watsonx Orchestrate integration and MCP extensibility. Generated explanations, suggested actions and model writes require different controls. A fluent explanation is not proof that a forecast is valid or that an action should be executed.</w:t>
      </w:r>
      <w:r>
        <w:rPr>
          <w:rFonts w:eastAsia="Arial" w:cs="Arial"/>
          <w:color w:val="596C7B"/>
          <w:sz w:val="18"/>
        </w:rPr>
        <w:t xml:space="preserve">  </w:t>
      </w:r>
      <w:hyperlink w:anchor="ref_84" w:history="1">
        <w:r>
          <w:rPr>
            <w:color w:val="145EA8"/>
            <w:sz w:val="18"/>
            <w:szCs w:val="18"/>
          </w:rPr>
          <w:t>[R84]</w:t>
        </w:r>
      </w:hyperlink>
    </w:p>
    <w:p w14:paraId="701B20D0" w14:textId="77777777" w:rsidR="00EB0B6B" w:rsidRDefault="00000000">
      <w:pPr>
        <w:pStyle w:val="Heading2"/>
      </w:pPr>
      <w:r>
        <w:rPr>
          <w:rFonts w:ascii="Arial" w:eastAsia="Arial" w:hAnsi="Arial" w:cs="Arial"/>
        </w:rPr>
        <w:t>Recommended AI deployment policy</w:t>
      </w:r>
    </w:p>
    <w:p w14:paraId="5BC6AC5E" w14:textId="77777777" w:rsidR="00EB0B6B" w:rsidRDefault="00000000">
      <w:r>
        <w:rPr>
          <w:rFonts w:eastAsia="Arial" w:cs="Arial"/>
        </w:rPr>
        <w:t>Approve the provider, region, data flows and retention terms. Limit identities to the model slices required. Require confirmation for material write-back or external actions, maintain auditability, and test whether unauthorized questions or actions are blocked. Use representative financial and operational examples to validate output, not only generic prompts.</w:t>
      </w:r>
    </w:p>
    <w:p w14:paraId="6FCF860F" w14:textId="77777777" w:rsidR="00EB0B6B" w:rsidRDefault="00000000">
      <w:r>
        <w:rPr>
          <w:rFonts w:eastAsia="Arial" w:cs="Arial"/>
        </w:rPr>
        <w:t>IBM's September update distinguishes Workspace capabilities from Excel items still described as forthcoming. Do not convert a product roadmap statement into an implemented customer feature.</w:t>
      </w:r>
      <w:r>
        <w:rPr>
          <w:rFonts w:eastAsia="Arial" w:cs="Arial"/>
          <w:color w:val="596C7B"/>
          <w:sz w:val="18"/>
        </w:rPr>
        <w:t xml:space="preserve">  </w:t>
      </w:r>
      <w:hyperlink w:anchor="ref_72" w:history="1">
        <w:r>
          <w:rPr>
            <w:color w:val="145EA8"/>
            <w:sz w:val="18"/>
            <w:szCs w:val="18"/>
          </w:rPr>
          <w:t>[R72]</w:t>
        </w:r>
      </w:hyperlink>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6AE1C5D8" w14:textId="77777777">
        <w:trPr>
          <w:cantSplit/>
          <w:jc w:val="center"/>
        </w:trPr>
        <w:tc>
          <w:tcPr>
            <w:tcW w:w="9706" w:type="dxa"/>
            <w:shd w:val="clear" w:color="auto" w:fill="EAF5F2"/>
            <w:tcMar>
              <w:top w:w="115" w:type="dxa"/>
              <w:left w:w="150" w:type="dxa"/>
              <w:bottom w:w="115" w:type="dxa"/>
              <w:right w:w="150" w:type="dxa"/>
            </w:tcMar>
          </w:tcPr>
          <w:p w14:paraId="0756ED95" w14:textId="77777777" w:rsidR="00EB0B6B" w:rsidRDefault="00000000">
            <w:pPr>
              <w:keepNext/>
              <w:spacing w:after="80"/>
            </w:pPr>
            <w:r>
              <w:rPr>
                <w:rFonts w:eastAsia="Arial" w:cs="Arial"/>
                <w:b/>
                <w:color w:val="007D79"/>
                <w:sz w:val="19"/>
              </w:rPr>
              <w:t>DECISION BOUNDARY</w:t>
            </w:r>
          </w:p>
          <w:p w14:paraId="2CE5119F" w14:textId="77777777" w:rsidR="00EB0B6B" w:rsidRDefault="00000000">
            <w:pPr>
              <w:spacing w:after="0" w:line="254" w:lineRule="auto"/>
            </w:pPr>
            <w:r>
              <w:rPr>
                <w:rFonts w:eastAsia="Arial" w:cs="Arial"/>
                <w:sz w:val="20"/>
              </w:rPr>
              <w:t>The business owner remains responsible for planning assumptions and approvals. AI should support the control process rather than bypass it.</w:t>
            </w:r>
          </w:p>
        </w:tc>
      </w:tr>
    </w:tbl>
    <w:p w14:paraId="726FDB70" w14:textId="77777777" w:rsidR="00EB0B6B" w:rsidRDefault="00EB0B6B">
      <w:pPr>
        <w:spacing w:after="0" w:line="120" w:lineRule="auto"/>
      </w:pPr>
    </w:p>
    <w:p w14:paraId="48424E26" w14:textId="77777777" w:rsidR="00EB0B6B" w:rsidRDefault="00000000">
      <w:pPr>
        <w:pStyle w:val="Heading1"/>
        <w:pageBreakBefore/>
      </w:pPr>
      <w:bookmarkStart w:id="26" w:name="chapter_26"/>
      <w:r>
        <w:rPr>
          <w:rFonts w:ascii="Arial" w:eastAsia="Arial" w:hAnsi="Arial" w:cs="Arial"/>
        </w:rPr>
        <w:t>26. Troubleshooting by failure layer</w:t>
      </w:r>
      <w:bookmarkEnd w:id="26"/>
    </w:p>
    <w:p w14:paraId="32BCE863" w14:textId="77777777" w:rsidR="00EB0B6B" w:rsidRDefault="00000000">
      <w:pPr>
        <w:keepNext/>
        <w:spacing w:after="240"/>
      </w:pPr>
      <w:r>
        <w:rPr>
          <w:rFonts w:eastAsia="Arial" w:cs="Arial"/>
          <w:color w:val="007D79"/>
          <w:sz w:val="20"/>
        </w:rPr>
        <w:t>Capture the failing transaction before changing the environment.</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333"/>
        <w:gridCol w:w="5861"/>
        <w:gridCol w:w="1512"/>
      </w:tblGrid>
      <w:tr w:rsidR="00EB0B6B" w14:paraId="5EFDA0C3" w14:textId="77777777">
        <w:trPr>
          <w:cantSplit/>
          <w:tblHeader/>
          <w:jc w:val="center"/>
        </w:trPr>
        <w:tc>
          <w:tcPr>
            <w:tcW w:w="2333" w:type="dxa"/>
            <w:shd w:val="clear" w:color="auto" w:fill="16324F"/>
            <w:tcMar>
              <w:top w:w="100" w:type="dxa"/>
              <w:left w:w="110" w:type="dxa"/>
              <w:bottom w:w="100" w:type="dxa"/>
              <w:right w:w="110" w:type="dxa"/>
            </w:tcMar>
            <w:vAlign w:val="center"/>
          </w:tcPr>
          <w:p w14:paraId="142BFCFA" w14:textId="77777777" w:rsidR="00EB0B6B" w:rsidRDefault="00000000">
            <w:pPr>
              <w:spacing w:after="0" w:line="252" w:lineRule="auto"/>
            </w:pPr>
            <w:r>
              <w:rPr>
                <w:rFonts w:eastAsia="Arial" w:cs="Arial"/>
                <w:b/>
                <w:color w:val="FFFFFF"/>
                <w:sz w:val="20"/>
              </w:rPr>
              <w:t>Symptom</w:t>
            </w:r>
          </w:p>
        </w:tc>
        <w:tc>
          <w:tcPr>
            <w:tcW w:w="5861" w:type="dxa"/>
            <w:shd w:val="clear" w:color="auto" w:fill="16324F"/>
            <w:tcMar>
              <w:top w:w="100" w:type="dxa"/>
              <w:left w:w="110" w:type="dxa"/>
              <w:bottom w:w="100" w:type="dxa"/>
              <w:right w:w="110" w:type="dxa"/>
            </w:tcMar>
            <w:vAlign w:val="center"/>
          </w:tcPr>
          <w:p w14:paraId="7694C295" w14:textId="77777777" w:rsidR="00EB0B6B" w:rsidRDefault="00000000">
            <w:pPr>
              <w:spacing w:after="0" w:line="252" w:lineRule="auto"/>
            </w:pPr>
            <w:r>
              <w:rPr>
                <w:rFonts w:eastAsia="Arial" w:cs="Arial"/>
                <w:b/>
                <w:color w:val="FFFFFF"/>
                <w:sz w:val="20"/>
              </w:rPr>
              <w:t>First checks</w:t>
            </w:r>
          </w:p>
        </w:tc>
        <w:tc>
          <w:tcPr>
            <w:tcW w:w="1512" w:type="dxa"/>
            <w:shd w:val="clear" w:color="auto" w:fill="16324F"/>
            <w:tcMar>
              <w:top w:w="100" w:type="dxa"/>
              <w:left w:w="110" w:type="dxa"/>
              <w:bottom w:w="100" w:type="dxa"/>
              <w:right w:w="110" w:type="dxa"/>
            </w:tcMar>
            <w:vAlign w:val="center"/>
          </w:tcPr>
          <w:p w14:paraId="43F9BE12" w14:textId="77777777" w:rsidR="00EB0B6B" w:rsidRDefault="00000000">
            <w:pPr>
              <w:spacing w:after="0" w:line="252" w:lineRule="auto"/>
            </w:pPr>
            <w:r>
              <w:rPr>
                <w:rFonts w:eastAsia="Arial" w:cs="Arial"/>
                <w:b/>
                <w:color w:val="FFFFFF"/>
                <w:sz w:val="20"/>
              </w:rPr>
              <w:t>IBM reference</w:t>
            </w:r>
          </w:p>
        </w:tc>
      </w:tr>
      <w:tr w:rsidR="00EB0B6B" w14:paraId="407F5DBD" w14:textId="77777777">
        <w:trPr>
          <w:cantSplit/>
          <w:jc w:val="center"/>
        </w:trPr>
        <w:tc>
          <w:tcPr>
            <w:tcW w:w="2333" w:type="dxa"/>
            <w:tcMar>
              <w:top w:w="85" w:type="dxa"/>
              <w:left w:w="110" w:type="dxa"/>
              <w:bottom w:w="85" w:type="dxa"/>
              <w:right w:w="110" w:type="dxa"/>
            </w:tcMar>
            <w:vAlign w:val="center"/>
          </w:tcPr>
          <w:p w14:paraId="430D4C14" w14:textId="77777777" w:rsidR="00EB0B6B" w:rsidRDefault="00000000">
            <w:pPr>
              <w:spacing w:after="0" w:line="252" w:lineRule="auto"/>
            </w:pPr>
            <w:r>
              <w:rPr>
                <w:rFonts w:eastAsia="Arial" w:cs="Arial"/>
                <w:b/>
                <w:color w:val="16324F"/>
                <w:sz w:val="20"/>
              </w:rPr>
              <w:t>User cannot sign in</w:t>
            </w:r>
          </w:p>
        </w:tc>
        <w:tc>
          <w:tcPr>
            <w:tcW w:w="5861" w:type="dxa"/>
            <w:tcMar>
              <w:top w:w="85" w:type="dxa"/>
              <w:left w:w="110" w:type="dxa"/>
              <w:bottom w:w="85" w:type="dxa"/>
              <w:right w:w="110" w:type="dxa"/>
            </w:tcMar>
            <w:vAlign w:val="center"/>
          </w:tcPr>
          <w:p w14:paraId="702C830A" w14:textId="77777777" w:rsidR="00EB0B6B" w:rsidRDefault="00000000">
            <w:pPr>
              <w:spacing w:after="0" w:line="252" w:lineRule="auto"/>
            </w:pPr>
            <w:r>
              <w:rPr>
                <w:rFonts w:eastAsia="Arial" w:cs="Arial"/>
                <w:sz w:val="20"/>
              </w:rPr>
              <w:t>Correct environment, invitation, identity / federation, time, URL and certificate chain.</w:t>
            </w:r>
          </w:p>
        </w:tc>
        <w:tc>
          <w:tcPr>
            <w:tcW w:w="1512" w:type="dxa"/>
            <w:tcMar>
              <w:top w:w="85" w:type="dxa"/>
              <w:left w:w="110" w:type="dxa"/>
              <w:bottom w:w="85" w:type="dxa"/>
              <w:right w:w="110" w:type="dxa"/>
            </w:tcMar>
            <w:vAlign w:val="center"/>
          </w:tcPr>
          <w:p w14:paraId="76AC066C" w14:textId="77777777" w:rsidR="00EB0B6B" w:rsidRDefault="00000000">
            <w:pPr>
              <w:spacing w:after="0" w:line="252" w:lineRule="auto"/>
            </w:pPr>
            <w:hyperlink w:anchor="ref_46" w:history="1">
              <w:r>
                <w:rPr>
                  <w:color w:val="145EA8"/>
                  <w:sz w:val="19"/>
                  <w:szCs w:val="19"/>
                </w:rPr>
                <w:t>[R46]</w:t>
              </w:r>
            </w:hyperlink>
            <w:r>
              <w:rPr>
                <w:rFonts w:eastAsia="Arial" w:cs="Arial"/>
                <w:sz w:val="20"/>
              </w:rPr>
              <w:t xml:space="preserve">, </w:t>
            </w:r>
            <w:hyperlink w:anchor="ref_55" w:history="1">
              <w:r>
                <w:rPr>
                  <w:color w:val="145EA8"/>
                  <w:sz w:val="19"/>
                  <w:szCs w:val="19"/>
                </w:rPr>
                <w:t>[R55]</w:t>
              </w:r>
            </w:hyperlink>
            <w:r>
              <w:rPr>
                <w:rFonts w:eastAsia="Arial" w:cs="Arial"/>
                <w:sz w:val="20"/>
              </w:rPr>
              <w:t xml:space="preserve">, </w:t>
            </w:r>
            <w:hyperlink w:anchor="ref_67" w:history="1">
              <w:r>
                <w:rPr>
                  <w:color w:val="145EA8"/>
                  <w:sz w:val="19"/>
                  <w:szCs w:val="19"/>
                </w:rPr>
                <w:t>[R67]</w:t>
              </w:r>
            </w:hyperlink>
          </w:p>
        </w:tc>
      </w:tr>
      <w:tr w:rsidR="00EB0B6B" w14:paraId="0ABD148F" w14:textId="77777777">
        <w:trPr>
          <w:cantSplit/>
          <w:jc w:val="center"/>
        </w:trPr>
        <w:tc>
          <w:tcPr>
            <w:tcW w:w="2333" w:type="dxa"/>
            <w:tcMar>
              <w:top w:w="85" w:type="dxa"/>
              <w:left w:w="110" w:type="dxa"/>
              <w:bottom w:w="85" w:type="dxa"/>
              <w:right w:w="110" w:type="dxa"/>
            </w:tcMar>
            <w:vAlign w:val="center"/>
          </w:tcPr>
          <w:p w14:paraId="713BE2EA" w14:textId="77777777" w:rsidR="00EB0B6B" w:rsidRDefault="00000000">
            <w:pPr>
              <w:spacing w:after="0" w:line="252" w:lineRule="auto"/>
            </w:pPr>
            <w:r>
              <w:rPr>
                <w:rFonts w:eastAsia="Arial" w:cs="Arial"/>
                <w:b/>
                <w:color w:val="16324F"/>
                <w:sz w:val="20"/>
              </w:rPr>
              <w:t>Database visible but access denied</w:t>
            </w:r>
          </w:p>
        </w:tc>
        <w:tc>
          <w:tcPr>
            <w:tcW w:w="5861" w:type="dxa"/>
            <w:tcMar>
              <w:top w:w="85" w:type="dxa"/>
              <w:left w:w="110" w:type="dxa"/>
              <w:bottom w:w="85" w:type="dxa"/>
              <w:right w:w="110" w:type="dxa"/>
            </w:tcMar>
            <w:vAlign w:val="center"/>
          </w:tcPr>
          <w:p w14:paraId="217D213F" w14:textId="77777777" w:rsidR="00EB0B6B" w:rsidRDefault="00000000">
            <w:pPr>
              <w:spacing w:after="0" w:line="252" w:lineRule="auto"/>
            </w:pPr>
            <w:r>
              <w:rPr>
                <w:rFonts w:eastAsia="Arial" w:cs="Arial"/>
                <w:sz w:val="20"/>
              </w:rPr>
              <w:t>User / group mapping, cube access and independent hierarchy security.</w:t>
            </w:r>
          </w:p>
        </w:tc>
        <w:tc>
          <w:tcPr>
            <w:tcW w:w="1512" w:type="dxa"/>
            <w:tcMar>
              <w:top w:w="85" w:type="dxa"/>
              <w:left w:w="110" w:type="dxa"/>
              <w:bottom w:w="85" w:type="dxa"/>
              <w:right w:w="110" w:type="dxa"/>
            </w:tcMar>
            <w:vAlign w:val="center"/>
          </w:tcPr>
          <w:p w14:paraId="587139A3" w14:textId="77777777" w:rsidR="00EB0B6B" w:rsidRDefault="00000000">
            <w:pPr>
              <w:spacing w:after="0" w:line="252" w:lineRule="auto"/>
            </w:pPr>
            <w:hyperlink w:anchor="ref_43" w:history="1">
              <w:r>
                <w:rPr>
                  <w:color w:val="145EA8"/>
                  <w:sz w:val="19"/>
                  <w:szCs w:val="19"/>
                </w:rPr>
                <w:t>[R43]</w:t>
              </w:r>
            </w:hyperlink>
            <w:r>
              <w:rPr>
                <w:rFonts w:eastAsia="Arial" w:cs="Arial"/>
                <w:sz w:val="20"/>
              </w:rPr>
              <w:t xml:space="preserve">, </w:t>
            </w:r>
            <w:hyperlink w:anchor="ref_44" w:history="1">
              <w:r>
                <w:rPr>
                  <w:color w:val="145EA8"/>
                  <w:sz w:val="19"/>
                  <w:szCs w:val="19"/>
                </w:rPr>
                <w:t>[R44]</w:t>
              </w:r>
            </w:hyperlink>
          </w:p>
        </w:tc>
      </w:tr>
      <w:tr w:rsidR="00EB0B6B" w14:paraId="3E3AD1DD" w14:textId="77777777">
        <w:trPr>
          <w:cantSplit/>
          <w:jc w:val="center"/>
        </w:trPr>
        <w:tc>
          <w:tcPr>
            <w:tcW w:w="2333" w:type="dxa"/>
            <w:tcMar>
              <w:top w:w="85" w:type="dxa"/>
              <w:left w:w="110" w:type="dxa"/>
              <w:bottom w:w="85" w:type="dxa"/>
              <w:right w:w="110" w:type="dxa"/>
            </w:tcMar>
            <w:vAlign w:val="center"/>
          </w:tcPr>
          <w:p w14:paraId="12CA6C79" w14:textId="77777777" w:rsidR="00EB0B6B" w:rsidRDefault="00000000">
            <w:pPr>
              <w:spacing w:after="0" w:line="252" w:lineRule="auto"/>
            </w:pPr>
            <w:r>
              <w:rPr>
                <w:rFonts w:eastAsia="Arial" w:cs="Arial"/>
                <w:b/>
                <w:color w:val="16324F"/>
                <w:sz w:val="20"/>
              </w:rPr>
              <w:t>Local administration unavailable</w:t>
            </w:r>
          </w:p>
        </w:tc>
        <w:tc>
          <w:tcPr>
            <w:tcW w:w="5861" w:type="dxa"/>
            <w:tcMar>
              <w:top w:w="85" w:type="dxa"/>
              <w:left w:w="110" w:type="dxa"/>
              <w:bottom w:w="85" w:type="dxa"/>
              <w:right w:w="110" w:type="dxa"/>
            </w:tcMar>
            <w:vAlign w:val="center"/>
          </w:tcPr>
          <w:p w14:paraId="7AB00C1C" w14:textId="77777777" w:rsidR="00EB0B6B" w:rsidRDefault="00000000">
            <w:pPr>
              <w:spacing w:after="0" w:line="252" w:lineRule="auto"/>
            </w:pPr>
            <w:r>
              <w:rPr>
                <w:rFonts w:eastAsia="Arial" w:cs="Arial"/>
                <w:sz w:val="20"/>
              </w:rPr>
              <w:t>Agent placement, connectivity, matching configuration and supported version.</w:t>
            </w:r>
          </w:p>
        </w:tc>
        <w:tc>
          <w:tcPr>
            <w:tcW w:w="1512" w:type="dxa"/>
            <w:tcMar>
              <w:top w:w="85" w:type="dxa"/>
              <w:left w:w="110" w:type="dxa"/>
              <w:bottom w:w="85" w:type="dxa"/>
              <w:right w:w="110" w:type="dxa"/>
            </w:tcMar>
            <w:vAlign w:val="center"/>
          </w:tcPr>
          <w:p w14:paraId="4ECD8A2D" w14:textId="77777777" w:rsidR="00EB0B6B" w:rsidRDefault="00000000">
            <w:pPr>
              <w:spacing w:after="0" w:line="252" w:lineRule="auto"/>
            </w:pPr>
            <w:hyperlink w:anchor="ref_34" w:history="1">
              <w:r>
                <w:rPr>
                  <w:color w:val="145EA8"/>
                  <w:sz w:val="19"/>
                  <w:szCs w:val="19"/>
                </w:rPr>
                <w:t>[R34]</w:t>
              </w:r>
            </w:hyperlink>
            <w:r>
              <w:rPr>
                <w:rFonts w:eastAsia="Arial" w:cs="Arial"/>
                <w:sz w:val="20"/>
              </w:rPr>
              <w:t xml:space="preserve">, </w:t>
            </w:r>
            <w:hyperlink w:anchor="ref_35" w:history="1">
              <w:r>
                <w:rPr>
                  <w:color w:val="145EA8"/>
                  <w:sz w:val="19"/>
                  <w:szCs w:val="19"/>
                </w:rPr>
                <w:t>[R35]</w:t>
              </w:r>
            </w:hyperlink>
          </w:p>
        </w:tc>
      </w:tr>
      <w:tr w:rsidR="00EB0B6B" w14:paraId="1BBC585C" w14:textId="77777777">
        <w:trPr>
          <w:cantSplit/>
          <w:jc w:val="center"/>
        </w:trPr>
        <w:tc>
          <w:tcPr>
            <w:tcW w:w="2333" w:type="dxa"/>
            <w:tcMar>
              <w:top w:w="85" w:type="dxa"/>
              <w:left w:w="110" w:type="dxa"/>
              <w:bottom w:w="85" w:type="dxa"/>
              <w:right w:w="110" w:type="dxa"/>
            </w:tcMar>
            <w:vAlign w:val="center"/>
          </w:tcPr>
          <w:p w14:paraId="7191EC3D" w14:textId="77777777" w:rsidR="00EB0B6B" w:rsidRDefault="00000000">
            <w:pPr>
              <w:spacing w:after="0" w:line="252" w:lineRule="auto"/>
            </w:pPr>
            <w:r>
              <w:rPr>
                <w:rFonts w:eastAsia="Arial" w:cs="Arial"/>
                <w:b/>
                <w:color w:val="16324F"/>
                <w:sz w:val="20"/>
              </w:rPr>
              <w:t>Excel / websheet feature fails</w:t>
            </w:r>
          </w:p>
        </w:tc>
        <w:tc>
          <w:tcPr>
            <w:tcW w:w="5861" w:type="dxa"/>
            <w:tcMar>
              <w:top w:w="85" w:type="dxa"/>
              <w:left w:w="110" w:type="dxa"/>
              <w:bottom w:w="85" w:type="dxa"/>
              <w:right w:w="110" w:type="dxa"/>
            </w:tcMar>
            <w:vAlign w:val="center"/>
          </w:tcPr>
          <w:p w14:paraId="0620E204" w14:textId="77777777" w:rsidR="00EB0B6B" w:rsidRDefault="00000000">
            <w:pPr>
              <w:spacing w:after="0" w:line="252" w:lineRule="auto"/>
            </w:pPr>
            <w:r>
              <w:rPr>
                <w:rFonts w:eastAsia="Arial" w:cs="Arial"/>
                <w:sz w:val="20"/>
              </w:rPr>
              <w:t>Conformance, correct XLL, Spreadsheet Services and EvaluationService configuration.</w:t>
            </w:r>
          </w:p>
        </w:tc>
        <w:tc>
          <w:tcPr>
            <w:tcW w:w="1512" w:type="dxa"/>
            <w:tcMar>
              <w:top w:w="85" w:type="dxa"/>
              <w:left w:w="110" w:type="dxa"/>
              <w:bottom w:w="85" w:type="dxa"/>
              <w:right w:w="110" w:type="dxa"/>
            </w:tcMar>
            <w:vAlign w:val="center"/>
          </w:tcPr>
          <w:p w14:paraId="368B5EB0" w14:textId="77777777" w:rsidR="00EB0B6B" w:rsidRDefault="00000000">
            <w:pPr>
              <w:spacing w:after="0" w:line="252" w:lineRule="auto"/>
            </w:pPr>
            <w:hyperlink w:anchor="ref_31" w:history="1">
              <w:r>
                <w:rPr>
                  <w:color w:val="145EA8"/>
                  <w:sz w:val="19"/>
                  <w:szCs w:val="19"/>
                </w:rPr>
                <w:t>[R31]</w:t>
              </w:r>
            </w:hyperlink>
            <w:r>
              <w:rPr>
                <w:rFonts w:eastAsia="Arial" w:cs="Arial"/>
                <w:sz w:val="20"/>
              </w:rPr>
              <w:t xml:space="preserve">, </w:t>
            </w:r>
            <w:hyperlink w:anchor="ref_32" w:history="1">
              <w:r>
                <w:rPr>
                  <w:color w:val="145EA8"/>
                  <w:sz w:val="19"/>
                  <w:szCs w:val="19"/>
                </w:rPr>
                <w:t>[R32]</w:t>
              </w:r>
            </w:hyperlink>
            <w:r>
              <w:rPr>
                <w:rFonts w:eastAsia="Arial" w:cs="Arial"/>
                <w:sz w:val="20"/>
              </w:rPr>
              <w:t xml:space="preserve">, </w:t>
            </w:r>
            <w:hyperlink w:anchor="ref_89" w:history="1">
              <w:r>
                <w:rPr>
                  <w:color w:val="145EA8"/>
                  <w:sz w:val="19"/>
                  <w:szCs w:val="19"/>
                </w:rPr>
                <w:t>[R89]</w:t>
              </w:r>
            </w:hyperlink>
          </w:p>
        </w:tc>
      </w:tr>
      <w:tr w:rsidR="00EB0B6B" w14:paraId="03D447A3" w14:textId="77777777">
        <w:trPr>
          <w:cantSplit/>
          <w:jc w:val="center"/>
        </w:trPr>
        <w:tc>
          <w:tcPr>
            <w:tcW w:w="2333" w:type="dxa"/>
            <w:tcMar>
              <w:top w:w="85" w:type="dxa"/>
              <w:left w:w="110" w:type="dxa"/>
              <w:bottom w:w="85" w:type="dxa"/>
              <w:right w:w="110" w:type="dxa"/>
            </w:tcMar>
            <w:vAlign w:val="center"/>
          </w:tcPr>
          <w:p w14:paraId="239693C5" w14:textId="77777777" w:rsidR="00EB0B6B" w:rsidRDefault="00000000">
            <w:pPr>
              <w:spacing w:after="0" w:line="252" w:lineRule="auto"/>
            </w:pPr>
            <w:r>
              <w:rPr>
                <w:rFonts w:eastAsia="Arial" w:cs="Arial"/>
                <w:b/>
                <w:color w:val="16324F"/>
                <w:sz w:val="20"/>
              </w:rPr>
              <w:t>ODBCIS connection list resets</w:t>
            </w:r>
          </w:p>
        </w:tc>
        <w:tc>
          <w:tcPr>
            <w:tcW w:w="5861" w:type="dxa"/>
            <w:tcMar>
              <w:top w:w="85" w:type="dxa"/>
              <w:left w:w="110" w:type="dxa"/>
              <w:bottom w:w="85" w:type="dxa"/>
              <w:right w:w="110" w:type="dxa"/>
            </w:tcMar>
            <w:vAlign w:val="center"/>
          </w:tcPr>
          <w:p w14:paraId="62AFB7F1" w14:textId="77777777" w:rsidR="00EB0B6B" w:rsidRDefault="00000000">
            <w:pPr>
              <w:spacing w:after="0" w:line="252" w:lineRule="auto"/>
            </w:pPr>
            <w:r>
              <w:rPr>
                <w:rFonts w:eastAsia="Arial" w:cs="Arial"/>
                <w:sz w:val="20"/>
              </w:rPr>
              <w:t>External routing, firewall and source / connector reachability.</w:t>
            </w:r>
          </w:p>
        </w:tc>
        <w:tc>
          <w:tcPr>
            <w:tcW w:w="1512" w:type="dxa"/>
            <w:tcMar>
              <w:top w:w="85" w:type="dxa"/>
              <w:left w:w="110" w:type="dxa"/>
              <w:bottom w:w="85" w:type="dxa"/>
              <w:right w:w="110" w:type="dxa"/>
            </w:tcMar>
            <w:vAlign w:val="center"/>
          </w:tcPr>
          <w:p w14:paraId="0A308E6B" w14:textId="77777777" w:rsidR="00EB0B6B" w:rsidRDefault="00000000">
            <w:pPr>
              <w:spacing w:after="0" w:line="252" w:lineRule="auto"/>
            </w:pPr>
            <w:hyperlink w:anchor="ref_62" w:history="1">
              <w:r>
                <w:rPr>
                  <w:color w:val="145EA8"/>
                  <w:sz w:val="19"/>
                  <w:szCs w:val="19"/>
                </w:rPr>
                <w:t>[R62]</w:t>
              </w:r>
            </w:hyperlink>
          </w:p>
        </w:tc>
      </w:tr>
      <w:tr w:rsidR="00EB0B6B" w14:paraId="49952198" w14:textId="77777777">
        <w:trPr>
          <w:cantSplit/>
          <w:jc w:val="center"/>
        </w:trPr>
        <w:tc>
          <w:tcPr>
            <w:tcW w:w="2333" w:type="dxa"/>
            <w:tcMar>
              <w:top w:w="85" w:type="dxa"/>
              <w:left w:w="110" w:type="dxa"/>
              <w:bottom w:w="85" w:type="dxa"/>
              <w:right w:w="110" w:type="dxa"/>
            </w:tcMar>
            <w:vAlign w:val="center"/>
          </w:tcPr>
          <w:p w14:paraId="01CCE480" w14:textId="77777777" w:rsidR="00EB0B6B" w:rsidRDefault="00000000">
            <w:pPr>
              <w:spacing w:after="0" w:line="252" w:lineRule="auto"/>
            </w:pPr>
            <w:r>
              <w:rPr>
                <w:rFonts w:eastAsia="Arial" w:cs="Arial"/>
                <w:b/>
                <w:color w:val="16324F"/>
                <w:sz w:val="20"/>
              </w:rPr>
              <w:t>ODBCIS query returns 504</w:t>
            </w:r>
          </w:p>
        </w:tc>
        <w:tc>
          <w:tcPr>
            <w:tcW w:w="5861" w:type="dxa"/>
            <w:tcMar>
              <w:top w:w="85" w:type="dxa"/>
              <w:left w:w="110" w:type="dxa"/>
              <w:bottom w:w="85" w:type="dxa"/>
              <w:right w:w="110" w:type="dxa"/>
            </w:tcMar>
            <w:vAlign w:val="center"/>
          </w:tcPr>
          <w:p w14:paraId="2C66C364" w14:textId="77777777" w:rsidR="00EB0B6B" w:rsidRDefault="00000000">
            <w:pPr>
              <w:spacing w:after="0" w:line="252" w:lineRule="auto"/>
            </w:pPr>
            <w:r>
              <w:rPr>
                <w:rFonts w:eastAsia="Arial" w:cs="Arial"/>
                <w:sz w:val="20"/>
              </w:rPr>
              <w:t>Test the actual external path and load-balancer / WAF timeout behavior.</w:t>
            </w:r>
          </w:p>
        </w:tc>
        <w:tc>
          <w:tcPr>
            <w:tcW w:w="1512" w:type="dxa"/>
            <w:tcMar>
              <w:top w:w="85" w:type="dxa"/>
              <w:left w:w="110" w:type="dxa"/>
              <w:bottom w:w="85" w:type="dxa"/>
              <w:right w:w="110" w:type="dxa"/>
            </w:tcMar>
            <w:vAlign w:val="center"/>
          </w:tcPr>
          <w:p w14:paraId="7D629257" w14:textId="77777777" w:rsidR="00EB0B6B" w:rsidRDefault="00000000">
            <w:pPr>
              <w:spacing w:after="0" w:line="252" w:lineRule="auto"/>
            </w:pPr>
            <w:hyperlink w:anchor="ref_63" w:history="1">
              <w:r>
                <w:rPr>
                  <w:color w:val="145EA8"/>
                  <w:sz w:val="19"/>
                  <w:szCs w:val="19"/>
                </w:rPr>
                <w:t>[R63]</w:t>
              </w:r>
            </w:hyperlink>
          </w:p>
        </w:tc>
      </w:tr>
      <w:tr w:rsidR="00EB0B6B" w14:paraId="3E4E9F89" w14:textId="77777777">
        <w:trPr>
          <w:cantSplit/>
          <w:jc w:val="center"/>
        </w:trPr>
        <w:tc>
          <w:tcPr>
            <w:tcW w:w="2333" w:type="dxa"/>
            <w:tcMar>
              <w:top w:w="85" w:type="dxa"/>
              <w:left w:w="110" w:type="dxa"/>
              <w:bottom w:w="85" w:type="dxa"/>
              <w:right w:w="110" w:type="dxa"/>
            </w:tcMar>
            <w:vAlign w:val="center"/>
          </w:tcPr>
          <w:p w14:paraId="7936A626" w14:textId="77777777" w:rsidR="00EB0B6B" w:rsidRDefault="00000000">
            <w:pPr>
              <w:spacing w:after="0" w:line="252" w:lineRule="auto"/>
            </w:pPr>
            <w:r>
              <w:rPr>
                <w:rFonts w:eastAsia="Arial" w:cs="Arial"/>
                <w:b/>
                <w:color w:val="16324F"/>
                <w:sz w:val="20"/>
              </w:rPr>
              <w:t>TI cannot send HTTPS POST</w:t>
            </w:r>
          </w:p>
        </w:tc>
        <w:tc>
          <w:tcPr>
            <w:tcW w:w="5861" w:type="dxa"/>
            <w:tcMar>
              <w:top w:w="85" w:type="dxa"/>
              <w:left w:w="110" w:type="dxa"/>
              <w:bottom w:w="85" w:type="dxa"/>
              <w:right w:w="110" w:type="dxa"/>
            </w:tcMar>
            <w:vAlign w:val="center"/>
          </w:tcPr>
          <w:p w14:paraId="4090E927" w14:textId="77777777" w:rsidR="00EB0B6B" w:rsidRDefault="00000000">
            <w:pPr>
              <w:spacing w:after="0" w:line="252" w:lineRule="auto"/>
            </w:pPr>
            <w:r>
              <w:rPr>
                <w:rFonts w:eastAsia="Arial" w:cs="Arial"/>
                <w:sz w:val="20"/>
              </w:rPr>
              <w:t>Trusted root and intermediate certificate-chain completeness.</w:t>
            </w:r>
          </w:p>
        </w:tc>
        <w:tc>
          <w:tcPr>
            <w:tcW w:w="1512" w:type="dxa"/>
            <w:tcMar>
              <w:top w:w="85" w:type="dxa"/>
              <w:left w:w="110" w:type="dxa"/>
              <w:bottom w:w="85" w:type="dxa"/>
              <w:right w:w="110" w:type="dxa"/>
            </w:tcMar>
            <w:vAlign w:val="center"/>
          </w:tcPr>
          <w:p w14:paraId="124D65FF" w14:textId="77777777" w:rsidR="00EB0B6B" w:rsidRDefault="00000000">
            <w:pPr>
              <w:spacing w:after="0" w:line="252" w:lineRule="auto"/>
            </w:pPr>
            <w:hyperlink w:anchor="ref_64" w:history="1">
              <w:r>
                <w:rPr>
                  <w:color w:val="145EA8"/>
                  <w:sz w:val="19"/>
                  <w:szCs w:val="19"/>
                </w:rPr>
                <w:t>[R64]</w:t>
              </w:r>
            </w:hyperlink>
          </w:p>
        </w:tc>
      </w:tr>
      <w:tr w:rsidR="00EB0B6B" w14:paraId="501B3F38" w14:textId="77777777">
        <w:trPr>
          <w:cantSplit/>
          <w:jc w:val="center"/>
        </w:trPr>
        <w:tc>
          <w:tcPr>
            <w:tcW w:w="2333" w:type="dxa"/>
            <w:tcMar>
              <w:top w:w="85" w:type="dxa"/>
              <w:left w:w="110" w:type="dxa"/>
              <w:bottom w:w="85" w:type="dxa"/>
              <w:right w:w="110" w:type="dxa"/>
            </w:tcMar>
            <w:vAlign w:val="center"/>
          </w:tcPr>
          <w:p w14:paraId="694B1193" w14:textId="77777777" w:rsidR="00EB0B6B" w:rsidRDefault="00000000">
            <w:pPr>
              <w:spacing w:after="0" w:line="252" w:lineRule="auto"/>
            </w:pPr>
            <w:r>
              <w:rPr>
                <w:rFonts w:eastAsia="Arial" w:cs="Arial"/>
                <w:b/>
                <w:color w:val="16324F"/>
                <w:sz w:val="20"/>
              </w:rPr>
              <w:t>Workspace containers exit</w:t>
            </w:r>
          </w:p>
        </w:tc>
        <w:tc>
          <w:tcPr>
            <w:tcW w:w="5861" w:type="dxa"/>
            <w:tcMar>
              <w:top w:w="85" w:type="dxa"/>
              <w:left w:w="110" w:type="dxa"/>
              <w:bottom w:w="85" w:type="dxa"/>
              <w:right w:w="110" w:type="dxa"/>
            </w:tcMar>
            <w:vAlign w:val="center"/>
          </w:tcPr>
          <w:p w14:paraId="7FEE2730" w14:textId="77777777" w:rsidR="00EB0B6B" w:rsidRDefault="00000000">
            <w:pPr>
              <w:spacing w:after="0" w:line="252" w:lineRule="auto"/>
            </w:pPr>
            <w:r>
              <w:rPr>
                <w:rFonts w:eastAsia="Arial" w:cs="Arial"/>
                <w:sz w:val="20"/>
              </w:rPr>
              <w:t>Host events, container status, startup logs and version-specific service behavior.</w:t>
            </w:r>
          </w:p>
        </w:tc>
        <w:tc>
          <w:tcPr>
            <w:tcW w:w="1512" w:type="dxa"/>
            <w:tcMar>
              <w:top w:w="85" w:type="dxa"/>
              <w:left w:w="110" w:type="dxa"/>
              <w:bottom w:w="85" w:type="dxa"/>
              <w:right w:w="110" w:type="dxa"/>
            </w:tcMar>
            <w:vAlign w:val="center"/>
          </w:tcPr>
          <w:p w14:paraId="6E626721" w14:textId="77777777" w:rsidR="00EB0B6B" w:rsidRDefault="00000000">
            <w:pPr>
              <w:spacing w:after="0" w:line="252" w:lineRule="auto"/>
            </w:pPr>
            <w:hyperlink w:anchor="ref_50" w:history="1">
              <w:r>
                <w:rPr>
                  <w:color w:val="145EA8"/>
                  <w:sz w:val="19"/>
                  <w:szCs w:val="19"/>
                </w:rPr>
                <w:t>[R50]</w:t>
              </w:r>
            </w:hyperlink>
          </w:p>
        </w:tc>
      </w:tr>
    </w:tbl>
    <w:p w14:paraId="40552647" w14:textId="77777777" w:rsidR="00EB0B6B" w:rsidRDefault="00EB0B6B">
      <w:pPr>
        <w:spacing w:after="0" w:line="120" w:lineRule="auto"/>
      </w:pPr>
    </w:p>
    <w:p w14:paraId="1DAA50F4" w14:textId="77777777" w:rsidR="00EB0B6B" w:rsidRDefault="00000000">
      <w:r>
        <w:rPr>
          <w:rFonts w:eastAsia="Arial" w:cs="Arial"/>
        </w:rPr>
        <w:t>The ODBC entries are documented IBM support cases, not a claim that every similar symptom has the same cause.</w:t>
      </w:r>
      <w:r>
        <w:rPr>
          <w:rFonts w:eastAsia="Arial" w:cs="Arial"/>
          <w:color w:val="596C7B"/>
          <w:sz w:val="18"/>
        </w:rPr>
        <w:t xml:space="preserve">  </w:t>
      </w:r>
      <w:hyperlink w:anchor="ref_62" w:history="1">
        <w:r>
          <w:rPr>
            <w:color w:val="145EA8"/>
            <w:sz w:val="18"/>
            <w:szCs w:val="18"/>
          </w:rPr>
          <w:t>[R62]</w:t>
        </w:r>
      </w:hyperlink>
      <w:r>
        <w:rPr>
          <w:rFonts w:eastAsia="Arial" w:cs="Arial"/>
          <w:color w:val="596C7B"/>
          <w:sz w:val="18"/>
        </w:rPr>
        <w:t xml:space="preserve"> </w:t>
      </w:r>
      <w:hyperlink w:anchor="ref_63" w:history="1">
        <w:r>
          <w:rPr>
            <w:color w:val="145EA8"/>
            <w:sz w:val="18"/>
            <w:szCs w:val="18"/>
          </w:rPr>
          <w:t>[R63]</w:t>
        </w:r>
      </w:hyperlink>
      <w:r>
        <w:rPr>
          <w:rFonts w:eastAsia="Arial" w:cs="Arial"/>
          <w:color w:val="596C7B"/>
          <w:sz w:val="18"/>
        </w:rPr>
        <w:t xml:space="preserve"> </w:t>
      </w:r>
      <w:hyperlink w:anchor="ref_64" w:history="1">
        <w:r>
          <w:rPr>
            <w:color w:val="145EA8"/>
            <w:sz w:val="18"/>
            <w:szCs w:val="18"/>
          </w:rPr>
          <w:t>[R64]</w:t>
        </w:r>
      </w:hyperlink>
      <w:r>
        <w:rPr>
          <w:rFonts w:eastAsia="Arial" w:cs="Arial"/>
          <w:color w:val="596C7B"/>
          <w:sz w:val="18"/>
        </w:rPr>
        <w:t xml:space="preserve"> </w:t>
      </w:r>
      <w:hyperlink w:anchor="ref_50" w:history="1">
        <w:r>
          <w:rPr>
            <w:color w:val="145EA8"/>
            <w:sz w:val="18"/>
            <w:szCs w:val="18"/>
          </w:rPr>
          <w:t>[R50]</w:t>
        </w:r>
      </w:hyperlink>
    </w:p>
    <w:p w14:paraId="29F06E58" w14:textId="77777777" w:rsidR="00EB0B6B" w:rsidRDefault="00000000">
      <w:pPr>
        <w:pStyle w:val="Heading2"/>
      </w:pPr>
      <w:r>
        <w:rPr>
          <w:rFonts w:ascii="Arial" w:eastAsia="Arial" w:hAnsi="Arial" w:cs="Arial"/>
        </w:rPr>
        <w:t>Recommended diagnostic sequence</w:t>
      </w:r>
    </w:p>
    <w:p w14:paraId="07C5E74F" w14:textId="77777777" w:rsidR="00EB0B6B" w:rsidRDefault="00000000">
      <w:r>
        <w:rPr>
          <w:rFonts w:eastAsia="Arial" w:cs="Arial"/>
        </w:rPr>
        <w:t>Identify the precise environment, user and transaction; reproduce once under controlled conditions; capture the timestamp and timezone; locate the relevant component log; compare with the last known good state; isolate identity, network, source, database and client layers; change one factor at a time.</w:t>
      </w:r>
    </w:p>
    <w:p w14:paraId="4E478429" w14:textId="77777777" w:rsidR="00EB0B6B" w:rsidRDefault="00000000">
      <w:pPr>
        <w:pStyle w:val="Heading2"/>
      </w:pPr>
      <w:r>
        <w:rPr>
          <w:rFonts w:ascii="Arial" w:eastAsia="Arial" w:hAnsi="Arial" w:cs="Arial"/>
        </w:rPr>
        <w:t>Before opening a case</w:t>
      </w:r>
    </w:p>
    <w:p w14:paraId="28A5F728" w14:textId="77777777" w:rsidR="00EB0B6B" w:rsidRDefault="00000000">
      <w:r>
        <w:rPr>
          <w:rFonts w:eastAsia="Arial" w:cs="Arial"/>
        </w:rPr>
        <w:t>Collect component versions, OS / runtime, failure frequency, affected users, business impact, exact error, minimal reproduction and sanitized logs. Never attach live keys, passwords, unrestricted customer extracts or an unredacted connector configuration.</w:t>
      </w:r>
    </w:p>
    <w:tbl>
      <w:tblPr>
        <w:tblW w:w="0" w:type="auto"/>
        <w:jc w:val="center"/>
        <w:tblBorders>
          <w:top w:val="single" w:sz="2" w:space="0" w:color="FFF4DC"/>
          <w:left w:val="single" w:sz="2" w:space="0" w:color="FFF4DC"/>
          <w:bottom w:val="single" w:sz="2" w:space="0" w:color="FFF4DC"/>
          <w:right w:val="single" w:sz="2" w:space="0" w:color="FFF4DC"/>
          <w:insideH w:val="single" w:sz="2" w:space="0" w:color="FFF4DC"/>
          <w:insideV w:val="single" w:sz="2" w:space="0" w:color="FFF4DC"/>
        </w:tblBorders>
        <w:tblLayout w:type="fixed"/>
        <w:tblLook w:val="04A0" w:firstRow="1" w:lastRow="0" w:firstColumn="1" w:lastColumn="0" w:noHBand="0" w:noVBand="1"/>
      </w:tblPr>
      <w:tblGrid>
        <w:gridCol w:w="9706"/>
      </w:tblGrid>
      <w:tr w:rsidR="00EB0B6B" w14:paraId="6A98553C" w14:textId="77777777">
        <w:trPr>
          <w:cantSplit/>
          <w:jc w:val="center"/>
        </w:trPr>
        <w:tc>
          <w:tcPr>
            <w:tcW w:w="9706" w:type="dxa"/>
            <w:shd w:val="clear" w:color="auto" w:fill="FFF4DC"/>
            <w:tcMar>
              <w:top w:w="115" w:type="dxa"/>
              <w:left w:w="150" w:type="dxa"/>
              <w:bottom w:w="115" w:type="dxa"/>
              <w:right w:w="150" w:type="dxa"/>
            </w:tcMar>
          </w:tcPr>
          <w:p w14:paraId="02078058" w14:textId="77777777" w:rsidR="00EB0B6B" w:rsidRDefault="00000000">
            <w:pPr>
              <w:keepNext/>
              <w:spacing w:after="80"/>
            </w:pPr>
            <w:r>
              <w:rPr>
                <w:rFonts w:eastAsia="Arial" w:cs="Arial"/>
                <w:b/>
                <w:color w:val="99620C"/>
                <w:sz w:val="19"/>
              </w:rPr>
              <w:t>AVOID DESTRUCTIVE DIAGNOSIS</w:t>
            </w:r>
          </w:p>
          <w:p w14:paraId="74D35608" w14:textId="77777777" w:rsidR="00EB0B6B" w:rsidRDefault="00000000">
            <w:pPr>
              <w:spacing w:after="0" w:line="254" w:lineRule="auto"/>
            </w:pPr>
            <w:r>
              <w:rPr>
                <w:rFonts w:eastAsia="Arial" w:cs="Arial"/>
                <w:sz w:val="20"/>
              </w:rPr>
              <w:t>Do not remove data directories, reset production models, weaken TLS, or grant global administrative rights to make an error disappear. Use approved maintenance and rollback procedures.</w:t>
            </w:r>
          </w:p>
        </w:tc>
      </w:tr>
    </w:tbl>
    <w:p w14:paraId="710AD7F4" w14:textId="77777777" w:rsidR="00EB0B6B" w:rsidRDefault="00EB0B6B">
      <w:pPr>
        <w:spacing w:after="0" w:line="120" w:lineRule="auto"/>
      </w:pPr>
    </w:p>
    <w:p w14:paraId="480BA0D4" w14:textId="77777777" w:rsidR="00EB0B6B" w:rsidRDefault="00000000">
      <w:pPr>
        <w:pStyle w:val="Heading1"/>
        <w:pageBreakBefore/>
      </w:pPr>
      <w:bookmarkStart w:id="27" w:name="chapter_27"/>
      <w:r>
        <w:rPr>
          <w:rFonts w:ascii="Arial" w:eastAsia="Arial" w:hAnsi="Arial" w:cs="Arial"/>
        </w:rPr>
        <w:t>27. Languages, community and support</w:t>
      </w:r>
      <w:bookmarkEnd w:id="27"/>
    </w:p>
    <w:p w14:paraId="0125C228" w14:textId="77777777" w:rsidR="00EB0B6B" w:rsidRDefault="00000000">
      <w:pPr>
        <w:keepNext/>
        <w:spacing w:after="240"/>
      </w:pPr>
      <w:r>
        <w:rPr>
          <w:rFonts w:eastAsia="Arial" w:cs="Arial"/>
          <w:color w:val="007D79"/>
          <w:sz w:val="20"/>
        </w:rPr>
        <w:t>Choose the right resource for learning, operations or an incident.</w:t>
      </w:r>
    </w:p>
    <w:p w14:paraId="2096238B" w14:textId="77777777" w:rsidR="00EB0B6B" w:rsidRDefault="00000000">
      <w:pPr>
        <w:pStyle w:val="Heading2"/>
      </w:pPr>
      <w:r>
        <w:rPr>
          <w:rFonts w:ascii="Arial" w:eastAsia="Arial" w:hAnsi="Arial" w:cs="Arial"/>
        </w:rPr>
        <w:t>Supported languages are component-specific</w:t>
      </w:r>
    </w:p>
    <w:p w14:paraId="3ADE4904" w14:textId="77777777" w:rsidR="00EB0B6B" w:rsidRDefault="00000000">
      <w:r>
        <w:rPr>
          <w:rFonts w:eastAsia="Arial" w:cs="Arial"/>
        </w:rPr>
        <w:t>The language index separates Workspace, Excel, Local and Cloud. The reviewed Workspace 2.1 matrix lists English, French, German, Italian, Japanese, Spanish, Brazilian Portuguese and Simplified Chinese for both UI and documentation. It lists Korean documentation but not Korean UI, and several additional UI languages without translated manuals. Confirm your target release rather than extrapolating from another component.</w:t>
      </w:r>
      <w:r>
        <w:rPr>
          <w:rFonts w:eastAsia="Arial" w:cs="Arial"/>
          <w:color w:val="596C7B"/>
          <w:sz w:val="18"/>
        </w:rPr>
        <w:t xml:space="preserve">  </w:t>
      </w:r>
      <w:hyperlink w:anchor="ref_08" w:history="1">
        <w:r>
          <w:rPr>
            <w:color w:val="145EA8"/>
            <w:sz w:val="18"/>
            <w:szCs w:val="18"/>
          </w:rPr>
          <w:t>[R08]</w:t>
        </w:r>
      </w:hyperlink>
      <w:r>
        <w:rPr>
          <w:rFonts w:eastAsia="Arial" w:cs="Arial"/>
          <w:color w:val="596C7B"/>
          <w:sz w:val="18"/>
        </w:rPr>
        <w:t xml:space="preserve"> </w:t>
      </w:r>
      <w:hyperlink w:anchor="ref_78" w:history="1">
        <w:r>
          <w:rPr>
            <w:color w:val="145EA8"/>
            <w:sz w:val="18"/>
            <w:szCs w:val="18"/>
          </w:rPr>
          <w:t>[R78]</w:t>
        </w:r>
      </w:hyperlink>
    </w:p>
    <w:p w14:paraId="7CA3E24C" w14:textId="77777777" w:rsidR="00EB0B6B" w:rsidRDefault="00000000">
      <w:r>
        <w:rPr>
          <w:rFonts w:eastAsia="Arial" w:cs="Arial"/>
        </w:rPr>
        <w:t>The reviewed PAfE matrix lists 27 UI languages, while documentation is available in a smaller subset. UI language availability does not guarantee translated documentation or the same behavior in AI features. Include number formats, dates, fiscal periods and multilingual names in user testing.</w:t>
      </w:r>
      <w:r>
        <w:rPr>
          <w:rFonts w:eastAsia="Arial" w:cs="Arial"/>
          <w:color w:val="596C7B"/>
          <w:sz w:val="18"/>
        </w:rPr>
        <w:t xml:space="preserve">  </w:t>
      </w:r>
      <w:hyperlink w:anchor="ref_79" w:history="1">
        <w:r>
          <w:rPr>
            <w:color w:val="145EA8"/>
            <w:sz w:val="18"/>
            <w:szCs w:val="18"/>
          </w:rPr>
          <w:t>[R79]</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2189"/>
        <w:gridCol w:w="3917"/>
        <w:gridCol w:w="3600"/>
      </w:tblGrid>
      <w:tr w:rsidR="00EB0B6B" w14:paraId="1377F1D0" w14:textId="77777777">
        <w:trPr>
          <w:cantSplit/>
          <w:tblHeader/>
          <w:jc w:val="center"/>
        </w:trPr>
        <w:tc>
          <w:tcPr>
            <w:tcW w:w="2189" w:type="dxa"/>
            <w:shd w:val="clear" w:color="auto" w:fill="16324F"/>
            <w:tcMar>
              <w:top w:w="100" w:type="dxa"/>
              <w:left w:w="110" w:type="dxa"/>
              <w:bottom w:w="100" w:type="dxa"/>
              <w:right w:w="110" w:type="dxa"/>
            </w:tcMar>
            <w:vAlign w:val="center"/>
          </w:tcPr>
          <w:p w14:paraId="362D7CD7" w14:textId="77777777" w:rsidR="00EB0B6B" w:rsidRDefault="00000000">
            <w:pPr>
              <w:spacing w:after="0" w:line="252" w:lineRule="auto"/>
            </w:pPr>
            <w:r>
              <w:rPr>
                <w:rFonts w:eastAsia="Arial" w:cs="Arial"/>
                <w:b/>
                <w:color w:val="FFFFFF"/>
                <w:sz w:val="20"/>
              </w:rPr>
              <w:t>Resource</w:t>
            </w:r>
          </w:p>
        </w:tc>
        <w:tc>
          <w:tcPr>
            <w:tcW w:w="3917" w:type="dxa"/>
            <w:shd w:val="clear" w:color="auto" w:fill="16324F"/>
            <w:tcMar>
              <w:top w:w="100" w:type="dxa"/>
              <w:left w:w="110" w:type="dxa"/>
              <w:bottom w:w="100" w:type="dxa"/>
              <w:right w:w="110" w:type="dxa"/>
            </w:tcMar>
            <w:vAlign w:val="center"/>
          </w:tcPr>
          <w:p w14:paraId="0A1B0812" w14:textId="77777777" w:rsidR="00EB0B6B" w:rsidRDefault="00000000">
            <w:pPr>
              <w:spacing w:after="0" w:line="252" w:lineRule="auto"/>
            </w:pPr>
            <w:r>
              <w:rPr>
                <w:rFonts w:eastAsia="Arial" w:cs="Arial"/>
                <w:b/>
                <w:color w:val="FFFFFF"/>
                <w:sz w:val="20"/>
              </w:rPr>
              <w:t>Best use</w:t>
            </w:r>
          </w:p>
        </w:tc>
        <w:tc>
          <w:tcPr>
            <w:tcW w:w="3600" w:type="dxa"/>
            <w:shd w:val="clear" w:color="auto" w:fill="16324F"/>
            <w:tcMar>
              <w:top w:w="100" w:type="dxa"/>
              <w:left w:w="110" w:type="dxa"/>
              <w:bottom w:w="100" w:type="dxa"/>
              <w:right w:w="110" w:type="dxa"/>
            </w:tcMar>
            <w:vAlign w:val="center"/>
          </w:tcPr>
          <w:p w14:paraId="4A114459" w14:textId="77777777" w:rsidR="00EB0B6B" w:rsidRDefault="00000000">
            <w:pPr>
              <w:spacing w:after="0" w:line="252" w:lineRule="auto"/>
            </w:pPr>
            <w:r>
              <w:rPr>
                <w:rFonts w:eastAsia="Arial" w:cs="Arial"/>
                <w:b/>
                <w:color w:val="FFFFFF"/>
                <w:sz w:val="20"/>
              </w:rPr>
              <w:t>Boundary</w:t>
            </w:r>
          </w:p>
        </w:tc>
      </w:tr>
      <w:tr w:rsidR="00EB0B6B" w14:paraId="33DF47A6" w14:textId="77777777">
        <w:trPr>
          <w:cantSplit/>
          <w:jc w:val="center"/>
        </w:trPr>
        <w:tc>
          <w:tcPr>
            <w:tcW w:w="2189" w:type="dxa"/>
            <w:tcMar>
              <w:top w:w="85" w:type="dxa"/>
              <w:left w:w="110" w:type="dxa"/>
              <w:bottom w:w="85" w:type="dxa"/>
              <w:right w:w="110" w:type="dxa"/>
            </w:tcMar>
            <w:vAlign w:val="center"/>
          </w:tcPr>
          <w:p w14:paraId="7B84661E" w14:textId="77777777" w:rsidR="00EB0B6B" w:rsidRDefault="00000000">
            <w:pPr>
              <w:spacing w:after="0" w:line="252" w:lineRule="auto"/>
            </w:pPr>
            <w:r>
              <w:rPr>
                <w:rFonts w:eastAsia="Arial" w:cs="Arial"/>
                <w:b/>
                <w:color w:val="16324F"/>
                <w:sz w:val="20"/>
              </w:rPr>
              <w:t>Planning Analytics community</w:t>
            </w:r>
          </w:p>
        </w:tc>
        <w:tc>
          <w:tcPr>
            <w:tcW w:w="3917" w:type="dxa"/>
            <w:tcMar>
              <w:top w:w="85" w:type="dxa"/>
              <w:left w:w="110" w:type="dxa"/>
              <w:bottom w:w="85" w:type="dxa"/>
              <w:right w:w="110" w:type="dxa"/>
            </w:tcMar>
            <w:vAlign w:val="center"/>
          </w:tcPr>
          <w:p w14:paraId="214E7786" w14:textId="77777777" w:rsidR="00EB0B6B" w:rsidRDefault="00000000">
            <w:pPr>
              <w:spacing w:after="0" w:line="252" w:lineRule="auto"/>
            </w:pPr>
            <w:r>
              <w:rPr>
                <w:rFonts w:eastAsia="Arial" w:cs="Arial"/>
                <w:sz w:val="20"/>
              </w:rPr>
              <w:t>Peer discussion, IBM product blogs, library and events.</w:t>
            </w:r>
          </w:p>
        </w:tc>
        <w:tc>
          <w:tcPr>
            <w:tcW w:w="3600" w:type="dxa"/>
            <w:tcMar>
              <w:top w:w="85" w:type="dxa"/>
              <w:left w:w="110" w:type="dxa"/>
              <w:bottom w:w="85" w:type="dxa"/>
              <w:right w:w="110" w:type="dxa"/>
            </w:tcMar>
            <w:vAlign w:val="center"/>
          </w:tcPr>
          <w:p w14:paraId="5A4C1570" w14:textId="77777777" w:rsidR="00EB0B6B" w:rsidRDefault="00000000">
            <w:pPr>
              <w:spacing w:after="0" w:line="252" w:lineRule="auto"/>
            </w:pPr>
            <w:r>
              <w:rPr>
                <w:rFonts w:eastAsia="Arial" w:cs="Arial"/>
                <w:sz w:val="20"/>
              </w:rPr>
              <w:t>Do not post confidential data or use a forum as an incident SLA.</w:t>
            </w:r>
          </w:p>
        </w:tc>
      </w:tr>
      <w:tr w:rsidR="00EB0B6B" w14:paraId="16B40636" w14:textId="77777777">
        <w:trPr>
          <w:cantSplit/>
          <w:jc w:val="center"/>
        </w:trPr>
        <w:tc>
          <w:tcPr>
            <w:tcW w:w="2189" w:type="dxa"/>
            <w:tcMar>
              <w:top w:w="85" w:type="dxa"/>
              <w:left w:w="110" w:type="dxa"/>
              <w:bottom w:w="85" w:type="dxa"/>
              <w:right w:w="110" w:type="dxa"/>
            </w:tcMar>
            <w:vAlign w:val="center"/>
          </w:tcPr>
          <w:p w14:paraId="17CC7C9B" w14:textId="77777777" w:rsidR="00EB0B6B" w:rsidRDefault="00000000">
            <w:pPr>
              <w:spacing w:after="0" w:line="252" w:lineRule="auto"/>
            </w:pPr>
            <w:r>
              <w:rPr>
                <w:rFonts w:eastAsia="Arial" w:cs="Arial"/>
                <w:b/>
                <w:color w:val="16324F"/>
                <w:sz w:val="20"/>
              </w:rPr>
              <w:t>Cloud / Local Support Communities</w:t>
            </w:r>
          </w:p>
        </w:tc>
        <w:tc>
          <w:tcPr>
            <w:tcW w:w="3917" w:type="dxa"/>
            <w:tcMar>
              <w:top w:w="85" w:type="dxa"/>
              <w:left w:w="110" w:type="dxa"/>
              <w:bottom w:w="85" w:type="dxa"/>
              <w:right w:w="110" w:type="dxa"/>
            </w:tcMar>
            <w:vAlign w:val="center"/>
          </w:tcPr>
          <w:p w14:paraId="1AD4FCDC" w14:textId="77777777" w:rsidR="00EB0B6B" w:rsidRDefault="00000000">
            <w:pPr>
              <w:spacing w:after="0" w:line="252" w:lineRule="auto"/>
            </w:pPr>
            <w:r>
              <w:rPr>
                <w:rFonts w:eastAsia="Arial" w:cs="Arial"/>
                <w:sz w:val="20"/>
              </w:rPr>
              <w:t>Entitlement-linked technical assistance for the correct offering.</w:t>
            </w:r>
          </w:p>
        </w:tc>
        <w:tc>
          <w:tcPr>
            <w:tcW w:w="3600" w:type="dxa"/>
            <w:tcMar>
              <w:top w:w="85" w:type="dxa"/>
              <w:left w:w="110" w:type="dxa"/>
              <w:bottom w:w="85" w:type="dxa"/>
              <w:right w:w="110" w:type="dxa"/>
            </w:tcMar>
            <w:vAlign w:val="center"/>
          </w:tcPr>
          <w:p w14:paraId="77F54063" w14:textId="77777777" w:rsidR="00EB0B6B" w:rsidRDefault="00000000">
            <w:pPr>
              <w:spacing w:after="0" w:line="252" w:lineRule="auto"/>
            </w:pPr>
            <w:r>
              <w:rPr>
                <w:rFonts w:eastAsia="Arial" w:cs="Arial"/>
                <w:sz w:val="20"/>
              </w:rPr>
              <w:t>Some content and case actions require IBMid authorization.</w:t>
            </w:r>
          </w:p>
        </w:tc>
      </w:tr>
      <w:tr w:rsidR="00EB0B6B" w14:paraId="03EB239E" w14:textId="77777777">
        <w:trPr>
          <w:cantSplit/>
          <w:jc w:val="center"/>
        </w:trPr>
        <w:tc>
          <w:tcPr>
            <w:tcW w:w="2189" w:type="dxa"/>
            <w:tcMar>
              <w:top w:w="85" w:type="dxa"/>
              <w:left w:w="110" w:type="dxa"/>
              <w:bottom w:w="85" w:type="dxa"/>
              <w:right w:w="110" w:type="dxa"/>
            </w:tcMar>
            <w:vAlign w:val="center"/>
          </w:tcPr>
          <w:p w14:paraId="135EFCFE" w14:textId="77777777" w:rsidR="00EB0B6B" w:rsidRDefault="00000000">
            <w:pPr>
              <w:spacing w:after="0" w:line="252" w:lineRule="auto"/>
            </w:pPr>
            <w:r>
              <w:rPr>
                <w:rFonts w:eastAsia="Arial" w:cs="Arial"/>
                <w:b/>
                <w:color w:val="16324F"/>
                <w:sz w:val="20"/>
              </w:rPr>
              <w:t>Offering-specific 101 hubs</w:t>
            </w:r>
          </w:p>
        </w:tc>
        <w:tc>
          <w:tcPr>
            <w:tcW w:w="3917" w:type="dxa"/>
            <w:tcMar>
              <w:top w:w="85" w:type="dxa"/>
              <w:left w:w="110" w:type="dxa"/>
              <w:bottom w:w="85" w:type="dxa"/>
              <w:right w:w="110" w:type="dxa"/>
            </w:tcMar>
            <w:vAlign w:val="center"/>
          </w:tcPr>
          <w:p w14:paraId="3E1C58AB" w14:textId="77777777" w:rsidR="00EB0B6B" w:rsidRDefault="00000000">
            <w:pPr>
              <w:spacing w:after="0" w:line="252" w:lineRule="auto"/>
            </w:pPr>
            <w:r>
              <w:rPr>
                <w:rFonts w:eastAsia="Arial" w:cs="Arial"/>
                <w:sz w:val="20"/>
              </w:rPr>
              <w:t>Must-gathers, known issues, installation topics and support navigation.</w:t>
            </w:r>
          </w:p>
        </w:tc>
        <w:tc>
          <w:tcPr>
            <w:tcW w:w="3600" w:type="dxa"/>
            <w:tcMar>
              <w:top w:w="85" w:type="dxa"/>
              <w:left w:w="110" w:type="dxa"/>
              <w:bottom w:w="85" w:type="dxa"/>
              <w:right w:w="110" w:type="dxa"/>
            </w:tcMar>
            <w:vAlign w:val="center"/>
          </w:tcPr>
          <w:p w14:paraId="60825B08" w14:textId="77777777" w:rsidR="00EB0B6B" w:rsidRDefault="00000000">
            <w:pPr>
              <w:spacing w:after="0" w:line="252" w:lineRule="auto"/>
            </w:pPr>
            <w:r>
              <w:rPr>
                <w:rFonts w:eastAsia="Arial" w:cs="Arial"/>
                <w:sz w:val="20"/>
              </w:rPr>
              <w:t>Check date, version and component applicability.</w:t>
            </w:r>
          </w:p>
        </w:tc>
      </w:tr>
      <w:tr w:rsidR="00EB0B6B" w14:paraId="62CDE41E" w14:textId="77777777">
        <w:trPr>
          <w:cantSplit/>
          <w:jc w:val="center"/>
        </w:trPr>
        <w:tc>
          <w:tcPr>
            <w:tcW w:w="2189" w:type="dxa"/>
            <w:tcMar>
              <w:top w:w="85" w:type="dxa"/>
              <w:left w:w="110" w:type="dxa"/>
              <w:bottom w:w="85" w:type="dxa"/>
              <w:right w:w="110" w:type="dxa"/>
            </w:tcMar>
            <w:vAlign w:val="center"/>
          </w:tcPr>
          <w:p w14:paraId="6EC2127A" w14:textId="77777777" w:rsidR="00EB0B6B" w:rsidRDefault="00000000">
            <w:pPr>
              <w:spacing w:after="0" w:line="252" w:lineRule="auto"/>
            </w:pPr>
            <w:r>
              <w:rPr>
                <w:rFonts w:eastAsia="Arial" w:cs="Arial"/>
                <w:b/>
                <w:color w:val="16324F"/>
                <w:sz w:val="20"/>
              </w:rPr>
              <w:t>Status / maintenance pages</w:t>
            </w:r>
          </w:p>
        </w:tc>
        <w:tc>
          <w:tcPr>
            <w:tcW w:w="3917" w:type="dxa"/>
            <w:tcMar>
              <w:top w:w="85" w:type="dxa"/>
              <w:left w:w="110" w:type="dxa"/>
              <w:bottom w:w="85" w:type="dxa"/>
              <w:right w:w="110" w:type="dxa"/>
            </w:tcMar>
            <w:vAlign w:val="center"/>
          </w:tcPr>
          <w:p w14:paraId="264BC75C" w14:textId="77777777" w:rsidR="00EB0B6B" w:rsidRDefault="00000000">
            <w:pPr>
              <w:spacing w:after="0" w:line="252" w:lineRule="auto"/>
            </w:pPr>
            <w:r>
              <w:rPr>
                <w:rFonts w:eastAsia="Arial" w:cs="Arial"/>
                <w:sz w:val="20"/>
              </w:rPr>
              <w:t>Hosted incidents and planned service work.</w:t>
            </w:r>
          </w:p>
        </w:tc>
        <w:tc>
          <w:tcPr>
            <w:tcW w:w="3600" w:type="dxa"/>
            <w:tcMar>
              <w:top w:w="85" w:type="dxa"/>
              <w:left w:w="110" w:type="dxa"/>
              <w:bottom w:w="85" w:type="dxa"/>
              <w:right w:w="110" w:type="dxa"/>
            </w:tcMar>
            <w:vAlign w:val="center"/>
          </w:tcPr>
          <w:p w14:paraId="442BE3C5" w14:textId="77777777" w:rsidR="00EB0B6B" w:rsidRDefault="00000000">
            <w:pPr>
              <w:spacing w:after="0" w:line="252" w:lineRule="auto"/>
            </w:pPr>
            <w:r>
              <w:rPr>
                <w:rFonts w:eastAsia="Arial" w:cs="Arial"/>
                <w:sz w:val="20"/>
              </w:rPr>
              <w:t>Use the actual service notice for timing and scope.</w:t>
            </w:r>
          </w:p>
        </w:tc>
      </w:tr>
      <w:tr w:rsidR="00EB0B6B" w14:paraId="199E2622" w14:textId="77777777">
        <w:trPr>
          <w:cantSplit/>
          <w:jc w:val="center"/>
        </w:trPr>
        <w:tc>
          <w:tcPr>
            <w:tcW w:w="2189" w:type="dxa"/>
            <w:tcMar>
              <w:top w:w="85" w:type="dxa"/>
              <w:left w:w="110" w:type="dxa"/>
              <w:bottom w:w="85" w:type="dxa"/>
              <w:right w:w="110" w:type="dxa"/>
            </w:tcMar>
            <w:vAlign w:val="center"/>
          </w:tcPr>
          <w:p w14:paraId="0FB52DCA" w14:textId="77777777" w:rsidR="00EB0B6B" w:rsidRDefault="00000000">
            <w:pPr>
              <w:spacing w:after="0" w:line="252" w:lineRule="auto"/>
            </w:pPr>
            <w:r>
              <w:rPr>
                <w:rFonts w:eastAsia="Arial" w:cs="Arial"/>
                <w:b/>
                <w:color w:val="16324F"/>
                <w:sz w:val="20"/>
              </w:rPr>
              <w:t>Manuals and SPCR</w:t>
            </w:r>
          </w:p>
        </w:tc>
        <w:tc>
          <w:tcPr>
            <w:tcW w:w="3917" w:type="dxa"/>
            <w:tcMar>
              <w:top w:w="85" w:type="dxa"/>
              <w:left w:w="110" w:type="dxa"/>
              <w:bottom w:w="85" w:type="dxa"/>
              <w:right w:w="110" w:type="dxa"/>
            </w:tcMar>
            <w:vAlign w:val="center"/>
          </w:tcPr>
          <w:p w14:paraId="34AA5E86" w14:textId="77777777" w:rsidR="00EB0B6B" w:rsidRDefault="00000000">
            <w:pPr>
              <w:spacing w:after="0" w:line="252" w:lineRule="auto"/>
            </w:pPr>
            <w:r>
              <w:rPr>
                <w:rFonts w:eastAsia="Arial" w:cs="Arial"/>
                <w:sz w:val="20"/>
              </w:rPr>
              <w:t>Technical procedures and supported combinations.</w:t>
            </w:r>
          </w:p>
        </w:tc>
        <w:tc>
          <w:tcPr>
            <w:tcW w:w="3600" w:type="dxa"/>
            <w:tcMar>
              <w:top w:w="85" w:type="dxa"/>
              <w:left w:w="110" w:type="dxa"/>
              <w:bottom w:w="85" w:type="dxa"/>
              <w:right w:w="110" w:type="dxa"/>
            </w:tcMar>
            <w:vAlign w:val="center"/>
          </w:tcPr>
          <w:p w14:paraId="06F900BE" w14:textId="77777777" w:rsidR="00EB0B6B" w:rsidRDefault="00000000">
            <w:pPr>
              <w:spacing w:after="0" w:line="252" w:lineRule="auto"/>
            </w:pPr>
            <w:r>
              <w:rPr>
                <w:rFonts w:eastAsia="Arial" w:cs="Arial"/>
                <w:sz w:val="20"/>
              </w:rPr>
              <w:t>Select the precise edition and preserve a project reference snapshot.</w:t>
            </w:r>
          </w:p>
        </w:tc>
      </w:tr>
    </w:tbl>
    <w:p w14:paraId="6329A72A" w14:textId="77777777" w:rsidR="00EB0B6B" w:rsidRDefault="00EB0B6B">
      <w:pPr>
        <w:spacing w:after="0" w:line="120" w:lineRule="auto"/>
      </w:pPr>
    </w:p>
    <w:p w14:paraId="4FFED4AB" w14:textId="77777777" w:rsidR="00EB0B6B" w:rsidRDefault="00000000">
      <w:r>
        <w:rPr>
          <w:rFonts w:eastAsia="Arial" w:cs="Arial"/>
        </w:rPr>
        <w:t>Requested community and support destinations are preserved in the reference catalog, together with current IBM 101 hubs.</w:t>
      </w:r>
      <w:r>
        <w:rPr>
          <w:rFonts w:eastAsia="Arial" w:cs="Arial"/>
          <w:color w:val="596C7B"/>
          <w:sz w:val="18"/>
        </w:rPr>
        <w:t xml:space="preserve">  </w:t>
      </w:r>
      <w:hyperlink w:anchor="ref_10" w:history="1">
        <w:r>
          <w:rPr>
            <w:color w:val="145EA8"/>
            <w:sz w:val="18"/>
            <w:szCs w:val="18"/>
          </w:rPr>
          <w:t>[R10]</w:t>
        </w:r>
      </w:hyperlink>
      <w:r>
        <w:rPr>
          <w:rFonts w:eastAsia="Arial" w:cs="Arial"/>
          <w:color w:val="596C7B"/>
          <w:sz w:val="18"/>
        </w:rPr>
        <w:t xml:space="preserve"> </w:t>
      </w:r>
      <w:hyperlink w:anchor="ref_11" w:history="1">
        <w:r>
          <w:rPr>
            <w:color w:val="145EA8"/>
            <w:sz w:val="18"/>
            <w:szCs w:val="18"/>
          </w:rPr>
          <w:t>[R11]</w:t>
        </w:r>
      </w:hyperlink>
      <w:r>
        <w:rPr>
          <w:rFonts w:eastAsia="Arial" w:cs="Arial"/>
          <w:color w:val="596C7B"/>
          <w:sz w:val="18"/>
        </w:rPr>
        <w:t xml:space="preserve"> </w:t>
      </w:r>
      <w:hyperlink w:anchor="ref_12" w:history="1">
        <w:r>
          <w:rPr>
            <w:color w:val="145EA8"/>
            <w:sz w:val="18"/>
            <w:szCs w:val="18"/>
          </w:rPr>
          <w:t>[R12]</w:t>
        </w:r>
      </w:hyperlink>
      <w:r>
        <w:rPr>
          <w:rFonts w:eastAsia="Arial" w:cs="Arial"/>
          <w:color w:val="596C7B"/>
          <w:sz w:val="18"/>
        </w:rPr>
        <w:t xml:space="preserve"> </w:t>
      </w:r>
      <w:hyperlink w:anchor="ref_13" w:history="1">
        <w:r>
          <w:rPr>
            <w:color w:val="145EA8"/>
            <w:sz w:val="18"/>
            <w:szCs w:val="18"/>
          </w:rPr>
          <w:t>[R13]</w:t>
        </w:r>
      </w:hyperlink>
      <w:r>
        <w:rPr>
          <w:rFonts w:eastAsia="Arial" w:cs="Arial"/>
          <w:color w:val="596C7B"/>
          <w:sz w:val="18"/>
        </w:rPr>
        <w:t xml:space="preserve"> </w:t>
      </w:r>
      <w:hyperlink w:anchor="ref_65" w:history="1">
        <w:r>
          <w:rPr>
            <w:color w:val="145EA8"/>
            <w:sz w:val="18"/>
            <w:szCs w:val="18"/>
          </w:rPr>
          <w:t>[R65]</w:t>
        </w:r>
      </w:hyperlink>
    </w:p>
    <w:p w14:paraId="7E3178DD" w14:textId="77777777" w:rsidR="00EB0B6B" w:rsidRDefault="00000000">
      <w:pPr>
        <w:pStyle w:val="Heading2"/>
      </w:pPr>
      <w:r>
        <w:rPr>
          <w:rFonts w:ascii="Arial" w:eastAsia="Arial" w:hAnsi="Arial" w:cs="Arial"/>
        </w:rPr>
        <w:t>Recommended escalation record</w:t>
      </w:r>
    </w:p>
    <w:p w14:paraId="4AF6A0D5" w14:textId="77777777" w:rsidR="00EB0B6B" w:rsidRDefault="00000000">
      <w:r>
        <w:rPr>
          <w:rFonts w:eastAsia="Arial" w:cs="Arial"/>
        </w:rPr>
        <w:t>State the business impact, affected environment, start time, available workaround and accountable contact. Attach the relevant must-gather and record the case number in the incident log. Support severity and response obligations come from IBM's applicable support terms, not an assumed generic promise.</w:t>
      </w:r>
      <w:r>
        <w:rPr>
          <w:rFonts w:eastAsia="Arial" w:cs="Arial"/>
          <w:color w:val="596C7B"/>
          <w:sz w:val="18"/>
        </w:rPr>
        <w:t xml:space="preserve">  </w:t>
      </w:r>
      <w:hyperlink w:anchor="ref_54" w:history="1">
        <w:r>
          <w:rPr>
            <w:color w:val="145EA8"/>
            <w:sz w:val="18"/>
            <w:szCs w:val="18"/>
          </w:rPr>
          <w:t>[R54]</w:t>
        </w:r>
      </w:hyperlink>
      <w:r>
        <w:rPr>
          <w:rFonts w:eastAsia="Arial" w:cs="Arial"/>
          <w:color w:val="596C7B"/>
          <w:sz w:val="18"/>
        </w:rPr>
        <w:t xml:space="preserve"> </w:t>
      </w:r>
      <w:hyperlink w:anchor="ref_53" w:history="1">
        <w:r>
          <w:rPr>
            <w:color w:val="145EA8"/>
            <w:sz w:val="18"/>
            <w:szCs w:val="18"/>
          </w:rPr>
          <w:t>[R53]</w:t>
        </w:r>
      </w:hyperlink>
    </w:p>
    <w:p w14:paraId="7284F09B" w14:textId="77777777" w:rsidR="00EB0B6B" w:rsidRDefault="00000000">
      <w:pPr>
        <w:pStyle w:val="Heading1"/>
        <w:pageBreakBefore/>
      </w:pPr>
      <w:bookmarkStart w:id="28" w:name="chapter_28"/>
      <w:r>
        <w:rPr>
          <w:rFonts w:ascii="Arial" w:eastAsia="Arial" w:hAnsi="Arial" w:cs="Arial"/>
        </w:rPr>
        <w:t>28. Implementation plan and acceptance gates</w:t>
      </w:r>
      <w:bookmarkEnd w:id="28"/>
    </w:p>
    <w:p w14:paraId="710F535B" w14:textId="77777777" w:rsidR="00EB0B6B" w:rsidRDefault="00000000">
      <w:pPr>
        <w:keepNext/>
        <w:spacing w:after="240"/>
      </w:pPr>
      <w:r>
        <w:rPr>
          <w:rFonts w:eastAsia="Arial" w:cs="Arial"/>
          <w:color w:val="007D79"/>
          <w:sz w:val="20"/>
        </w:rPr>
        <w:t>Suggested delivery framework - not a vendor-mandated schedule.</w:t>
      </w:r>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339"/>
        <w:gridCol w:w="4709"/>
        <w:gridCol w:w="3658"/>
      </w:tblGrid>
      <w:tr w:rsidR="00EB0B6B" w14:paraId="7062EDCB" w14:textId="77777777">
        <w:trPr>
          <w:cantSplit/>
          <w:tblHeader/>
          <w:jc w:val="center"/>
        </w:trPr>
        <w:tc>
          <w:tcPr>
            <w:tcW w:w="1339" w:type="dxa"/>
            <w:shd w:val="clear" w:color="auto" w:fill="16324F"/>
            <w:tcMar>
              <w:top w:w="100" w:type="dxa"/>
              <w:left w:w="110" w:type="dxa"/>
              <w:bottom w:w="100" w:type="dxa"/>
              <w:right w:w="110" w:type="dxa"/>
            </w:tcMar>
            <w:vAlign w:val="center"/>
          </w:tcPr>
          <w:p w14:paraId="73FDBD5F" w14:textId="77777777" w:rsidR="00EB0B6B" w:rsidRDefault="00000000">
            <w:pPr>
              <w:spacing w:after="0" w:line="252" w:lineRule="auto"/>
            </w:pPr>
            <w:r>
              <w:rPr>
                <w:rFonts w:eastAsia="Arial" w:cs="Arial"/>
                <w:b/>
                <w:color w:val="FFFFFF"/>
                <w:sz w:val="20"/>
              </w:rPr>
              <w:t>Phase</w:t>
            </w:r>
          </w:p>
        </w:tc>
        <w:tc>
          <w:tcPr>
            <w:tcW w:w="4709" w:type="dxa"/>
            <w:shd w:val="clear" w:color="auto" w:fill="16324F"/>
            <w:tcMar>
              <w:top w:w="100" w:type="dxa"/>
              <w:left w:w="110" w:type="dxa"/>
              <w:bottom w:w="100" w:type="dxa"/>
              <w:right w:w="110" w:type="dxa"/>
            </w:tcMar>
            <w:vAlign w:val="center"/>
          </w:tcPr>
          <w:p w14:paraId="6856D454" w14:textId="77777777" w:rsidR="00EB0B6B" w:rsidRDefault="00000000">
            <w:pPr>
              <w:spacing w:after="0" w:line="252" w:lineRule="auto"/>
            </w:pPr>
            <w:r>
              <w:rPr>
                <w:rFonts w:eastAsia="Arial" w:cs="Arial"/>
                <w:b/>
                <w:color w:val="FFFFFF"/>
                <w:sz w:val="20"/>
              </w:rPr>
              <w:t>Core deliverables</w:t>
            </w:r>
          </w:p>
        </w:tc>
        <w:tc>
          <w:tcPr>
            <w:tcW w:w="3658" w:type="dxa"/>
            <w:shd w:val="clear" w:color="auto" w:fill="16324F"/>
            <w:tcMar>
              <w:top w:w="100" w:type="dxa"/>
              <w:left w:w="110" w:type="dxa"/>
              <w:bottom w:w="100" w:type="dxa"/>
              <w:right w:w="110" w:type="dxa"/>
            </w:tcMar>
            <w:vAlign w:val="center"/>
          </w:tcPr>
          <w:p w14:paraId="661C8D3B" w14:textId="77777777" w:rsidR="00EB0B6B" w:rsidRDefault="00000000">
            <w:pPr>
              <w:spacing w:after="0" w:line="252" w:lineRule="auto"/>
            </w:pPr>
            <w:r>
              <w:rPr>
                <w:rFonts w:eastAsia="Arial" w:cs="Arial"/>
                <w:b/>
                <w:color w:val="FFFFFF"/>
                <w:sz w:val="20"/>
              </w:rPr>
              <w:t>Exit gate</w:t>
            </w:r>
          </w:p>
        </w:tc>
      </w:tr>
      <w:tr w:rsidR="00EB0B6B" w14:paraId="4EE5B015" w14:textId="77777777">
        <w:trPr>
          <w:cantSplit/>
          <w:jc w:val="center"/>
        </w:trPr>
        <w:tc>
          <w:tcPr>
            <w:tcW w:w="1339" w:type="dxa"/>
            <w:tcMar>
              <w:top w:w="85" w:type="dxa"/>
              <w:left w:w="110" w:type="dxa"/>
              <w:bottom w:w="85" w:type="dxa"/>
              <w:right w:w="110" w:type="dxa"/>
            </w:tcMar>
            <w:vAlign w:val="center"/>
          </w:tcPr>
          <w:p w14:paraId="1E496B07" w14:textId="77777777" w:rsidR="00EB0B6B" w:rsidRDefault="00000000">
            <w:pPr>
              <w:spacing w:after="0" w:line="252" w:lineRule="auto"/>
            </w:pPr>
            <w:r>
              <w:rPr>
                <w:rFonts w:eastAsia="Arial" w:cs="Arial"/>
                <w:b/>
                <w:color w:val="16324F"/>
                <w:sz w:val="20"/>
              </w:rPr>
              <w:t>Discover</w:t>
            </w:r>
          </w:p>
        </w:tc>
        <w:tc>
          <w:tcPr>
            <w:tcW w:w="4709" w:type="dxa"/>
            <w:tcMar>
              <w:top w:w="85" w:type="dxa"/>
              <w:left w:w="110" w:type="dxa"/>
              <w:bottom w:w="85" w:type="dxa"/>
              <w:right w:w="110" w:type="dxa"/>
            </w:tcMar>
            <w:vAlign w:val="center"/>
          </w:tcPr>
          <w:p w14:paraId="019B9CC6" w14:textId="77777777" w:rsidR="00EB0B6B" w:rsidRDefault="00000000">
            <w:pPr>
              <w:spacing w:after="0" w:line="252" w:lineRule="auto"/>
            </w:pPr>
            <w:r>
              <w:rPr>
                <w:rFonts w:eastAsia="Arial" w:cs="Arial"/>
                <w:sz w:val="20"/>
              </w:rPr>
              <w:t>Business process, data inventory, stakeholders, offering and initial risk register.</w:t>
            </w:r>
          </w:p>
        </w:tc>
        <w:tc>
          <w:tcPr>
            <w:tcW w:w="3658" w:type="dxa"/>
            <w:tcMar>
              <w:top w:w="85" w:type="dxa"/>
              <w:left w:w="110" w:type="dxa"/>
              <w:bottom w:w="85" w:type="dxa"/>
              <w:right w:w="110" w:type="dxa"/>
            </w:tcMar>
            <w:vAlign w:val="center"/>
          </w:tcPr>
          <w:p w14:paraId="49DA185E" w14:textId="77777777" w:rsidR="00EB0B6B" w:rsidRDefault="00000000">
            <w:pPr>
              <w:spacing w:after="0" w:line="252" w:lineRule="auto"/>
            </w:pPr>
            <w:r>
              <w:rPr>
                <w:rFonts w:eastAsia="Arial" w:cs="Arial"/>
                <w:sz w:val="20"/>
              </w:rPr>
              <w:t>Sponsor approves scope and measurable outcomes.</w:t>
            </w:r>
          </w:p>
        </w:tc>
      </w:tr>
      <w:tr w:rsidR="00EB0B6B" w14:paraId="6B000A1F" w14:textId="77777777">
        <w:trPr>
          <w:cantSplit/>
          <w:jc w:val="center"/>
        </w:trPr>
        <w:tc>
          <w:tcPr>
            <w:tcW w:w="1339" w:type="dxa"/>
            <w:tcMar>
              <w:top w:w="85" w:type="dxa"/>
              <w:left w:w="110" w:type="dxa"/>
              <w:bottom w:w="85" w:type="dxa"/>
              <w:right w:w="110" w:type="dxa"/>
            </w:tcMar>
            <w:vAlign w:val="center"/>
          </w:tcPr>
          <w:p w14:paraId="5CA0E414" w14:textId="77777777" w:rsidR="00EB0B6B" w:rsidRDefault="00000000">
            <w:pPr>
              <w:spacing w:after="0" w:line="252" w:lineRule="auto"/>
            </w:pPr>
            <w:r>
              <w:rPr>
                <w:rFonts w:eastAsia="Arial" w:cs="Arial"/>
                <w:b/>
                <w:color w:val="16324F"/>
                <w:sz w:val="20"/>
              </w:rPr>
              <w:t>Design</w:t>
            </w:r>
          </w:p>
        </w:tc>
        <w:tc>
          <w:tcPr>
            <w:tcW w:w="4709" w:type="dxa"/>
            <w:tcMar>
              <w:top w:w="85" w:type="dxa"/>
              <w:left w:w="110" w:type="dxa"/>
              <w:bottom w:w="85" w:type="dxa"/>
              <w:right w:w="110" w:type="dxa"/>
            </w:tcMar>
            <w:vAlign w:val="center"/>
          </w:tcPr>
          <w:p w14:paraId="235AB3ED" w14:textId="77777777" w:rsidR="00EB0B6B" w:rsidRDefault="00000000">
            <w:pPr>
              <w:spacing w:after="0" w:line="252" w:lineRule="auto"/>
            </w:pPr>
            <w:r>
              <w:rPr>
                <w:rFonts w:eastAsia="Arial" w:cs="Arial"/>
                <w:sz w:val="20"/>
              </w:rPr>
              <w:t>Model grain, integration contracts, security matrix, version bill of materials and capacity assumptions.</w:t>
            </w:r>
          </w:p>
        </w:tc>
        <w:tc>
          <w:tcPr>
            <w:tcW w:w="3658" w:type="dxa"/>
            <w:tcMar>
              <w:top w:w="85" w:type="dxa"/>
              <w:left w:w="110" w:type="dxa"/>
              <w:bottom w:w="85" w:type="dxa"/>
              <w:right w:w="110" w:type="dxa"/>
            </w:tcMar>
            <w:vAlign w:val="center"/>
          </w:tcPr>
          <w:p w14:paraId="69B54AB6" w14:textId="77777777" w:rsidR="00EB0B6B" w:rsidRDefault="00000000">
            <w:pPr>
              <w:spacing w:after="0" w:line="252" w:lineRule="auto"/>
            </w:pPr>
            <w:r>
              <w:rPr>
                <w:rFonts w:eastAsia="Arial" w:cs="Arial"/>
                <w:sz w:val="20"/>
              </w:rPr>
              <w:t>Architecture and control owners approve the design.</w:t>
            </w:r>
          </w:p>
        </w:tc>
      </w:tr>
      <w:tr w:rsidR="00EB0B6B" w14:paraId="6E0477B2" w14:textId="77777777">
        <w:trPr>
          <w:cantSplit/>
          <w:jc w:val="center"/>
        </w:trPr>
        <w:tc>
          <w:tcPr>
            <w:tcW w:w="1339" w:type="dxa"/>
            <w:tcMar>
              <w:top w:w="85" w:type="dxa"/>
              <w:left w:w="110" w:type="dxa"/>
              <w:bottom w:w="85" w:type="dxa"/>
              <w:right w:w="110" w:type="dxa"/>
            </w:tcMar>
            <w:vAlign w:val="center"/>
          </w:tcPr>
          <w:p w14:paraId="7B913793" w14:textId="77777777" w:rsidR="00EB0B6B" w:rsidRDefault="00000000">
            <w:pPr>
              <w:spacing w:after="0" w:line="252" w:lineRule="auto"/>
            </w:pPr>
            <w:r>
              <w:rPr>
                <w:rFonts w:eastAsia="Arial" w:cs="Arial"/>
                <w:b/>
                <w:color w:val="16324F"/>
                <w:sz w:val="20"/>
              </w:rPr>
              <w:t>Build</w:t>
            </w:r>
          </w:p>
        </w:tc>
        <w:tc>
          <w:tcPr>
            <w:tcW w:w="4709" w:type="dxa"/>
            <w:tcMar>
              <w:top w:w="85" w:type="dxa"/>
              <w:left w:w="110" w:type="dxa"/>
              <w:bottom w:w="85" w:type="dxa"/>
              <w:right w:w="110" w:type="dxa"/>
            </w:tcMar>
            <w:vAlign w:val="center"/>
          </w:tcPr>
          <w:p w14:paraId="0D0E0D66" w14:textId="77777777" w:rsidR="00EB0B6B" w:rsidRDefault="00000000">
            <w:pPr>
              <w:spacing w:after="0" w:line="252" w:lineRule="auto"/>
            </w:pPr>
            <w:r>
              <w:rPr>
                <w:rFonts w:eastAsia="Arial" w:cs="Arial"/>
                <w:sz w:val="20"/>
              </w:rPr>
              <w:t>Environment, model, TI, reports, planning workflow and monitoring.</w:t>
            </w:r>
          </w:p>
        </w:tc>
        <w:tc>
          <w:tcPr>
            <w:tcW w:w="3658" w:type="dxa"/>
            <w:tcMar>
              <w:top w:w="85" w:type="dxa"/>
              <w:left w:w="110" w:type="dxa"/>
              <w:bottom w:w="85" w:type="dxa"/>
              <w:right w:w="110" w:type="dxa"/>
            </w:tcMar>
            <w:vAlign w:val="center"/>
          </w:tcPr>
          <w:p w14:paraId="6F24B36E" w14:textId="77777777" w:rsidR="00EB0B6B" w:rsidRDefault="00000000">
            <w:pPr>
              <w:spacing w:after="0" w:line="252" w:lineRule="auto"/>
            </w:pPr>
            <w:r>
              <w:rPr>
                <w:rFonts w:eastAsia="Arial" w:cs="Arial"/>
                <w:sz w:val="20"/>
              </w:rPr>
              <w:t>Repeatable development deployment and reconciliation.</w:t>
            </w:r>
          </w:p>
        </w:tc>
      </w:tr>
      <w:tr w:rsidR="00EB0B6B" w14:paraId="2BC79CD4" w14:textId="77777777">
        <w:trPr>
          <w:cantSplit/>
          <w:jc w:val="center"/>
        </w:trPr>
        <w:tc>
          <w:tcPr>
            <w:tcW w:w="1339" w:type="dxa"/>
            <w:tcMar>
              <w:top w:w="85" w:type="dxa"/>
              <w:left w:w="110" w:type="dxa"/>
              <w:bottom w:w="85" w:type="dxa"/>
              <w:right w:w="110" w:type="dxa"/>
            </w:tcMar>
            <w:vAlign w:val="center"/>
          </w:tcPr>
          <w:p w14:paraId="3C70E7DE" w14:textId="77777777" w:rsidR="00EB0B6B" w:rsidRDefault="00000000">
            <w:pPr>
              <w:spacing w:after="0" w:line="252" w:lineRule="auto"/>
            </w:pPr>
            <w:r>
              <w:rPr>
                <w:rFonts w:eastAsia="Arial" w:cs="Arial"/>
                <w:b/>
                <w:color w:val="16324F"/>
                <w:sz w:val="20"/>
              </w:rPr>
              <w:t>Validate</w:t>
            </w:r>
          </w:p>
        </w:tc>
        <w:tc>
          <w:tcPr>
            <w:tcW w:w="4709" w:type="dxa"/>
            <w:tcMar>
              <w:top w:w="85" w:type="dxa"/>
              <w:left w:w="110" w:type="dxa"/>
              <w:bottom w:w="85" w:type="dxa"/>
              <w:right w:w="110" w:type="dxa"/>
            </w:tcMar>
            <w:vAlign w:val="center"/>
          </w:tcPr>
          <w:p w14:paraId="527C0165" w14:textId="77777777" w:rsidR="00EB0B6B" w:rsidRDefault="00000000">
            <w:pPr>
              <w:spacing w:after="0" w:line="252" w:lineRule="auto"/>
            </w:pPr>
            <w:r>
              <w:rPr>
                <w:rFonts w:eastAsia="Arial" w:cs="Arial"/>
                <w:sz w:val="20"/>
              </w:rPr>
              <w:t>Security, calculation, concurrency, integration, restore and user-acceptance evidence.</w:t>
            </w:r>
          </w:p>
        </w:tc>
        <w:tc>
          <w:tcPr>
            <w:tcW w:w="3658" w:type="dxa"/>
            <w:tcMar>
              <w:top w:w="85" w:type="dxa"/>
              <w:left w:w="110" w:type="dxa"/>
              <w:bottom w:w="85" w:type="dxa"/>
              <w:right w:w="110" w:type="dxa"/>
            </w:tcMar>
            <w:vAlign w:val="center"/>
          </w:tcPr>
          <w:p w14:paraId="7A4E600C" w14:textId="77777777" w:rsidR="00EB0B6B" w:rsidRDefault="00000000">
            <w:pPr>
              <w:spacing w:after="0" w:line="252" w:lineRule="auto"/>
            </w:pPr>
            <w:r>
              <w:rPr>
                <w:rFonts w:eastAsia="Arial" w:cs="Arial"/>
                <w:sz w:val="20"/>
              </w:rPr>
              <w:t>Business and operations accept the critical tests.</w:t>
            </w:r>
          </w:p>
        </w:tc>
      </w:tr>
      <w:tr w:rsidR="00EB0B6B" w14:paraId="2221C4FA" w14:textId="77777777">
        <w:trPr>
          <w:cantSplit/>
          <w:jc w:val="center"/>
        </w:trPr>
        <w:tc>
          <w:tcPr>
            <w:tcW w:w="1339" w:type="dxa"/>
            <w:tcMar>
              <w:top w:w="85" w:type="dxa"/>
              <w:left w:w="110" w:type="dxa"/>
              <w:bottom w:w="85" w:type="dxa"/>
              <w:right w:w="110" w:type="dxa"/>
            </w:tcMar>
            <w:vAlign w:val="center"/>
          </w:tcPr>
          <w:p w14:paraId="23D83D38" w14:textId="77777777" w:rsidR="00EB0B6B" w:rsidRDefault="00000000">
            <w:pPr>
              <w:spacing w:after="0" w:line="252" w:lineRule="auto"/>
            </w:pPr>
            <w:r>
              <w:rPr>
                <w:rFonts w:eastAsia="Arial" w:cs="Arial"/>
                <w:b/>
                <w:color w:val="16324F"/>
                <w:sz w:val="20"/>
              </w:rPr>
              <w:t>Deploy</w:t>
            </w:r>
          </w:p>
        </w:tc>
        <w:tc>
          <w:tcPr>
            <w:tcW w:w="4709" w:type="dxa"/>
            <w:tcMar>
              <w:top w:w="85" w:type="dxa"/>
              <w:left w:w="110" w:type="dxa"/>
              <w:bottom w:w="85" w:type="dxa"/>
              <w:right w:w="110" w:type="dxa"/>
            </w:tcMar>
            <w:vAlign w:val="center"/>
          </w:tcPr>
          <w:p w14:paraId="39B15CC5" w14:textId="77777777" w:rsidR="00EB0B6B" w:rsidRDefault="00000000">
            <w:pPr>
              <w:spacing w:after="0" w:line="252" w:lineRule="auto"/>
            </w:pPr>
            <w:r>
              <w:rPr>
                <w:rFonts w:eastAsia="Arial" w:cs="Arial"/>
                <w:sz w:val="20"/>
              </w:rPr>
              <w:t>Cutover rehearsal, communication, backups, rollback and production access.</w:t>
            </w:r>
          </w:p>
        </w:tc>
        <w:tc>
          <w:tcPr>
            <w:tcW w:w="3658" w:type="dxa"/>
            <w:tcMar>
              <w:top w:w="85" w:type="dxa"/>
              <w:left w:w="110" w:type="dxa"/>
              <w:bottom w:w="85" w:type="dxa"/>
              <w:right w:w="110" w:type="dxa"/>
            </w:tcMar>
            <w:vAlign w:val="center"/>
          </w:tcPr>
          <w:p w14:paraId="6440B9B8" w14:textId="77777777" w:rsidR="00EB0B6B" w:rsidRDefault="00000000">
            <w:pPr>
              <w:spacing w:after="0" w:line="252" w:lineRule="auto"/>
            </w:pPr>
            <w:r>
              <w:rPr>
                <w:rFonts w:eastAsia="Arial" w:cs="Arial"/>
                <w:sz w:val="20"/>
              </w:rPr>
              <w:t>Named go / no-go authority approves release.</w:t>
            </w:r>
          </w:p>
        </w:tc>
      </w:tr>
      <w:tr w:rsidR="00EB0B6B" w14:paraId="2D22F65E" w14:textId="77777777">
        <w:trPr>
          <w:cantSplit/>
          <w:jc w:val="center"/>
        </w:trPr>
        <w:tc>
          <w:tcPr>
            <w:tcW w:w="1339" w:type="dxa"/>
            <w:tcMar>
              <w:top w:w="85" w:type="dxa"/>
              <w:left w:w="110" w:type="dxa"/>
              <w:bottom w:w="85" w:type="dxa"/>
              <w:right w:w="110" w:type="dxa"/>
            </w:tcMar>
            <w:vAlign w:val="center"/>
          </w:tcPr>
          <w:p w14:paraId="048E6B56" w14:textId="77777777" w:rsidR="00EB0B6B" w:rsidRDefault="00000000">
            <w:pPr>
              <w:spacing w:after="0" w:line="252" w:lineRule="auto"/>
            </w:pPr>
            <w:r>
              <w:rPr>
                <w:rFonts w:eastAsia="Arial" w:cs="Arial"/>
                <w:b/>
                <w:color w:val="16324F"/>
                <w:sz w:val="20"/>
              </w:rPr>
              <w:t>Operate</w:t>
            </w:r>
          </w:p>
        </w:tc>
        <w:tc>
          <w:tcPr>
            <w:tcW w:w="4709" w:type="dxa"/>
            <w:tcMar>
              <w:top w:w="85" w:type="dxa"/>
              <w:left w:w="110" w:type="dxa"/>
              <w:bottom w:w="85" w:type="dxa"/>
              <w:right w:w="110" w:type="dxa"/>
            </w:tcMar>
            <w:vAlign w:val="center"/>
          </w:tcPr>
          <w:p w14:paraId="66B884C7" w14:textId="77777777" w:rsidR="00EB0B6B" w:rsidRDefault="00000000">
            <w:pPr>
              <w:spacing w:after="0" w:line="252" w:lineRule="auto"/>
            </w:pPr>
            <w:r>
              <w:rPr>
                <w:rFonts w:eastAsia="Arial" w:cs="Arial"/>
                <w:sz w:val="20"/>
              </w:rPr>
              <w:t>Runbooks, ownership, training, incident process and improvement backlog.</w:t>
            </w:r>
          </w:p>
        </w:tc>
        <w:tc>
          <w:tcPr>
            <w:tcW w:w="3658" w:type="dxa"/>
            <w:tcMar>
              <w:top w:w="85" w:type="dxa"/>
              <w:left w:w="110" w:type="dxa"/>
              <w:bottom w:w="85" w:type="dxa"/>
              <w:right w:w="110" w:type="dxa"/>
            </w:tcMar>
            <w:vAlign w:val="center"/>
          </w:tcPr>
          <w:p w14:paraId="4FCAAB85" w14:textId="77777777" w:rsidR="00EB0B6B" w:rsidRDefault="00000000">
            <w:pPr>
              <w:spacing w:after="0" w:line="252" w:lineRule="auto"/>
            </w:pPr>
            <w:r>
              <w:rPr>
                <w:rFonts w:eastAsia="Arial" w:cs="Arial"/>
                <w:sz w:val="20"/>
              </w:rPr>
              <w:t>Service ownership formally handed over.</w:t>
            </w:r>
          </w:p>
        </w:tc>
      </w:tr>
    </w:tbl>
    <w:p w14:paraId="315240F3" w14:textId="77777777" w:rsidR="00EB0B6B" w:rsidRDefault="00EB0B6B">
      <w:pPr>
        <w:spacing w:after="0" w:line="120" w:lineRule="auto"/>
      </w:pPr>
    </w:p>
    <w:p w14:paraId="3B928B16" w14:textId="77777777" w:rsidR="00EB0B6B" w:rsidRDefault="00000000">
      <w:pPr>
        <w:pStyle w:val="Heading2"/>
      </w:pPr>
      <w:r>
        <w:rPr>
          <w:rFonts w:ascii="Arial" w:eastAsia="Arial" w:hAnsi="Arial" w:cs="Arial"/>
        </w:rPr>
        <w:t>Minimum recommended acceptance tests</w:t>
      </w:r>
    </w:p>
    <w:p w14:paraId="7FEE988A" w14:textId="77777777" w:rsidR="00EB0B6B" w:rsidRDefault="00000000">
      <w:r>
        <w:rPr>
          <w:rFonts w:eastAsia="Arial" w:cs="Arial"/>
        </w:rPr>
        <w:t>Reconcile imported totals to source; verify parent / ratio calculations; reject invalid input; test authorized and unauthorized slices; rerun a failed load safely; complete a contributor-to-approver workflow; refresh and write back from the supported Excel client; validate representative APIs; restore the recovery set; test post-maintenance startup; measure peak-user behavior.</w:t>
      </w:r>
    </w:p>
    <w:p w14:paraId="7F5EE642" w14:textId="77777777" w:rsidR="00EB0B6B" w:rsidRDefault="00000000">
      <w:pPr>
        <w:pStyle w:val="Heading2"/>
      </w:pPr>
      <w:r>
        <w:rPr>
          <w:rFonts w:ascii="Arial" w:eastAsia="Arial" w:hAnsi="Arial" w:cs="Arial"/>
        </w:rPr>
        <w:t>Suggested learning sequence</w:t>
      </w:r>
    </w:p>
    <w:p w14:paraId="76B46331" w14:textId="77777777" w:rsidR="00EB0B6B" w:rsidRDefault="00000000">
      <w:r>
        <w:rPr>
          <w:rFonts w:eastAsia="Arial" w:cs="Arial"/>
        </w:rPr>
        <w:t>Business users: start with Workspace navigation, input, scenarios and plan tasks. Modelers: learn dimensions, cubes, rules, TI and security before advanced automation. Administrators: learn the offering, deployment, monitoring, backup and support process. Integrators: study authentication and API contracts before implementing write operations.</w:t>
      </w:r>
    </w:p>
    <w:p w14:paraId="014E3A54" w14:textId="77777777" w:rsidR="00EB0B6B" w:rsidRDefault="00000000">
      <w:r>
        <w:rPr>
          <w:rFonts w:eastAsia="Arial" w:cs="Arial"/>
        </w:rPr>
        <w:t>IBM provides guided demonstrations, case studies and product resources. Pair these with the manuals and an isolated training model rather than treating a demonstration as production certification.</w:t>
      </w:r>
      <w:r>
        <w:rPr>
          <w:rFonts w:eastAsia="Arial" w:cs="Arial"/>
          <w:color w:val="596C7B"/>
          <w:sz w:val="18"/>
        </w:rPr>
        <w:t xml:space="preserve">  </w:t>
      </w:r>
      <w:hyperlink w:anchor="ref_87" w:history="1">
        <w:r>
          <w:rPr>
            <w:color w:val="145EA8"/>
            <w:sz w:val="18"/>
            <w:szCs w:val="18"/>
          </w:rPr>
          <w:t>[R87]</w:t>
        </w:r>
      </w:hyperlink>
      <w:r>
        <w:rPr>
          <w:rFonts w:eastAsia="Arial" w:cs="Arial"/>
          <w:color w:val="596C7B"/>
          <w:sz w:val="18"/>
        </w:rPr>
        <w:t xml:space="preserve"> </w:t>
      </w:r>
      <w:hyperlink w:anchor="ref_80" w:history="1">
        <w:r>
          <w:rPr>
            <w:color w:val="145EA8"/>
            <w:sz w:val="18"/>
            <w:szCs w:val="18"/>
          </w:rPr>
          <w:t>[R80]</w:t>
        </w:r>
      </w:hyperlink>
    </w:p>
    <w:tbl>
      <w:tblPr>
        <w:tblW w:w="0" w:type="auto"/>
        <w:jc w:val="center"/>
        <w:tblBorders>
          <w:top w:val="single" w:sz="2" w:space="0" w:color="EAF5F2"/>
          <w:left w:val="single" w:sz="2" w:space="0" w:color="EAF5F2"/>
          <w:bottom w:val="single" w:sz="2" w:space="0" w:color="EAF5F2"/>
          <w:right w:val="single" w:sz="2" w:space="0" w:color="EAF5F2"/>
          <w:insideH w:val="single" w:sz="2" w:space="0" w:color="EAF5F2"/>
          <w:insideV w:val="single" w:sz="2" w:space="0" w:color="EAF5F2"/>
        </w:tblBorders>
        <w:tblLayout w:type="fixed"/>
        <w:tblLook w:val="04A0" w:firstRow="1" w:lastRow="0" w:firstColumn="1" w:lastColumn="0" w:noHBand="0" w:noVBand="1"/>
      </w:tblPr>
      <w:tblGrid>
        <w:gridCol w:w="9706"/>
      </w:tblGrid>
      <w:tr w:rsidR="00EB0B6B" w14:paraId="14408C0D" w14:textId="77777777">
        <w:trPr>
          <w:cantSplit/>
          <w:jc w:val="center"/>
        </w:trPr>
        <w:tc>
          <w:tcPr>
            <w:tcW w:w="9706" w:type="dxa"/>
            <w:shd w:val="clear" w:color="auto" w:fill="EAF5F2"/>
            <w:tcMar>
              <w:top w:w="115" w:type="dxa"/>
              <w:left w:w="150" w:type="dxa"/>
              <w:bottom w:w="115" w:type="dxa"/>
              <w:right w:w="150" w:type="dxa"/>
            </w:tcMar>
          </w:tcPr>
          <w:p w14:paraId="31204ECE" w14:textId="77777777" w:rsidR="00EB0B6B" w:rsidRDefault="00000000">
            <w:pPr>
              <w:keepNext/>
              <w:spacing w:after="80"/>
            </w:pPr>
            <w:r>
              <w:rPr>
                <w:rFonts w:eastAsia="Arial" w:cs="Arial"/>
                <w:b/>
                <w:color w:val="007D79"/>
                <w:sz w:val="19"/>
              </w:rPr>
              <w:t>SUCCESS CRITERION</w:t>
            </w:r>
          </w:p>
          <w:p w14:paraId="3F7C07B5" w14:textId="77777777" w:rsidR="00EB0B6B" w:rsidRDefault="00000000">
            <w:pPr>
              <w:spacing w:after="0" w:line="254" w:lineRule="auto"/>
            </w:pPr>
            <w:r>
              <w:rPr>
                <w:rFonts w:eastAsia="Arial" w:cs="Arial"/>
                <w:sz w:val="20"/>
              </w:rPr>
              <w:t>The implementation is complete when the business can run an approved planning cycle and operations can support and recover it. Installation alone does not meet that criterion.</w:t>
            </w:r>
          </w:p>
        </w:tc>
      </w:tr>
    </w:tbl>
    <w:p w14:paraId="0B499010" w14:textId="77777777" w:rsidR="00EB0B6B" w:rsidRDefault="00EB0B6B">
      <w:pPr>
        <w:spacing w:after="0" w:line="120" w:lineRule="auto"/>
      </w:pPr>
    </w:p>
    <w:p w14:paraId="20287847" w14:textId="77777777" w:rsidR="00EB0B6B" w:rsidRDefault="00000000">
      <w:pPr>
        <w:pStyle w:val="Heading1"/>
        <w:pageBreakBefore/>
      </w:pPr>
      <w:bookmarkStart w:id="29" w:name="chapter_29"/>
      <w:r>
        <w:rPr>
          <w:rFonts w:ascii="Arial" w:eastAsia="Arial" w:hAnsi="Arial" w:cs="Arial"/>
        </w:rPr>
        <w:t>29. Manuals and knowledge-base reading map</w:t>
      </w:r>
      <w:bookmarkEnd w:id="29"/>
    </w:p>
    <w:p w14:paraId="4B9AF3B0" w14:textId="77777777" w:rsidR="00EB0B6B" w:rsidRDefault="00000000">
      <w:pPr>
        <w:keepNext/>
        <w:spacing w:after="240"/>
      </w:pPr>
      <w:r>
        <w:rPr>
          <w:rFonts w:eastAsia="Arial" w:cs="Arial"/>
          <w:color w:val="007D79"/>
          <w:sz w:val="20"/>
        </w:rPr>
        <w:t>Use the official manual catalog, then select the matching version and language.</w:t>
      </w:r>
    </w:p>
    <w:p w14:paraId="1283941C" w14:textId="77777777" w:rsidR="00EB0B6B" w:rsidRDefault="00000000">
      <w:r>
        <w:rPr>
          <w:rFonts w:eastAsia="Arial" w:cs="Arial"/>
        </w:rPr>
        <w:t>IBM's requested PDF catalog names the following nine manuals. The catalog is the reliable starting point for downloads; individual PDF locations and access controls can change. Use its named download entries rather than a guessed PDF path. Refer to the linked online documentation when a download is unavailable.</w:t>
      </w:r>
      <w:r>
        <w:rPr>
          <w:rFonts w:eastAsia="Arial" w:cs="Arial"/>
          <w:color w:val="596C7B"/>
          <w:sz w:val="18"/>
        </w:rPr>
        <w:t xml:space="preserve">  </w:t>
      </w:r>
      <w:hyperlink w:anchor="ref_06" w:history="1">
        <w:r>
          <w:rPr>
            <w:color w:val="145EA8"/>
            <w:sz w:val="18"/>
            <w:szCs w:val="18"/>
          </w:rPr>
          <w:t>[R06]</w:t>
        </w:r>
      </w:hyperlink>
    </w:p>
    <w:tbl>
      <w:tblPr>
        <w:tblW w:w="9706" w:type="dxa"/>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3456"/>
        <w:gridCol w:w="4032"/>
        <w:gridCol w:w="2218"/>
      </w:tblGrid>
      <w:tr w:rsidR="00EB0B6B" w14:paraId="78F98F5C" w14:textId="77777777">
        <w:trPr>
          <w:cantSplit/>
          <w:tblHeader/>
          <w:jc w:val="center"/>
        </w:trPr>
        <w:tc>
          <w:tcPr>
            <w:tcW w:w="3456" w:type="dxa"/>
            <w:shd w:val="clear" w:color="auto" w:fill="16324F"/>
            <w:tcMar>
              <w:top w:w="100" w:type="dxa"/>
              <w:left w:w="110" w:type="dxa"/>
              <w:bottom w:w="100" w:type="dxa"/>
              <w:right w:w="110" w:type="dxa"/>
            </w:tcMar>
            <w:vAlign w:val="center"/>
          </w:tcPr>
          <w:p w14:paraId="5CD5C299" w14:textId="77777777" w:rsidR="00EB0B6B" w:rsidRDefault="00000000">
            <w:pPr>
              <w:spacing w:after="0" w:line="252" w:lineRule="auto"/>
            </w:pPr>
            <w:r>
              <w:rPr>
                <w:rFonts w:eastAsia="Arial" w:cs="Arial"/>
                <w:b/>
                <w:color w:val="FFFFFF"/>
                <w:sz w:val="20"/>
              </w:rPr>
              <w:t>Manual in the IBM catalog</w:t>
            </w:r>
          </w:p>
        </w:tc>
        <w:tc>
          <w:tcPr>
            <w:tcW w:w="4032" w:type="dxa"/>
            <w:shd w:val="clear" w:color="auto" w:fill="16324F"/>
            <w:tcMar>
              <w:top w:w="100" w:type="dxa"/>
              <w:left w:w="110" w:type="dxa"/>
              <w:bottom w:w="100" w:type="dxa"/>
              <w:right w:w="110" w:type="dxa"/>
            </w:tcMar>
            <w:vAlign w:val="center"/>
          </w:tcPr>
          <w:p w14:paraId="0F974BEA" w14:textId="77777777" w:rsidR="00EB0B6B" w:rsidRDefault="00000000">
            <w:pPr>
              <w:spacing w:after="0" w:line="252" w:lineRule="auto"/>
            </w:pPr>
            <w:r>
              <w:rPr>
                <w:rFonts w:eastAsia="Arial" w:cs="Arial"/>
                <w:b/>
                <w:color w:val="FFFFFF"/>
                <w:sz w:val="20"/>
              </w:rPr>
              <w:t>Use it for</w:t>
            </w:r>
          </w:p>
        </w:tc>
        <w:tc>
          <w:tcPr>
            <w:tcW w:w="2218" w:type="dxa"/>
            <w:shd w:val="clear" w:color="auto" w:fill="16324F"/>
            <w:tcMar>
              <w:top w:w="100" w:type="dxa"/>
              <w:left w:w="110" w:type="dxa"/>
              <w:bottom w:w="100" w:type="dxa"/>
              <w:right w:w="110" w:type="dxa"/>
            </w:tcMar>
            <w:vAlign w:val="center"/>
          </w:tcPr>
          <w:p w14:paraId="3A480BCD" w14:textId="77777777" w:rsidR="00EB0B6B" w:rsidRDefault="00000000">
            <w:pPr>
              <w:spacing w:after="0" w:line="252" w:lineRule="auto"/>
            </w:pPr>
            <w:r>
              <w:rPr>
                <w:rFonts w:eastAsia="Arial" w:cs="Arial"/>
                <w:b/>
                <w:color w:val="FFFFFF"/>
                <w:sz w:val="20"/>
              </w:rPr>
              <w:t>Related guide references</w:t>
            </w:r>
          </w:p>
        </w:tc>
      </w:tr>
      <w:tr w:rsidR="00EB0B6B" w14:paraId="7335416A" w14:textId="77777777">
        <w:trPr>
          <w:cantSplit/>
          <w:jc w:val="center"/>
        </w:trPr>
        <w:tc>
          <w:tcPr>
            <w:tcW w:w="3456" w:type="dxa"/>
            <w:tcMar>
              <w:top w:w="85" w:type="dxa"/>
              <w:left w:w="110" w:type="dxa"/>
              <w:bottom w:w="85" w:type="dxa"/>
              <w:right w:w="110" w:type="dxa"/>
            </w:tcMar>
            <w:vAlign w:val="center"/>
          </w:tcPr>
          <w:p w14:paraId="18FDBF19" w14:textId="77777777" w:rsidR="00EB0B6B" w:rsidRDefault="00000000">
            <w:pPr>
              <w:spacing w:after="0" w:line="252" w:lineRule="auto"/>
            </w:pPr>
            <w:hyperlink r:id="rId8" w:history="1">
              <w:r>
                <w:rPr>
                  <w:b/>
                  <w:color w:val="145EA8"/>
                  <w:sz w:val="20"/>
                  <w:szCs w:val="20"/>
                </w:rPr>
                <w:t>Planning Analytics on the Cloud</w:t>
              </w:r>
            </w:hyperlink>
          </w:p>
        </w:tc>
        <w:tc>
          <w:tcPr>
            <w:tcW w:w="4032" w:type="dxa"/>
            <w:tcMar>
              <w:top w:w="85" w:type="dxa"/>
              <w:left w:w="110" w:type="dxa"/>
              <w:bottom w:w="85" w:type="dxa"/>
              <w:right w:w="110" w:type="dxa"/>
            </w:tcMar>
            <w:vAlign w:val="center"/>
          </w:tcPr>
          <w:p w14:paraId="5998F387" w14:textId="77777777" w:rsidR="00EB0B6B" w:rsidRDefault="00000000">
            <w:pPr>
              <w:spacing w:after="0" w:line="252" w:lineRule="auto"/>
            </w:pPr>
            <w:r>
              <w:rPr>
                <w:rFonts w:eastAsia="Arial" w:cs="Arial"/>
                <w:sz w:val="20"/>
              </w:rPr>
              <w:t>Hosted onboarding and administration.</w:t>
            </w:r>
          </w:p>
        </w:tc>
        <w:tc>
          <w:tcPr>
            <w:tcW w:w="2218" w:type="dxa"/>
            <w:tcMar>
              <w:top w:w="85" w:type="dxa"/>
              <w:left w:w="110" w:type="dxa"/>
              <w:bottom w:w="85" w:type="dxa"/>
              <w:right w:w="110" w:type="dxa"/>
            </w:tcMar>
            <w:vAlign w:val="center"/>
          </w:tcPr>
          <w:p w14:paraId="5BC36CE4" w14:textId="77777777" w:rsidR="00EB0B6B" w:rsidRDefault="00000000">
            <w:pPr>
              <w:spacing w:after="0" w:line="252" w:lineRule="auto"/>
            </w:pPr>
            <w:hyperlink w:anchor="ref_03" w:history="1">
              <w:r>
                <w:rPr>
                  <w:color w:val="145EA8"/>
                  <w:sz w:val="19"/>
                  <w:szCs w:val="19"/>
                </w:rPr>
                <w:t>[R03]</w:t>
              </w:r>
            </w:hyperlink>
            <w:r>
              <w:rPr>
                <w:rFonts w:eastAsia="Arial" w:cs="Arial"/>
                <w:sz w:val="20"/>
              </w:rPr>
              <w:t xml:space="preserve">, </w:t>
            </w:r>
            <w:hyperlink w:anchor="ref_14" w:history="1">
              <w:r>
                <w:rPr>
                  <w:color w:val="145EA8"/>
                  <w:sz w:val="19"/>
                  <w:szCs w:val="19"/>
                </w:rPr>
                <w:t>[R14]</w:t>
              </w:r>
            </w:hyperlink>
            <w:r>
              <w:rPr>
                <w:rFonts w:eastAsia="Arial" w:cs="Arial"/>
                <w:sz w:val="20"/>
              </w:rPr>
              <w:t xml:space="preserve">, </w:t>
            </w:r>
            <w:hyperlink w:anchor="ref_51" w:history="1">
              <w:r>
                <w:rPr>
                  <w:color w:val="145EA8"/>
                  <w:sz w:val="19"/>
                  <w:szCs w:val="19"/>
                </w:rPr>
                <w:t>[R51]</w:t>
              </w:r>
            </w:hyperlink>
          </w:p>
        </w:tc>
      </w:tr>
      <w:tr w:rsidR="00EB0B6B" w14:paraId="50FB50FE" w14:textId="77777777">
        <w:trPr>
          <w:cantSplit/>
          <w:jc w:val="center"/>
        </w:trPr>
        <w:tc>
          <w:tcPr>
            <w:tcW w:w="3456" w:type="dxa"/>
            <w:tcMar>
              <w:top w:w="85" w:type="dxa"/>
              <w:left w:w="110" w:type="dxa"/>
              <w:bottom w:w="85" w:type="dxa"/>
              <w:right w:w="110" w:type="dxa"/>
            </w:tcMar>
            <w:vAlign w:val="center"/>
          </w:tcPr>
          <w:p w14:paraId="5D1B7080" w14:textId="77777777" w:rsidR="00EB0B6B" w:rsidRDefault="00000000">
            <w:pPr>
              <w:spacing w:after="0" w:line="252" w:lineRule="auto"/>
            </w:pPr>
            <w:hyperlink r:id="rId9" w:history="1">
              <w:r>
                <w:rPr>
                  <w:b/>
                  <w:color w:val="145EA8"/>
                  <w:sz w:val="20"/>
                  <w:szCs w:val="20"/>
                </w:rPr>
                <w:t>Local Installation and Configuration</w:t>
              </w:r>
            </w:hyperlink>
          </w:p>
        </w:tc>
        <w:tc>
          <w:tcPr>
            <w:tcW w:w="4032" w:type="dxa"/>
            <w:tcMar>
              <w:top w:w="85" w:type="dxa"/>
              <w:left w:w="110" w:type="dxa"/>
              <w:bottom w:w="85" w:type="dxa"/>
              <w:right w:w="110" w:type="dxa"/>
            </w:tcMar>
            <w:vAlign w:val="center"/>
          </w:tcPr>
          <w:p w14:paraId="00B7B50C" w14:textId="77777777" w:rsidR="00EB0B6B" w:rsidRDefault="00000000">
            <w:pPr>
              <w:spacing w:after="0" w:line="252" w:lineRule="auto"/>
            </w:pPr>
            <w:r>
              <w:rPr>
                <w:rFonts w:eastAsia="Arial" w:cs="Arial"/>
                <w:sz w:val="20"/>
              </w:rPr>
              <w:t>Architecture, prerequisites, installation, configuration and upgrade.</w:t>
            </w:r>
          </w:p>
        </w:tc>
        <w:tc>
          <w:tcPr>
            <w:tcW w:w="2218" w:type="dxa"/>
            <w:tcMar>
              <w:top w:w="85" w:type="dxa"/>
              <w:left w:w="110" w:type="dxa"/>
              <w:bottom w:w="85" w:type="dxa"/>
              <w:right w:w="110" w:type="dxa"/>
            </w:tcMar>
            <w:vAlign w:val="center"/>
          </w:tcPr>
          <w:p w14:paraId="22A938F8" w14:textId="77777777" w:rsidR="00EB0B6B" w:rsidRDefault="00000000">
            <w:pPr>
              <w:spacing w:after="0" w:line="252" w:lineRule="auto"/>
            </w:pPr>
            <w:hyperlink w:anchor="ref_04" w:history="1">
              <w:r>
                <w:rPr>
                  <w:color w:val="145EA8"/>
                  <w:sz w:val="19"/>
                  <w:szCs w:val="19"/>
                </w:rPr>
                <w:t>[R04]</w:t>
              </w:r>
            </w:hyperlink>
            <w:r>
              <w:rPr>
                <w:rFonts w:eastAsia="Arial" w:cs="Arial"/>
                <w:sz w:val="20"/>
              </w:rPr>
              <w:t xml:space="preserve">, </w:t>
            </w:r>
            <w:hyperlink w:anchor="ref_21" w:history="1">
              <w:r>
                <w:rPr>
                  <w:color w:val="145EA8"/>
                  <w:sz w:val="19"/>
                  <w:szCs w:val="19"/>
                </w:rPr>
                <w:t>[R21]</w:t>
              </w:r>
            </w:hyperlink>
            <w:r>
              <w:rPr>
                <w:rFonts w:eastAsia="Arial" w:cs="Arial"/>
                <w:sz w:val="20"/>
              </w:rPr>
              <w:t>-</w:t>
            </w:r>
            <w:hyperlink w:anchor="ref_30" w:history="1">
              <w:r>
                <w:rPr>
                  <w:color w:val="145EA8"/>
                  <w:sz w:val="19"/>
                  <w:szCs w:val="19"/>
                </w:rPr>
                <w:t>[R30]</w:t>
              </w:r>
            </w:hyperlink>
          </w:p>
        </w:tc>
      </w:tr>
      <w:tr w:rsidR="00EB0B6B" w14:paraId="784B941F" w14:textId="77777777">
        <w:trPr>
          <w:cantSplit/>
          <w:jc w:val="center"/>
        </w:trPr>
        <w:tc>
          <w:tcPr>
            <w:tcW w:w="3456" w:type="dxa"/>
            <w:tcMar>
              <w:top w:w="85" w:type="dxa"/>
              <w:left w:w="110" w:type="dxa"/>
              <w:bottom w:w="85" w:type="dxa"/>
              <w:right w:w="110" w:type="dxa"/>
            </w:tcMar>
            <w:vAlign w:val="center"/>
          </w:tcPr>
          <w:p w14:paraId="545F0FE1" w14:textId="77777777" w:rsidR="00EB0B6B" w:rsidRDefault="00000000">
            <w:pPr>
              <w:spacing w:after="0" w:line="252" w:lineRule="auto"/>
            </w:pPr>
            <w:hyperlink r:id="rId10" w:history="1">
              <w:r>
                <w:rPr>
                  <w:b/>
                  <w:color w:val="145EA8"/>
                  <w:sz w:val="20"/>
                  <w:szCs w:val="20"/>
                </w:rPr>
                <w:t>Planning Analytics New Features</w:t>
              </w:r>
            </w:hyperlink>
          </w:p>
        </w:tc>
        <w:tc>
          <w:tcPr>
            <w:tcW w:w="4032" w:type="dxa"/>
            <w:tcMar>
              <w:top w:w="85" w:type="dxa"/>
              <w:left w:w="110" w:type="dxa"/>
              <w:bottom w:w="85" w:type="dxa"/>
              <w:right w:w="110" w:type="dxa"/>
            </w:tcMar>
            <w:vAlign w:val="center"/>
          </w:tcPr>
          <w:p w14:paraId="5DF10699" w14:textId="77777777" w:rsidR="00EB0B6B" w:rsidRDefault="00000000">
            <w:pPr>
              <w:spacing w:after="0" w:line="252" w:lineRule="auto"/>
            </w:pPr>
            <w:r>
              <w:rPr>
                <w:rFonts w:eastAsia="Arial" w:cs="Arial"/>
                <w:sz w:val="20"/>
              </w:rPr>
              <w:t>Historical release-by-release changes.</w:t>
            </w:r>
          </w:p>
        </w:tc>
        <w:tc>
          <w:tcPr>
            <w:tcW w:w="2218" w:type="dxa"/>
            <w:tcMar>
              <w:top w:w="85" w:type="dxa"/>
              <w:left w:w="110" w:type="dxa"/>
              <w:bottom w:w="85" w:type="dxa"/>
              <w:right w:w="110" w:type="dxa"/>
            </w:tcMar>
            <w:vAlign w:val="center"/>
          </w:tcPr>
          <w:p w14:paraId="02970FF3" w14:textId="77777777" w:rsidR="00EB0B6B" w:rsidRDefault="00000000">
            <w:pPr>
              <w:spacing w:after="0" w:line="252" w:lineRule="auto"/>
            </w:pPr>
            <w:hyperlink w:anchor="ref_05" w:history="1">
              <w:r>
                <w:rPr>
                  <w:color w:val="145EA8"/>
                  <w:sz w:val="19"/>
                  <w:szCs w:val="19"/>
                </w:rPr>
                <w:t>[R05]</w:t>
              </w:r>
            </w:hyperlink>
            <w:r>
              <w:rPr>
                <w:rFonts w:eastAsia="Arial" w:cs="Arial"/>
                <w:sz w:val="20"/>
              </w:rPr>
              <w:t xml:space="preserve">, </w:t>
            </w:r>
            <w:hyperlink w:anchor="ref_69" w:history="1">
              <w:r>
                <w:rPr>
                  <w:color w:val="145EA8"/>
                  <w:sz w:val="19"/>
                  <w:szCs w:val="19"/>
                </w:rPr>
                <w:t>[R69]</w:t>
              </w:r>
            </w:hyperlink>
            <w:r>
              <w:rPr>
                <w:rFonts w:eastAsia="Arial" w:cs="Arial"/>
                <w:sz w:val="20"/>
              </w:rPr>
              <w:t>-</w:t>
            </w:r>
            <w:hyperlink w:anchor="ref_77" w:history="1">
              <w:r>
                <w:rPr>
                  <w:color w:val="145EA8"/>
                  <w:sz w:val="19"/>
                  <w:szCs w:val="19"/>
                </w:rPr>
                <w:t>[R77]</w:t>
              </w:r>
            </w:hyperlink>
          </w:p>
        </w:tc>
      </w:tr>
      <w:tr w:rsidR="00EB0B6B" w14:paraId="3699FB4E" w14:textId="77777777">
        <w:trPr>
          <w:cantSplit/>
          <w:jc w:val="center"/>
        </w:trPr>
        <w:tc>
          <w:tcPr>
            <w:tcW w:w="3456" w:type="dxa"/>
            <w:tcMar>
              <w:top w:w="85" w:type="dxa"/>
              <w:left w:w="110" w:type="dxa"/>
              <w:bottom w:w="85" w:type="dxa"/>
              <w:right w:w="110" w:type="dxa"/>
            </w:tcMar>
            <w:vAlign w:val="center"/>
          </w:tcPr>
          <w:p w14:paraId="067E67F9" w14:textId="77777777" w:rsidR="00EB0B6B" w:rsidRDefault="00000000">
            <w:pPr>
              <w:spacing w:after="0" w:line="252" w:lineRule="auto"/>
            </w:pPr>
            <w:hyperlink r:id="rId11" w:history="1">
              <w:r>
                <w:rPr>
                  <w:b/>
                  <w:color w:val="145EA8"/>
                  <w:sz w:val="20"/>
                  <w:szCs w:val="20"/>
                </w:rPr>
                <w:t>Planning Analytics Workspace</w:t>
              </w:r>
            </w:hyperlink>
          </w:p>
        </w:tc>
        <w:tc>
          <w:tcPr>
            <w:tcW w:w="4032" w:type="dxa"/>
            <w:tcMar>
              <w:top w:w="85" w:type="dxa"/>
              <w:left w:w="110" w:type="dxa"/>
              <w:bottom w:w="85" w:type="dxa"/>
              <w:right w:w="110" w:type="dxa"/>
            </w:tcMar>
            <w:vAlign w:val="center"/>
          </w:tcPr>
          <w:p w14:paraId="3A67657E" w14:textId="77777777" w:rsidR="00EB0B6B" w:rsidRDefault="00000000">
            <w:pPr>
              <w:spacing w:after="0" w:line="252" w:lineRule="auto"/>
            </w:pPr>
            <w:r>
              <w:rPr>
                <w:rFonts w:eastAsia="Arial" w:cs="Arial"/>
                <w:sz w:val="20"/>
              </w:rPr>
              <w:t>Books, modeling, applications and plans.</w:t>
            </w:r>
          </w:p>
        </w:tc>
        <w:tc>
          <w:tcPr>
            <w:tcW w:w="2218" w:type="dxa"/>
            <w:tcMar>
              <w:top w:w="85" w:type="dxa"/>
              <w:left w:w="110" w:type="dxa"/>
              <w:bottom w:w="85" w:type="dxa"/>
              <w:right w:w="110" w:type="dxa"/>
            </w:tcMar>
            <w:vAlign w:val="center"/>
          </w:tcPr>
          <w:p w14:paraId="2BAD68CB" w14:textId="77777777" w:rsidR="00EB0B6B" w:rsidRDefault="00000000">
            <w:pPr>
              <w:spacing w:after="0" w:line="252" w:lineRule="auto"/>
            </w:pPr>
            <w:hyperlink w:anchor="ref_06" w:history="1">
              <w:r>
                <w:rPr>
                  <w:color w:val="145EA8"/>
                  <w:sz w:val="19"/>
                  <w:szCs w:val="19"/>
                </w:rPr>
                <w:t>[R06]</w:t>
              </w:r>
            </w:hyperlink>
            <w:r>
              <w:rPr>
                <w:rFonts w:eastAsia="Arial" w:cs="Arial"/>
                <w:sz w:val="20"/>
              </w:rPr>
              <w:t xml:space="preserve">, </w:t>
            </w:r>
            <w:hyperlink w:anchor="ref_80" w:history="1">
              <w:r>
                <w:rPr>
                  <w:color w:val="145EA8"/>
                  <w:sz w:val="19"/>
                  <w:szCs w:val="19"/>
                </w:rPr>
                <w:t>[R80]</w:t>
              </w:r>
            </w:hyperlink>
            <w:r>
              <w:rPr>
                <w:rFonts w:eastAsia="Arial" w:cs="Arial"/>
                <w:sz w:val="20"/>
              </w:rPr>
              <w:t xml:space="preserve">, </w:t>
            </w:r>
            <w:hyperlink w:anchor="ref_82" w:history="1">
              <w:r>
                <w:rPr>
                  <w:color w:val="145EA8"/>
                  <w:sz w:val="19"/>
                  <w:szCs w:val="19"/>
                </w:rPr>
                <w:t>[R82]</w:t>
              </w:r>
            </w:hyperlink>
          </w:p>
        </w:tc>
      </w:tr>
      <w:tr w:rsidR="00EB0B6B" w14:paraId="6C037A1F" w14:textId="77777777">
        <w:trPr>
          <w:cantSplit/>
          <w:jc w:val="center"/>
        </w:trPr>
        <w:tc>
          <w:tcPr>
            <w:tcW w:w="3456" w:type="dxa"/>
            <w:tcMar>
              <w:top w:w="85" w:type="dxa"/>
              <w:left w:w="110" w:type="dxa"/>
              <w:bottom w:w="85" w:type="dxa"/>
              <w:right w:w="110" w:type="dxa"/>
            </w:tcMar>
            <w:vAlign w:val="center"/>
          </w:tcPr>
          <w:p w14:paraId="4C4AA4B8" w14:textId="77777777" w:rsidR="00EB0B6B" w:rsidRDefault="00000000">
            <w:pPr>
              <w:spacing w:after="0" w:line="252" w:lineRule="auto"/>
            </w:pPr>
            <w:hyperlink r:id="rId12" w:history="1">
              <w:r>
                <w:rPr>
                  <w:b/>
                  <w:color w:val="145EA8"/>
                  <w:sz w:val="20"/>
                  <w:szCs w:val="20"/>
                </w:rPr>
                <w:t>Planning Analytics as a Service</w:t>
              </w:r>
            </w:hyperlink>
          </w:p>
        </w:tc>
        <w:tc>
          <w:tcPr>
            <w:tcW w:w="4032" w:type="dxa"/>
            <w:tcMar>
              <w:top w:w="85" w:type="dxa"/>
              <w:left w:w="110" w:type="dxa"/>
              <w:bottom w:w="85" w:type="dxa"/>
              <w:right w:w="110" w:type="dxa"/>
            </w:tcMar>
            <w:vAlign w:val="center"/>
          </w:tcPr>
          <w:p w14:paraId="669E0853" w14:textId="77777777" w:rsidR="00EB0B6B" w:rsidRDefault="00000000">
            <w:pPr>
              <w:spacing w:after="0" w:line="252" w:lineRule="auto"/>
            </w:pPr>
            <w:r>
              <w:rPr>
                <w:rFonts w:eastAsia="Arial" w:cs="Arial"/>
                <w:sz w:val="20"/>
              </w:rPr>
              <w:t>SaaS service usage and administration.</w:t>
            </w:r>
          </w:p>
        </w:tc>
        <w:tc>
          <w:tcPr>
            <w:tcW w:w="2218" w:type="dxa"/>
            <w:tcMar>
              <w:top w:w="85" w:type="dxa"/>
              <w:left w:w="110" w:type="dxa"/>
              <w:bottom w:w="85" w:type="dxa"/>
              <w:right w:w="110" w:type="dxa"/>
            </w:tcMar>
            <w:vAlign w:val="center"/>
          </w:tcPr>
          <w:p w14:paraId="57B23E0E" w14:textId="77777777" w:rsidR="00EB0B6B" w:rsidRDefault="00000000">
            <w:pPr>
              <w:spacing w:after="0" w:line="252" w:lineRule="auto"/>
            </w:pPr>
            <w:hyperlink w:anchor="ref_06" w:history="1">
              <w:r>
                <w:rPr>
                  <w:color w:val="145EA8"/>
                  <w:sz w:val="19"/>
                  <w:szCs w:val="19"/>
                </w:rPr>
                <w:t>[R06]</w:t>
              </w:r>
            </w:hyperlink>
            <w:r>
              <w:rPr>
                <w:rFonts w:eastAsia="Arial" w:cs="Arial"/>
                <w:sz w:val="20"/>
              </w:rPr>
              <w:t xml:space="preserve">, </w:t>
            </w:r>
            <w:hyperlink w:anchor="ref_16" w:history="1">
              <w:r>
                <w:rPr>
                  <w:color w:val="145EA8"/>
                  <w:sz w:val="19"/>
                  <w:szCs w:val="19"/>
                </w:rPr>
                <w:t>[R16]</w:t>
              </w:r>
            </w:hyperlink>
            <w:r>
              <w:rPr>
                <w:rFonts w:eastAsia="Arial" w:cs="Arial"/>
                <w:sz w:val="20"/>
              </w:rPr>
              <w:t xml:space="preserve">, </w:t>
            </w:r>
            <w:hyperlink w:anchor="ref_52" w:history="1">
              <w:r>
                <w:rPr>
                  <w:color w:val="145EA8"/>
                  <w:sz w:val="19"/>
                  <w:szCs w:val="19"/>
                </w:rPr>
                <w:t>[R52]</w:t>
              </w:r>
            </w:hyperlink>
          </w:p>
        </w:tc>
      </w:tr>
      <w:tr w:rsidR="00EB0B6B" w14:paraId="478BAD05" w14:textId="77777777">
        <w:trPr>
          <w:cantSplit/>
          <w:jc w:val="center"/>
        </w:trPr>
        <w:tc>
          <w:tcPr>
            <w:tcW w:w="3456" w:type="dxa"/>
            <w:tcMar>
              <w:top w:w="85" w:type="dxa"/>
              <w:left w:w="110" w:type="dxa"/>
              <w:bottom w:w="85" w:type="dxa"/>
              <w:right w:w="110" w:type="dxa"/>
            </w:tcMar>
            <w:vAlign w:val="center"/>
          </w:tcPr>
          <w:p w14:paraId="5C70EBB3" w14:textId="77777777" w:rsidR="00EB0B6B" w:rsidRDefault="00000000">
            <w:pPr>
              <w:spacing w:after="0" w:line="252" w:lineRule="auto"/>
            </w:pPr>
            <w:hyperlink r:id="rId13" w:history="1">
              <w:r>
                <w:rPr>
                  <w:b/>
                  <w:color w:val="145EA8"/>
                  <w:sz w:val="20"/>
                  <w:szCs w:val="20"/>
                </w:rPr>
                <w:t>Planning Analytics for Microsoft Excel</w:t>
              </w:r>
            </w:hyperlink>
          </w:p>
        </w:tc>
        <w:tc>
          <w:tcPr>
            <w:tcW w:w="4032" w:type="dxa"/>
            <w:tcMar>
              <w:top w:w="85" w:type="dxa"/>
              <w:left w:w="110" w:type="dxa"/>
              <w:bottom w:w="85" w:type="dxa"/>
              <w:right w:w="110" w:type="dxa"/>
            </w:tcMar>
            <w:vAlign w:val="center"/>
          </w:tcPr>
          <w:p w14:paraId="730F165B" w14:textId="77777777" w:rsidR="00EB0B6B" w:rsidRDefault="00000000">
            <w:pPr>
              <w:spacing w:after="0" w:line="252" w:lineRule="auto"/>
            </w:pPr>
            <w:r>
              <w:rPr>
                <w:rFonts w:eastAsia="Arial" w:cs="Arial"/>
                <w:sz w:val="20"/>
              </w:rPr>
              <w:t>Excel installation, reporting and planning.</w:t>
            </w:r>
          </w:p>
        </w:tc>
        <w:tc>
          <w:tcPr>
            <w:tcW w:w="2218" w:type="dxa"/>
            <w:tcMar>
              <w:top w:w="85" w:type="dxa"/>
              <w:left w:w="110" w:type="dxa"/>
              <w:bottom w:w="85" w:type="dxa"/>
              <w:right w:w="110" w:type="dxa"/>
            </w:tcMar>
            <w:vAlign w:val="center"/>
          </w:tcPr>
          <w:p w14:paraId="24D98337" w14:textId="77777777" w:rsidR="00EB0B6B" w:rsidRDefault="00000000">
            <w:pPr>
              <w:spacing w:after="0" w:line="252" w:lineRule="auto"/>
            </w:pPr>
            <w:hyperlink w:anchor="ref_06" w:history="1">
              <w:r>
                <w:rPr>
                  <w:color w:val="145EA8"/>
                  <w:sz w:val="19"/>
                  <w:szCs w:val="19"/>
                </w:rPr>
                <w:t>[R06]</w:t>
              </w:r>
            </w:hyperlink>
            <w:r>
              <w:rPr>
                <w:rFonts w:eastAsia="Arial" w:cs="Arial"/>
                <w:sz w:val="20"/>
              </w:rPr>
              <w:t xml:space="preserve">, </w:t>
            </w:r>
            <w:hyperlink w:anchor="ref_31" w:history="1">
              <w:r>
                <w:rPr>
                  <w:color w:val="145EA8"/>
                  <w:sz w:val="19"/>
                  <w:szCs w:val="19"/>
                </w:rPr>
                <w:t>[R31]</w:t>
              </w:r>
            </w:hyperlink>
            <w:r>
              <w:rPr>
                <w:rFonts w:eastAsia="Arial" w:cs="Arial"/>
                <w:sz w:val="20"/>
              </w:rPr>
              <w:t>-</w:t>
            </w:r>
            <w:hyperlink w:anchor="ref_33" w:history="1">
              <w:r>
                <w:rPr>
                  <w:color w:val="145EA8"/>
                  <w:sz w:val="19"/>
                  <w:szCs w:val="19"/>
                </w:rPr>
                <w:t>[R33]</w:t>
              </w:r>
            </w:hyperlink>
          </w:p>
        </w:tc>
      </w:tr>
      <w:tr w:rsidR="00EB0B6B" w14:paraId="10E0554A" w14:textId="77777777">
        <w:trPr>
          <w:cantSplit/>
          <w:jc w:val="center"/>
        </w:trPr>
        <w:tc>
          <w:tcPr>
            <w:tcW w:w="3456" w:type="dxa"/>
            <w:tcMar>
              <w:top w:w="85" w:type="dxa"/>
              <w:left w:w="110" w:type="dxa"/>
              <w:bottom w:w="85" w:type="dxa"/>
              <w:right w:w="110" w:type="dxa"/>
            </w:tcMar>
            <w:vAlign w:val="center"/>
          </w:tcPr>
          <w:p w14:paraId="54798310" w14:textId="77777777" w:rsidR="00EB0B6B" w:rsidRDefault="00000000">
            <w:pPr>
              <w:spacing w:after="0" w:line="252" w:lineRule="auto"/>
            </w:pPr>
            <w:hyperlink r:id="rId14" w:history="1">
              <w:r>
                <w:rPr>
                  <w:b/>
                  <w:color w:val="145EA8"/>
                  <w:sz w:val="20"/>
                  <w:szCs w:val="20"/>
                </w:rPr>
                <w:t>Planning Analytics Operations</w:t>
              </w:r>
            </w:hyperlink>
          </w:p>
        </w:tc>
        <w:tc>
          <w:tcPr>
            <w:tcW w:w="4032" w:type="dxa"/>
            <w:tcMar>
              <w:top w:w="85" w:type="dxa"/>
              <w:left w:w="110" w:type="dxa"/>
              <w:bottom w:w="85" w:type="dxa"/>
              <w:right w:w="110" w:type="dxa"/>
            </w:tcMar>
            <w:vAlign w:val="center"/>
          </w:tcPr>
          <w:p w14:paraId="54A5EC61" w14:textId="77777777" w:rsidR="00EB0B6B" w:rsidRDefault="00000000">
            <w:pPr>
              <w:spacing w:after="0" w:line="252" w:lineRule="auto"/>
            </w:pPr>
            <w:r>
              <w:rPr>
                <w:rFonts w:eastAsia="Arial" w:cs="Arial"/>
                <w:sz w:val="20"/>
              </w:rPr>
              <w:t>Database operations and administration.</w:t>
            </w:r>
          </w:p>
        </w:tc>
        <w:tc>
          <w:tcPr>
            <w:tcW w:w="2218" w:type="dxa"/>
            <w:tcMar>
              <w:top w:w="85" w:type="dxa"/>
              <w:left w:w="110" w:type="dxa"/>
              <w:bottom w:w="85" w:type="dxa"/>
              <w:right w:w="110" w:type="dxa"/>
            </w:tcMar>
            <w:vAlign w:val="center"/>
          </w:tcPr>
          <w:p w14:paraId="7C6A30D5" w14:textId="77777777" w:rsidR="00EB0B6B" w:rsidRDefault="00000000">
            <w:pPr>
              <w:spacing w:after="0" w:line="252" w:lineRule="auto"/>
            </w:pPr>
            <w:hyperlink w:anchor="ref_06" w:history="1">
              <w:r>
                <w:rPr>
                  <w:color w:val="145EA8"/>
                  <w:sz w:val="19"/>
                  <w:szCs w:val="19"/>
                </w:rPr>
                <w:t>[R06]</w:t>
              </w:r>
            </w:hyperlink>
            <w:r>
              <w:rPr>
                <w:rFonts w:eastAsia="Arial" w:cs="Arial"/>
                <w:sz w:val="20"/>
              </w:rPr>
              <w:t xml:space="preserve">, </w:t>
            </w:r>
            <w:hyperlink w:anchor="ref_48" w:history="1">
              <w:r>
                <w:rPr>
                  <w:color w:val="145EA8"/>
                  <w:sz w:val="19"/>
                  <w:szCs w:val="19"/>
                </w:rPr>
                <w:t>[R48]</w:t>
              </w:r>
            </w:hyperlink>
          </w:p>
        </w:tc>
      </w:tr>
      <w:tr w:rsidR="00EB0B6B" w14:paraId="37FDAB8D" w14:textId="77777777">
        <w:trPr>
          <w:cantSplit/>
          <w:jc w:val="center"/>
        </w:trPr>
        <w:tc>
          <w:tcPr>
            <w:tcW w:w="3456" w:type="dxa"/>
            <w:tcMar>
              <w:top w:w="85" w:type="dxa"/>
              <w:left w:w="110" w:type="dxa"/>
              <w:bottom w:w="85" w:type="dxa"/>
              <w:right w:w="110" w:type="dxa"/>
            </w:tcMar>
            <w:vAlign w:val="center"/>
          </w:tcPr>
          <w:p w14:paraId="0934BFBE" w14:textId="77777777" w:rsidR="00EB0B6B" w:rsidRDefault="00000000">
            <w:pPr>
              <w:spacing w:after="0" w:line="252" w:lineRule="auto"/>
            </w:pPr>
            <w:hyperlink r:id="rId15" w:history="1">
              <w:r>
                <w:rPr>
                  <w:b/>
                  <w:color w:val="145EA8"/>
                  <w:sz w:val="20"/>
                  <w:szCs w:val="20"/>
                </w:rPr>
                <w:t>Planning Analytics Reference</w:t>
              </w:r>
            </w:hyperlink>
          </w:p>
        </w:tc>
        <w:tc>
          <w:tcPr>
            <w:tcW w:w="4032" w:type="dxa"/>
            <w:tcMar>
              <w:top w:w="85" w:type="dxa"/>
              <w:left w:w="110" w:type="dxa"/>
              <w:bottom w:w="85" w:type="dxa"/>
              <w:right w:w="110" w:type="dxa"/>
            </w:tcMar>
            <w:vAlign w:val="center"/>
          </w:tcPr>
          <w:p w14:paraId="47AC96EB" w14:textId="77777777" w:rsidR="00EB0B6B" w:rsidRDefault="00000000">
            <w:pPr>
              <w:spacing w:after="0" w:line="252" w:lineRule="auto"/>
            </w:pPr>
            <w:r>
              <w:rPr>
                <w:rFonts w:eastAsia="Arial" w:cs="Arial"/>
                <w:sz w:val="20"/>
              </w:rPr>
              <w:t>Parameters, functions and detailed technical lookup.</w:t>
            </w:r>
          </w:p>
        </w:tc>
        <w:tc>
          <w:tcPr>
            <w:tcW w:w="2218" w:type="dxa"/>
            <w:tcMar>
              <w:top w:w="85" w:type="dxa"/>
              <w:left w:w="110" w:type="dxa"/>
              <w:bottom w:w="85" w:type="dxa"/>
              <w:right w:w="110" w:type="dxa"/>
            </w:tcMar>
            <w:vAlign w:val="center"/>
          </w:tcPr>
          <w:p w14:paraId="4326865E" w14:textId="77777777" w:rsidR="00EB0B6B" w:rsidRDefault="00000000">
            <w:pPr>
              <w:spacing w:after="0" w:line="252" w:lineRule="auto"/>
            </w:pPr>
            <w:hyperlink w:anchor="ref_06" w:history="1">
              <w:r>
                <w:rPr>
                  <w:color w:val="145EA8"/>
                  <w:sz w:val="19"/>
                  <w:szCs w:val="19"/>
                </w:rPr>
                <w:t>[R06]</w:t>
              </w:r>
            </w:hyperlink>
            <w:r>
              <w:rPr>
                <w:rFonts w:eastAsia="Arial" w:cs="Arial"/>
                <w:sz w:val="20"/>
              </w:rPr>
              <w:t xml:space="preserve">, </w:t>
            </w:r>
            <w:hyperlink w:anchor="ref_36" w:history="1">
              <w:r>
                <w:rPr>
                  <w:color w:val="145EA8"/>
                  <w:sz w:val="19"/>
                  <w:szCs w:val="19"/>
                </w:rPr>
                <w:t>[R36]</w:t>
              </w:r>
            </w:hyperlink>
            <w:r>
              <w:rPr>
                <w:rFonts w:eastAsia="Arial" w:cs="Arial"/>
                <w:sz w:val="20"/>
              </w:rPr>
              <w:t>-</w:t>
            </w:r>
            <w:hyperlink w:anchor="ref_41" w:history="1">
              <w:r>
                <w:rPr>
                  <w:color w:val="145EA8"/>
                  <w:sz w:val="19"/>
                  <w:szCs w:val="19"/>
                </w:rPr>
                <w:t>[R41]</w:t>
              </w:r>
            </w:hyperlink>
          </w:p>
        </w:tc>
      </w:tr>
      <w:tr w:rsidR="00EB0B6B" w14:paraId="06CB5B0A" w14:textId="77777777">
        <w:trPr>
          <w:cantSplit/>
          <w:jc w:val="center"/>
        </w:trPr>
        <w:tc>
          <w:tcPr>
            <w:tcW w:w="3456" w:type="dxa"/>
            <w:tcMar>
              <w:top w:w="85" w:type="dxa"/>
              <w:left w:w="110" w:type="dxa"/>
              <w:bottom w:w="85" w:type="dxa"/>
              <w:right w:w="110" w:type="dxa"/>
            </w:tcMar>
            <w:vAlign w:val="center"/>
          </w:tcPr>
          <w:p w14:paraId="19AB0D2D" w14:textId="77777777" w:rsidR="00EB0B6B" w:rsidRDefault="00000000">
            <w:pPr>
              <w:spacing w:after="0" w:line="252" w:lineRule="auto"/>
            </w:pPr>
            <w:hyperlink r:id="rId16" w:history="1">
              <w:r>
                <w:rPr>
                  <w:b/>
                  <w:color w:val="145EA8"/>
                  <w:sz w:val="20"/>
                  <w:szCs w:val="20"/>
                </w:rPr>
                <w:t>Spreadsheet Services / TM1 Web</w:t>
              </w:r>
            </w:hyperlink>
          </w:p>
        </w:tc>
        <w:tc>
          <w:tcPr>
            <w:tcW w:w="4032" w:type="dxa"/>
            <w:tcMar>
              <w:top w:w="85" w:type="dxa"/>
              <w:left w:w="110" w:type="dxa"/>
              <w:bottom w:w="85" w:type="dxa"/>
              <w:right w:w="110" w:type="dxa"/>
            </w:tcMar>
            <w:vAlign w:val="center"/>
          </w:tcPr>
          <w:p w14:paraId="52253FBA" w14:textId="77777777" w:rsidR="00EB0B6B" w:rsidRDefault="00000000">
            <w:pPr>
              <w:spacing w:after="0" w:line="252" w:lineRule="auto"/>
            </w:pPr>
            <w:r>
              <w:rPr>
                <w:rFonts w:eastAsia="Arial" w:cs="Arial"/>
                <w:sz w:val="20"/>
              </w:rPr>
              <w:t>Websheet use, installation and service configuration.</w:t>
            </w:r>
          </w:p>
        </w:tc>
        <w:tc>
          <w:tcPr>
            <w:tcW w:w="2218" w:type="dxa"/>
            <w:tcMar>
              <w:top w:w="85" w:type="dxa"/>
              <w:left w:w="110" w:type="dxa"/>
              <w:bottom w:w="85" w:type="dxa"/>
              <w:right w:w="110" w:type="dxa"/>
            </w:tcMar>
            <w:vAlign w:val="center"/>
          </w:tcPr>
          <w:p w14:paraId="7A0AAE3D" w14:textId="77777777" w:rsidR="00EB0B6B" w:rsidRDefault="00000000">
            <w:pPr>
              <w:spacing w:after="0" w:line="252" w:lineRule="auto"/>
            </w:pPr>
            <w:hyperlink w:anchor="ref_06" w:history="1">
              <w:r>
                <w:rPr>
                  <w:color w:val="145EA8"/>
                  <w:sz w:val="19"/>
                  <w:szCs w:val="19"/>
                </w:rPr>
                <w:t>[R06]</w:t>
              </w:r>
            </w:hyperlink>
            <w:r>
              <w:rPr>
                <w:rFonts w:eastAsia="Arial" w:cs="Arial"/>
                <w:sz w:val="20"/>
              </w:rPr>
              <w:t xml:space="preserve">, </w:t>
            </w:r>
            <w:hyperlink w:anchor="ref_29" w:history="1">
              <w:r>
                <w:rPr>
                  <w:color w:val="145EA8"/>
                  <w:sz w:val="19"/>
                  <w:szCs w:val="19"/>
                </w:rPr>
                <w:t>[R29]</w:t>
              </w:r>
            </w:hyperlink>
            <w:r>
              <w:rPr>
                <w:rFonts w:eastAsia="Arial" w:cs="Arial"/>
                <w:sz w:val="20"/>
              </w:rPr>
              <w:t xml:space="preserve">, </w:t>
            </w:r>
            <w:hyperlink w:anchor="ref_30" w:history="1">
              <w:r>
                <w:rPr>
                  <w:color w:val="145EA8"/>
                  <w:sz w:val="19"/>
                  <w:szCs w:val="19"/>
                </w:rPr>
                <w:t>[R30]</w:t>
              </w:r>
            </w:hyperlink>
            <w:r>
              <w:rPr>
                <w:rFonts w:eastAsia="Arial" w:cs="Arial"/>
                <w:sz w:val="20"/>
              </w:rPr>
              <w:t xml:space="preserve">, </w:t>
            </w:r>
            <w:hyperlink w:anchor="ref_89" w:history="1">
              <w:r>
                <w:rPr>
                  <w:color w:val="145EA8"/>
                  <w:sz w:val="19"/>
                  <w:szCs w:val="19"/>
                </w:rPr>
                <w:t>[R89]</w:t>
              </w:r>
            </w:hyperlink>
          </w:p>
        </w:tc>
      </w:tr>
    </w:tbl>
    <w:p w14:paraId="4270524B" w14:textId="77777777" w:rsidR="00EB0B6B" w:rsidRDefault="00EB0B6B">
      <w:pPr>
        <w:spacing w:after="0" w:line="120" w:lineRule="auto"/>
      </w:pPr>
    </w:p>
    <w:p w14:paraId="6A11E1E8" w14:textId="77777777" w:rsidR="00EB0B6B" w:rsidRDefault="00000000">
      <w:pPr>
        <w:pStyle w:val="Heading2"/>
      </w:pPr>
      <w:r>
        <w:rPr>
          <w:rFonts w:ascii="Arial" w:eastAsia="Arial" w:hAnsi="Arial" w:cs="Arial"/>
        </w:rPr>
        <w:t>Reference catalog conventions</w:t>
      </w:r>
    </w:p>
    <w:p w14:paraId="4B14793E" w14:textId="77777777" w:rsidR="00EB0B6B" w:rsidRDefault="00000000">
      <w:r>
        <w:rPr>
          <w:rFonts w:eastAsia="Arial" w:cs="Arial"/>
        </w:rPr>
        <w:t>The following catalog contains 90 distinct IBM URLs. Titles and URLs are clickable. Entries identify historical baselines, current releases, interactive tools and access restrictions. A link included for navigation is not represented as a fully reviewed manual. References were assembled on 8 October 2026; recheck versions and availability at implementation time.</w:t>
      </w:r>
    </w:p>
    <w:tbl>
      <w:tblPr>
        <w:tblW w:w="0" w:type="auto"/>
        <w:jc w:val="center"/>
        <w:tblBorders>
          <w:top w:val="single" w:sz="2" w:space="0" w:color="EDF4FA"/>
          <w:left w:val="single" w:sz="2" w:space="0" w:color="EDF4FA"/>
          <w:bottom w:val="single" w:sz="2" w:space="0" w:color="EDF4FA"/>
          <w:right w:val="single" w:sz="2" w:space="0" w:color="EDF4FA"/>
          <w:insideH w:val="single" w:sz="2" w:space="0" w:color="EDF4FA"/>
          <w:insideV w:val="single" w:sz="2" w:space="0" w:color="EDF4FA"/>
        </w:tblBorders>
        <w:tblLayout w:type="fixed"/>
        <w:tblLook w:val="04A0" w:firstRow="1" w:lastRow="0" w:firstColumn="1" w:lastColumn="0" w:noHBand="0" w:noVBand="1"/>
      </w:tblPr>
      <w:tblGrid>
        <w:gridCol w:w="9706"/>
      </w:tblGrid>
      <w:tr w:rsidR="00EB0B6B" w14:paraId="71262CCA" w14:textId="77777777">
        <w:trPr>
          <w:cantSplit/>
          <w:jc w:val="center"/>
        </w:trPr>
        <w:tc>
          <w:tcPr>
            <w:tcW w:w="9706" w:type="dxa"/>
            <w:shd w:val="clear" w:color="auto" w:fill="EDF4FA"/>
            <w:tcMar>
              <w:top w:w="115" w:type="dxa"/>
              <w:left w:w="150" w:type="dxa"/>
              <w:bottom w:w="115" w:type="dxa"/>
              <w:right w:w="150" w:type="dxa"/>
            </w:tcMar>
          </w:tcPr>
          <w:p w14:paraId="6B7C11F1" w14:textId="77777777" w:rsidR="00EB0B6B" w:rsidRDefault="00000000">
            <w:pPr>
              <w:keepNext/>
              <w:spacing w:after="80"/>
            </w:pPr>
            <w:r>
              <w:rPr>
                <w:rFonts w:eastAsia="Arial" w:cs="Arial"/>
                <w:b/>
                <w:color w:val="145EA8"/>
                <w:sz w:val="19"/>
              </w:rPr>
              <w:t>KNOWLEDGE-BASE MAINTENANCE</w:t>
            </w:r>
          </w:p>
          <w:p w14:paraId="11C94343" w14:textId="77777777" w:rsidR="00EB0B6B" w:rsidRDefault="00000000">
            <w:pPr>
              <w:spacing w:after="0" w:line="254" w:lineRule="auto"/>
            </w:pPr>
            <w:r>
              <w:rPr>
                <w:rFonts w:eastAsia="Arial" w:cs="Arial"/>
                <w:sz w:val="20"/>
              </w:rPr>
              <w:t>For a team knowledge store, retain the URL, title, offering, version, last review date and owner. Review after major upgrades. Never flatten preview, historical and production documents into an undifferentiated answer set.</w:t>
            </w:r>
          </w:p>
        </w:tc>
      </w:tr>
    </w:tbl>
    <w:p w14:paraId="60913E36" w14:textId="77777777" w:rsidR="00EB0B6B" w:rsidRDefault="00EB0B6B">
      <w:pPr>
        <w:spacing w:after="0" w:line="120" w:lineRule="auto"/>
      </w:pPr>
    </w:p>
    <w:p w14:paraId="3F0C8F22" w14:textId="77777777" w:rsidR="00EB0B6B" w:rsidRDefault="00000000">
      <w:pPr>
        <w:pStyle w:val="Heading1"/>
        <w:pageBreakBefore/>
      </w:pPr>
      <w:bookmarkStart w:id="30" w:name="references"/>
      <w:r>
        <w:rPr>
          <w:rFonts w:ascii="Arial" w:eastAsia="Arial" w:hAnsi="Arial" w:cs="Arial"/>
        </w:rPr>
        <w:t>Reference catalog</w:t>
      </w:r>
      <w:bookmarkEnd w:id="30"/>
    </w:p>
    <w:p w14:paraId="5FDBEC4F" w14:textId="77777777" w:rsidR="00EB0B6B" w:rsidRDefault="00000000">
      <w:pPr>
        <w:keepNext/>
        <w:spacing w:after="240"/>
      </w:pPr>
      <w:r>
        <w:rPr>
          <w:rFonts w:eastAsia="Arial" w:cs="Arial"/>
          <w:color w:val="007D79"/>
          <w:sz w:val="20"/>
        </w:rPr>
        <w:t>R01-R09  |  Official IBM sources and navigation links</w:t>
      </w:r>
    </w:p>
    <w:p w14:paraId="13056E31" w14:textId="77777777" w:rsidR="00EB0B6B" w:rsidRDefault="00000000">
      <w:pPr>
        <w:keepNext/>
        <w:spacing w:before="100" w:after="40" w:line="252" w:lineRule="auto"/>
      </w:pPr>
      <w:bookmarkStart w:id="31" w:name="ref_01"/>
      <w:bookmarkEnd w:id="31"/>
      <w:r>
        <w:rPr>
          <w:rFonts w:eastAsia="Arial" w:cs="Arial"/>
          <w:b/>
          <w:color w:val="007D79"/>
          <w:sz w:val="20"/>
        </w:rPr>
        <w:t xml:space="preserve">[R01] </w:t>
      </w:r>
      <w:hyperlink r:id="rId17" w:history="1">
        <w:r>
          <w:rPr>
            <w:b/>
            <w:color w:val="16324F"/>
            <w:sz w:val="20"/>
            <w:szCs w:val="20"/>
          </w:rPr>
          <w:t>IBM Planning Analytics - product overview</w:t>
        </w:r>
      </w:hyperlink>
    </w:p>
    <w:p w14:paraId="5260F8F5" w14:textId="77777777" w:rsidR="00EB0B6B" w:rsidRDefault="00000000">
      <w:pPr>
        <w:keepNext/>
        <w:spacing w:after="40" w:line="240" w:lineRule="auto"/>
      </w:pPr>
      <w:hyperlink r:id="rId18" w:history="1">
        <w:r>
          <w:rPr>
            <w:color w:val="145EA8"/>
            <w:sz w:val="17"/>
            <w:szCs w:val="17"/>
          </w:rPr>
          <w:t>https:/​/​www.ibm.com/​products/​planning-​analytics</w:t>
        </w:r>
      </w:hyperlink>
    </w:p>
    <w:p w14:paraId="6D3BC0D1" w14:textId="77777777" w:rsidR="00EB0B6B" w:rsidRDefault="00000000">
      <w:pPr>
        <w:spacing w:after="80" w:line="250" w:lineRule="auto"/>
      </w:pPr>
      <w:r>
        <w:rPr>
          <w:rFonts w:eastAsia="Arial" w:cs="Arial"/>
          <w:color w:val="596C7B"/>
          <w:sz w:val="18"/>
        </w:rPr>
        <w:t>Capabilities, use cases, interfaces and integration overview.</w:t>
      </w:r>
    </w:p>
    <w:p w14:paraId="28610EC2" w14:textId="77777777" w:rsidR="00EB0B6B" w:rsidRDefault="00000000">
      <w:pPr>
        <w:keepNext/>
        <w:spacing w:before="100" w:after="40" w:line="252" w:lineRule="auto"/>
      </w:pPr>
      <w:bookmarkStart w:id="32" w:name="ref_02"/>
      <w:bookmarkEnd w:id="32"/>
      <w:r>
        <w:rPr>
          <w:rFonts w:eastAsia="Arial" w:cs="Arial"/>
          <w:b/>
          <w:color w:val="007D79"/>
          <w:sz w:val="20"/>
        </w:rPr>
        <w:t xml:space="preserve">[R02] </w:t>
      </w:r>
      <w:hyperlink r:id="rId19" w:history="1">
        <w:r>
          <w:rPr>
            <w:b/>
            <w:color w:val="16324F"/>
            <w:sz w:val="20"/>
            <w:szCs w:val="20"/>
          </w:rPr>
          <w:t>Planning Analytics 2.0 documentation home</w:t>
        </w:r>
      </w:hyperlink>
    </w:p>
    <w:p w14:paraId="2E7FF3A2" w14:textId="77777777" w:rsidR="00EB0B6B" w:rsidRDefault="00000000">
      <w:pPr>
        <w:keepNext/>
        <w:spacing w:after="40" w:line="240" w:lineRule="auto"/>
      </w:pPr>
      <w:hyperlink r:id="rId20" w:history="1">
        <w:r>
          <w:rPr>
            <w:color w:val="145EA8"/>
            <w:sz w:val="17"/>
            <w:szCs w:val="17"/>
          </w:rPr>
          <w:t>https:/​/​www.ibm.com/​docs/​en/​planning-​analytics/​2.0.0?​topic=​SSD29G_​2.0.0/​main/​welcome.htm</w:t>
        </w:r>
      </w:hyperlink>
    </w:p>
    <w:p w14:paraId="7DB24871" w14:textId="77777777" w:rsidR="00EB0B6B" w:rsidRDefault="00000000">
      <w:pPr>
        <w:spacing w:after="80" w:line="250" w:lineRule="auto"/>
      </w:pPr>
      <w:r>
        <w:rPr>
          <w:rFonts w:eastAsia="Arial" w:cs="Arial"/>
          <w:color w:val="596C7B"/>
          <w:sz w:val="18"/>
        </w:rPr>
        <w:t>Original requested documentation baseline; select the version matching your deployment. Requested entry point; browser navigation required.</w:t>
      </w:r>
    </w:p>
    <w:p w14:paraId="3B9218E7" w14:textId="77777777" w:rsidR="00EB0B6B" w:rsidRDefault="00000000">
      <w:pPr>
        <w:keepNext/>
        <w:spacing w:before="100" w:after="40" w:line="252" w:lineRule="auto"/>
      </w:pPr>
      <w:bookmarkStart w:id="33" w:name="ref_03"/>
      <w:bookmarkEnd w:id="33"/>
      <w:r>
        <w:rPr>
          <w:rFonts w:eastAsia="Arial" w:cs="Arial"/>
          <w:b/>
          <w:color w:val="007D79"/>
          <w:sz w:val="20"/>
        </w:rPr>
        <w:t xml:space="preserve">[R03] </w:t>
      </w:r>
      <w:hyperlink r:id="rId21" w:history="1">
        <w:r>
          <w:rPr>
            <w:b/>
            <w:color w:val="16324F"/>
            <w:sz w:val="20"/>
            <w:szCs w:val="20"/>
          </w:rPr>
          <w:t>Planning Analytics on Cloud - administration manual</w:t>
        </w:r>
      </w:hyperlink>
    </w:p>
    <w:p w14:paraId="6ED22783" w14:textId="77777777" w:rsidR="00EB0B6B" w:rsidRDefault="00000000">
      <w:pPr>
        <w:keepNext/>
        <w:spacing w:after="40" w:line="240" w:lineRule="auto"/>
      </w:pPr>
      <w:hyperlink r:id="rId22" w:history="1">
        <w:r>
          <w:rPr>
            <w:color w:val="145EA8"/>
            <w:sz w:val="17"/>
            <w:szCs w:val="17"/>
          </w:rPr>
          <w:t>https:/​/​www.ibm.com/​docs/​en/​SSD29G_​2.0.0/​com.ibm.swg.ba.cognos.tm1_​cloud_​mg.2.0.0.doc/​pa_​cloud.html</w:t>
        </w:r>
      </w:hyperlink>
    </w:p>
    <w:p w14:paraId="0F42C561" w14:textId="77777777" w:rsidR="00EB0B6B" w:rsidRDefault="00000000">
      <w:pPr>
        <w:spacing w:after="80" w:line="250" w:lineRule="auto"/>
      </w:pPr>
      <w:r>
        <w:rPr>
          <w:rFonts w:eastAsia="Arial" w:cs="Arial"/>
          <w:color w:val="596C7B"/>
          <w:sz w:val="18"/>
        </w:rPr>
        <w:t>Requested hosted-service manual; supplement historical steps with current cloud guidance. Requested link; automated retrieval restricted.</w:t>
      </w:r>
    </w:p>
    <w:p w14:paraId="0F9AC639" w14:textId="77777777" w:rsidR="00EB0B6B" w:rsidRDefault="00000000">
      <w:pPr>
        <w:keepNext/>
        <w:spacing w:before="100" w:after="40" w:line="252" w:lineRule="auto"/>
      </w:pPr>
      <w:bookmarkStart w:id="34" w:name="ref_04"/>
      <w:bookmarkEnd w:id="34"/>
      <w:r>
        <w:rPr>
          <w:rFonts w:eastAsia="Arial" w:cs="Arial"/>
          <w:b/>
          <w:color w:val="007D79"/>
          <w:sz w:val="20"/>
        </w:rPr>
        <w:t xml:space="preserve">[R04] </w:t>
      </w:r>
      <w:hyperlink r:id="rId23" w:history="1">
        <w:r>
          <w:rPr>
            <w:b/>
            <w:color w:val="16324F"/>
            <w:sz w:val="20"/>
            <w:szCs w:val="20"/>
          </w:rPr>
          <w:t>Planning Analytics Local - installation and configuration</w:t>
        </w:r>
      </w:hyperlink>
    </w:p>
    <w:p w14:paraId="3FB34416" w14:textId="77777777" w:rsidR="00EB0B6B" w:rsidRDefault="00000000">
      <w:pPr>
        <w:keepNext/>
        <w:spacing w:after="40" w:line="240" w:lineRule="auto"/>
      </w:pPr>
      <w:hyperlink r:id="rId24" w:history="1">
        <w:r>
          <w:rPr>
            <w:color w:val="145EA8"/>
            <w:sz w:val="17"/>
            <w:szCs w:val="17"/>
          </w:rPr>
          <w:t>https:/​/​www.ibm.com/​docs/​en/​SSD29G_​2.0.0/​com.ibm.swg.ba.cognos.tm1_​inst.2.0.0.doc/​pa_​install.html</w:t>
        </w:r>
      </w:hyperlink>
    </w:p>
    <w:p w14:paraId="5B47CF7D" w14:textId="77777777" w:rsidR="00EB0B6B" w:rsidRDefault="00000000">
      <w:pPr>
        <w:spacing w:after="80" w:line="250" w:lineRule="auto"/>
      </w:pPr>
      <w:r>
        <w:rPr>
          <w:rFonts w:eastAsia="Arial" w:cs="Arial"/>
          <w:color w:val="596C7B"/>
          <w:sz w:val="18"/>
        </w:rPr>
        <w:t>Architecture, data tier, Workspace, Excel, Spreadsheet Services and security.</w:t>
      </w:r>
    </w:p>
    <w:p w14:paraId="6CEFE3E5" w14:textId="77777777" w:rsidR="00EB0B6B" w:rsidRDefault="00000000">
      <w:pPr>
        <w:keepNext/>
        <w:spacing w:before="100" w:after="40" w:line="252" w:lineRule="auto"/>
      </w:pPr>
      <w:bookmarkStart w:id="35" w:name="ref_05"/>
      <w:bookmarkEnd w:id="35"/>
      <w:r>
        <w:rPr>
          <w:rFonts w:eastAsia="Arial" w:cs="Arial"/>
          <w:b/>
          <w:color w:val="007D79"/>
          <w:sz w:val="20"/>
        </w:rPr>
        <w:t xml:space="preserve">[R05] </w:t>
      </w:r>
      <w:hyperlink r:id="rId25" w:history="1">
        <w:r>
          <w:rPr>
            <w:b/>
            <w:color w:val="16324F"/>
            <w:sz w:val="20"/>
            <w:szCs w:val="20"/>
          </w:rPr>
          <w:t>Planning Analytics - new features manual, 2.0</w:t>
        </w:r>
      </w:hyperlink>
    </w:p>
    <w:p w14:paraId="4A06C133" w14:textId="77777777" w:rsidR="00EB0B6B" w:rsidRDefault="00000000">
      <w:pPr>
        <w:keepNext/>
        <w:spacing w:after="40" w:line="240" w:lineRule="auto"/>
      </w:pPr>
      <w:hyperlink r:id="rId26" w:history="1">
        <w:r>
          <w:rPr>
            <w:color w:val="145EA8"/>
            <w:sz w:val="17"/>
            <w:szCs w:val="17"/>
          </w:rPr>
          <w:t>https:/​/​www.ibm.com/​docs/​en/​SSD29G_​2.0.0/​com.ibm.swg.ba.cognos.tm1_​nfg.2.0.0.doc/​pa_​nfg.html</w:t>
        </w:r>
      </w:hyperlink>
    </w:p>
    <w:p w14:paraId="002EA8DC" w14:textId="77777777" w:rsidR="00EB0B6B" w:rsidRDefault="00000000">
      <w:pPr>
        <w:spacing w:after="80" w:line="250" w:lineRule="auto"/>
      </w:pPr>
      <w:r>
        <w:rPr>
          <w:rFonts w:eastAsia="Arial" w:cs="Arial"/>
          <w:color w:val="596C7B"/>
          <w:sz w:val="18"/>
        </w:rPr>
        <w:t>Historical component release notes; pair with current 2.1 and 3.1 sources. Requested link; automated retrieval restricted.</w:t>
      </w:r>
    </w:p>
    <w:p w14:paraId="19109F8B" w14:textId="77777777" w:rsidR="00EB0B6B" w:rsidRDefault="00000000">
      <w:pPr>
        <w:keepNext/>
        <w:spacing w:before="100" w:after="40" w:line="252" w:lineRule="auto"/>
      </w:pPr>
      <w:bookmarkStart w:id="36" w:name="ref_06"/>
      <w:bookmarkEnd w:id="36"/>
      <w:r>
        <w:rPr>
          <w:rFonts w:eastAsia="Arial" w:cs="Arial"/>
          <w:b/>
          <w:color w:val="007D79"/>
          <w:sz w:val="20"/>
        </w:rPr>
        <w:t xml:space="preserve">[R06] </w:t>
      </w:r>
      <w:hyperlink r:id="rId27" w:history="1">
        <w:r>
          <w:rPr>
            <w:b/>
            <w:color w:val="16324F"/>
            <w:sz w:val="20"/>
            <w:szCs w:val="20"/>
          </w:rPr>
          <w:t>Planning Analytics manuals in PDF - official catalog</w:t>
        </w:r>
      </w:hyperlink>
    </w:p>
    <w:p w14:paraId="2DC56400" w14:textId="77777777" w:rsidR="00EB0B6B" w:rsidRDefault="00000000">
      <w:pPr>
        <w:keepNext/>
        <w:spacing w:after="40" w:line="240" w:lineRule="auto"/>
      </w:pPr>
      <w:hyperlink r:id="rId28" w:history="1">
        <w:r>
          <w:rPr>
            <w:color w:val="145EA8"/>
            <w:sz w:val="17"/>
            <w:szCs w:val="17"/>
          </w:rPr>
          <w:t>https:/​/​www.ibm.com/​docs/​en/​SSD29G_​2.0.0/​main/​pdf_​link.html</w:t>
        </w:r>
      </w:hyperlink>
    </w:p>
    <w:p w14:paraId="089A274E" w14:textId="77777777" w:rsidR="00EB0B6B" w:rsidRDefault="00000000">
      <w:pPr>
        <w:spacing w:after="80" w:line="250" w:lineRule="auto"/>
      </w:pPr>
      <w:r>
        <w:rPr>
          <w:rFonts w:eastAsia="Arial" w:cs="Arial"/>
          <w:color w:val="596C7B"/>
          <w:sz w:val="18"/>
        </w:rPr>
        <w:t>Nine named manuals; use the catalog to obtain the edition and language required.</w:t>
      </w:r>
    </w:p>
    <w:p w14:paraId="1CE29615" w14:textId="77777777" w:rsidR="00EB0B6B" w:rsidRDefault="00000000">
      <w:pPr>
        <w:keepNext/>
        <w:spacing w:before="100" w:after="40" w:line="252" w:lineRule="auto"/>
      </w:pPr>
      <w:bookmarkStart w:id="37" w:name="ref_07"/>
      <w:bookmarkEnd w:id="37"/>
      <w:r>
        <w:rPr>
          <w:rFonts w:eastAsia="Arial" w:cs="Arial"/>
          <w:b/>
          <w:color w:val="007D79"/>
          <w:sz w:val="20"/>
        </w:rPr>
        <w:t xml:space="preserve">[R07] </w:t>
      </w:r>
      <w:hyperlink r:id="rId29" w:history="1">
        <w:r>
          <w:rPr>
            <w:b/>
            <w:color w:val="16324F"/>
            <w:sz w:val="20"/>
            <w:szCs w:val="20"/>
          </w:rPr>
          <w:t>Software Product Compatibility Reports (SPCR)</w:t>
        </w:r>
      </w:hyperlink>
    </w:p>
    <w:p w14:paraId="3BA466B1" w14:textId="77777777" w:rsidR="00EB0B6B" w:rsidRDefault="00000000">
      <w:pPr>
        <w:keepNext/>
        <w:spacing w:after="40" w:line="240" w:lineRule="auto"/>
      </w:pPr>
      <w:hyperlink r:id="rId30" w:history="1">
        <w:r>
          <w:rPr>
            <w:color w:val="145EA8"/>
            <w:sz w:val="17"/>
            <w:szCs w:val="17"/>
          </w:rPr>
          <w:t>https:/​/​www.ibm.com/​software/​reports/​compatibility/​clarity/​index.html</w:t>
        </w:r>
      </w:hyperlink>
    </w:p>
    <w:p w14:paraId="2D045D95" w14:textId="77777777" w:rsidR="00EB0B6B" w:rsidRDefault="00000000">
      <w:pPr>
        <w:spacing w:after="80" w:line="250" w:lineRule="auto"/>
      </w:pPr>
      <w:r>
        <w:rPr>
          <w:rFonts w:eastAsia="Arial" w:cs="Arial"/>
          <w:color w:val="596C7B"/>
          <w:sz w:val="18"/>
        </w:rPr>
        <w:t>Generate exact supported OS, software and prerequisite reports. Interactive browser required.</w:t>
      </w:r>
    </w:p>
    <w:p w14:paraId="1B86E955" w14:textId="77777777" w:rsidR="00EB0B6B" w:rsidRDefault="00000000">
      <w:pPr>
        <w:keepNext/>
        <w:spacing w:before="100" w:after="40" w:line="252" w:lineRule="auto"/>
      </w:pPr>
      <w:bookmarkStart w:id="38" w:name="ref_08"/>
      <w:bookmarkEnd w:id="38"/>
      <w:r>
        <w:rPr>
          <w:rFonts w:eastAsia="Arial" w:cs="Arial"/>
          <w:b/>
          <w:color w:val="007D79"/>
          <w:sz w:val="20"/>
        </w:rPr>
        <w:t xml:space="preserve">[R08] </w:t>
      </w:r>
      <w:hyperlink r:id="rId31" w:history="1">
        <w:r>
          <w:rPr>
            <w:b/>
            <w:color w:val="16324F"/>
            <w:sz w:val="20"/>
            <w:szCs w:val="20"/>
          </w:rPr>
          <w:t>Planning Analytics supported languages - component index</w:t>
        </w:r>
      </w:hyperlink>
    </w:p>
    <w:p w14:paraId="21B2314E" w14:textId="77777777" w:rsidR="00EB0B6B" w:rsidRDefault="00000000">
      <w:pPr>
        <w:keepNext/>
        <w:spacing w:after="40" w:line="240" w:lineRule="auto"/>
      </w:pPr>
      <w:hyperlink r:id="rId32" w:history="1">
        <w:r>
          <w:rPr>
            <w:color w:val="145EA8"/>
            <w:sz w:val="17"/>
            <w:szCs w:val="17"/>
          </w:rPr>
          <w:t>https:/​/​www.ibm.com/​docs/​en/​SSD29G_​2.0.0/​main/​supported_​languages.html</w:t>
        </w:r>
      </w:hyperlink>
    </w:p>
    <w:p w14:paraId="4C1A457E" w14:textId="77777777" w:rsidR="00EB0B6B" w:rsidRDefault="00000000">
      <w:pPr>
        <w:spacing w:after="80" w:line="250" w:lineRule="auto"/>
      </w:pPr>
      <w:r>
        <w:rPr>
          <w:rFonts w:eastAsia="Arial" w:cs="Arial"/>
          <w:color w:val="596C7B"/>
          <w:sz w:val="18"/>
        </w:rPr>
        <w:t>Entry point for Workspace, Excel, Local and Cloud language matrices.</w:t>
      </w:r>
    </w:p>
    <w:p w14:paraId="26E8C98B" w14:textId="77777777" w:rsidR="00EB0B6B" w:rsidRDefault="00000000">
      <w:pPr>
        <w:keepNext/>
        <w:spacing w:before="100" w:after="40" w:line="252" w:lineRule="auto"/>
      </w:pPr>
      <w:bookmarkStart w:id="39" w:name="ref_09"/>
      <w:bookmarkEnd w:id="39"/>
      <w:r>
        <w:rPr>
          <w:rFonts w:eastAsia="Arial" w:cs="Arial"/>
          <w:b/>
          <w:color w:val="007D79"/>
          <w:sz w:val="20"/>
        </w:rPr>
        <w:t xml:space="preserve">[R09] </w:t>
      </w:r>
      <w:hyperlink r:id="rId33" w:history="1">
        <w:r>
          <w:rPr>
            <w:b/>
            <w:color w:val="16324F"/>
            <w:sz w:val="20"/>
            <w:szCs w:val="20"/>
          </w:rPr>
          <w:t>GDPR readiness for Planning Analytics Local (PDF)</w:t>
        </w:r>
      </w:hyperlink>
    </w:p>
    <w:p w14:paraId="4B889A02" w14:textId="77777777" w:rsidR="00EB0B6B" w:rsidRDefault="00000000">
      <w:pPr>
        <w:keepNext/>
        <w:spacing w:after="40" w:line="240" w:lineRule="auto"/>
      </w:pPr>
      <w:hyperlink r:id="rId34" w:history="1">
        <w:r>
          <w:rPr>
            <w:color w:val="145EA8"/>
            <w:sz w:val="17"/>
            <w:szCs w:val="17"/>
          </w:rPr>
          <w:t>https:/​/​www.ibm.com/​docs/​en/​SSD29G_​2.0.0/​gdpr/​doc.pdf</w:t>
        </w:r>
      </w:hyperlink>
    </w:p>
    <w:p w14:paraId="528927A0" w14:textId="77777777" w:rsidR="00EB0B6B" w:rsidRDefault="00000000">
      <w:pPr>
        <w:spacing w:after="80" w:line="250" w:lineRule="auto"/>
      </w:pPr>
      <w:r>
        <w:rPr>
          <w:rFonts w:eastAsia="Arial" w:cs="Arial"/>
          <w:color w:val="596C7B"/>
          <w:sz w:val="18"/>
        </w:rPr>
        <w:t>Requested product privacy-readiness paper; read with your privacy and legal teams. Requested PDF; automated retrieval returned HTTP 403.</w:t>
      </w:r>
    </w:p>
    <w:p w14:paraId="72C20A5A" w14:textId="77777777" w:rsidR="00EB0B6B" w:rsidRDefault="00000000">
      <w:pPr>
        <w:pStyle w:val="Heading1"/>
        <w:pageBreakBefore/>
      </w:pPr>
      <w:bookmarkStart w:id="40" w:name="refs_part_02"/>
      <w:r>
        <w:rPr>
          <w:rFonts w:ascii="Arial" w:eastAsia="Arial" w:hAnsi="Arial" w:cs="Arial"/>
        </w:rPr>
        <w:t>Reference catalog - continued</w:t>
      </w:r>
      <w:bookmarkEnd w:id="40"/>
    </w:p>
    <w:p w14:paraId="191407BF" w14:textId="77777777" w:rsidR="00EB0B6B" w:rsidRDefault="00000000">
      <w:pPr>
        <w:keepNext/>
        <w:spacing w:after="240"/>
      </w:pPr>
      <w:r>
        <w:rPr>
          <w:rFonts w:eastAsia="Arial" w:cs="Arial"/>
          <w:color w:val="007D79"/>
          <w:sz w:val="20"/>
        </w:rPr>
        <w:t>R10-R18  |  Official IBM sources and navigation links</w:t>
      </w:r>
    </w:p>
    <w:p w14:paraId="3079F757" w14:textId="77777777" w:rsidR="00EB0B6B" w:rsidRDefault="00000000">
      <w:pPr>
        <w:keepNext/>
        <w:spacing w:before="100" w:after="40" w:line="252" w:lineRule="auto"/>
      </w:pPr>
      <w:bookmarkStart w:id="41" w:name="ref_10"/>
      <w:bookmarkEnd w:id="41"/>
      <w:r>
        <w:rPr>
          <w:rFonts w:eastAsia="Arial" w:cs="Arial"/>
          <w:b/>
          <w:color w:val="007D79"/>
          <w:sz w:val="20"/>
        </w:rPr>
        <w:t xml:space="preserve">[R10] </w:t>
      </w:r>
      <w:hyperlink r:id="rId35" w:history="1">
        <w:r>
          <w:rPr>
            <w:b/>
            <w:color w:val="16324F"/>
            <w:sz w:val="20"/>
            <w:szCs w:val="20"/>
          </w:rPr>
          <w:t>IBM Planning Analytics community</w:t>
        </w:r>
      </w:hyperlink>
    </w:p>
    <w:p w14:paraId="52128CFC" w14:textId="77777777" w:rsidR="00EB0B6B" w:rsidRDefault="00000000">
      <w:pPr>
        <w:keepNext/>
        <w:spacing w:after="40" w:line="240" w:lineRule="auto"/>
      </w:pPr>
      <w:hyperlink r:id="rId36" w:history="1">
        <w:r>
          <w:rPr>
            <w:color w:val="145EA8"/>
            <w:sz w:val="17"/>
            <w:szCs w:val="17"/>
          </w:rPr>
          <w:t>https:/​/​community.ibm.com/​community/​user/​businessanalytics/​communities/​community-​home?​communitykey=​8fde0600-​e22b-​4178-​acf5-​bf4eda43146b</w:t>
        </w:r>
      </w:hyperlink>
    </w:p>
    <w:p w14:paraId="2CB78B38" w14:textId="77777777" w:rsidR="00EB0B6B" w:rsidRDefault="00000000">
      <w:pPr>
        <w:spacing w:after="80" w:line="250" w:lineRule="auto"/>
      </w:pPr>
      <w:r>
        <w:rPr>
          <w:rFonts w:eastAsia="Arial" w:cs="Arial"/>
          <w:color w:val="596C7B"/>
          <w:sz w:val="18"/>
        </w:rPr>
        <w:t>Discussion, blogs, library and events; not a substitute for a support case.</w:t>
      </w:r>
    </w:p>
    <w:p w14:paraId="1864BDDC" w14:textId="77777777" w:rsidR="00EB0B6B" w:rsidRDefault="00000000">
      <w:pPr>
        <w:keepNext/>
        <w:spacing w:before="100" w:after="40" w:line="252" w:lineRule="auto"/>
      </w:pPr>
      <w:bookmarkStart w:id="42" w:name="ref_11"/>
      <w:bookmarkEnd w:id="42"/>
      <w:r>
        <w:rPr>
          <w:rFonts w:eastAsia="Arial" w:cs="Arial"/>
          <w:b/>
          <w:color w:val="007D79"/>
          <w:sz w:val="20"/>
        </w:rPr>
        <w:t xml:space="preserve">[R11] </w:t>
      </w:r>
      <w:hyperlink r:id="rId37" w:history="1">
        <w:r>
          <w:rPr>
            <w:b/>
            <w:color w:val="16324F"/>
            <w:sz w:val="20"/>
            <w:szCs w:val="20"/>
          </w:rPr>
          <w:t>Planning Analytics on Cloud Support Community</w:t>
        </w:r>
      </w:hyperlink>
    </w:p>
    <w:p w14:paraId="6BD46494" w14:textId="77777777" w:rsidR="00EB0B6B" w:rsidRDefault="00000000">
      <w:pPr>
        <w:keepNext/>
        <w:spacing w:after="40" w:line="240" w:lineRule="auto"/>
      </w:pPr>
      <w:hyperlink r:id="rId38" w:history="1">
        <w:r>
          <w:rPr>
            <w:color w:val="145EA8"/>
            <w:sz w:val="17"/>
            <w:szCs w:val="17"/>
          </w:rPr>
          <w:t>https:/​/​www.ibm.com/​mysupport/​s/​topic/​0TO500000002PWQGA2/​planning-​analytics-​on-​cloud?​language=​en_​US&amp;​productId=​01t50000004XdyhAAC</w:t>
        </w:r>
      </w:hyperlink>
    </w:p>
    <w:p w14:paraId="4E2382CB" w14:textId="77777777" w:rsidR="00EB0B6B" w:rsidRDefault="00000000">
      <w:pPr>
        <w:spacing w:after="80" w:line="250" w:lineRule="auto"/>
      </w:pPr>
      <w:r>
        <w:rPr>
          <w:rFonts w:eastAsia="Arial" w:cs="Arial"/>
          <w:color w:val="596C7B"/>
          <w:sz w:val="18"/>
        </w:rPr>
        <w:t>Requested product support destination. IBMid or support entitlement may be required.</w:t>
      </w:r>
    </w:p>
    <w:p w14:paraId="435D777E" w14:textId="77777777" w:rsidR="00EB0B6B" w:rsidRDefault="00000000">
      <w:pPr>
        <w:keepNext/>
        <w:spacing w:before="100" w:after="40" w:line="252" w:lineRule="auto"/>
      </w:pPr>
      <w:bookmarkStart w:id="43" w:name="ref_12"/>
      <w:bookmarkEnd w:id="43"/>
      <w:r>
        <w:rPr>
          <w:rFonts w:eastAsia="Arial" w:cs="Arial"/>
          <w:b/>
          <w:color w:val="007D79"/>
          <w:sz w:val="20"/>
        </w:rPr>
        <w:t xml:space="preserve">[R12] </w:t>
      </w:r>
      <w:hyperlink r:id="rId39" w:history="1">
        <w:r>
          <w:rPr>
            <w:b/>
            <w:color w:val="16324F"/>
            <w:sz w:val="20"/>
            <w:szCs w:val="20"/>
          </w:rPr>
          <w:t>Planning Analytics Local Support Community</w:t>
        </w:r>
      </w:hyperlink>
    </w:p>
    <w:p w14:paraId="73BDFD21" w14:textId="77777777" w:rsidR="00EB0B6B" w:rsidRDefault="00000000">
      <w:pPr>
        <w:keepNext/>
        <w:spacing w:after="40" w:line="240" w:lineRule="auto"/>
      </w:pPr>
      <w:hyperlink r:id="rId40" w:history="1">
        <w:r>
          <w:rPr>
            <w:color w:val="145EA8"/>
            <w:sz w:val="17"/>
            <w:szCs w:val="17"/>
          </w:rPr>
          <w:t>https:/​/​www.ibm.com/​mysupport/​s/​topic/​0TO500000002PWWGA2/​planning-​analytics-​local?​language=​en_​US&amp;​productId=​01t50000004XdynAAC</w:t>
        </w:r>
      </w:hyperlink>
    </w:p>
    <w:p w14:paraId="5AA4CB74" w14:textId="77777777" w:rsidR="00EB0B6B" w:rsidRDefault="00000000">
      <w:pPr>
        <w:spacing w:after="80" w:line="250" w:lineRule="auto"/>
      </w:pPr>
      <w:r>
        <w:rPr>
          <w:rFonts w:eastAsia="Arial" w:cs="Arial"/>
          <w:color w:val="596C7B"/>
          <w:sz w:val="18"/>
        </w:rPr>
        <w:t>Requested Local support destination. IBMid or support entitlement may be required.</w:t>
      </w:r>
    </w:p>
    <w:p w14:paraId="7F1E13B4" w14:textId="77777777" w:rsidR="00EB0B6B" w:rsidRDefault="00000000">
      <w:pPr>
        <w:keepNext/>
        <w:spacing w:before="100" w:after="40" w:line="252" w:lineRule="auto"/>
      </w:pPr>
      <w:bookmarkStart w:id="44" w:name="ref_13"/>
      <w:bookmarkEnd w:id="44"/>
      <w:r>
        <w:rPr>
          <w:rFonts w:eastAsia="Arial" w:cs="Arial"/>
          <w:b/>
          <w:color w:val="007D79"/>
          <w:sz w:val="20"/>
        </w:rPr>
        <w:t xml:space="preserve">[R13] </w:t>
      </w:r>
      <w:hyperlink r:id="rId41" w:history="1">
        <w:r>
          <w:rPr>
            <w:b/>
            <w:color w:val="16324F"/>
            <w:sz w:val="20"/>
            <w:szCs w:val="20"/>
          </w:rPr>
          <w:t>IBM Planning Analytics 101</w:t>
        </w:r>
      </w:hyperlink>
    </w:p>
    <w:p w14:paraId="3FE6D62E" w14:textId="77777777" w:rsidR="00EB0B6B" w:rsidRDefault="00000000">
      <w:pPr>
        <w:keepNext/>
        <w:spacing w:after="40" w:line="240" w:lineRule="auto"/>
      </w:pPr>
      <w:hyperlink r:id="rId42" w:history="1">
        <w:r>
          <w:rPr>
            <w:color w:val="145EA8"/>
            <w:sz w:val="17"/>
            <w:szCs w:val="17"/>
          </w:rPr>
          <w:t>https:/​/​www.ibm.com/​community/​101/​ibm-​planning-​analytics/​</w:t>
        </w:r>
      </w:hyperlink>
    </w:p>
    <w:p w14:paraId="15B36ADF" w14:textId="77777777" w:rsidR="00EB0B6B" w:rsidRDefault="00000000">
      <w:pPr>
        <w:spacing w:after="80" w:line="250" w:lineRule="auto"/>
      </w:pPr>
      <w:r>
        <w:rPr>
          <w:rFonts w:eastAsia="Arial" w:cs="Arial"/>
          <w:color w:val="596C7B"/>
          <w:sz w:val="18"/>
        </w:rPr>
        <w:t>Official knowledge hub and offering-specific support paths.</w:t>
      </w:r>
    </w:p>
    <w:p w14:paraId="1F179D6B" w14:textId="77777777" w:rsidR="00EB0B6B" w:rsidRDefault="00000000">
      <w:pPr>
        <w:keepNext/>
        <w:spacing w:before="100" w:after="40" w:line="252" w:lineRule="auto"/>
      </w:pPr>
      <w:bookmarkStart w:id="45" w:name="ref_14"/>
      <w:bookmarkEnd w:id="45"/>
      <w:r>
        <w:rPr>
          <w:rFonts w:eastAsia="Arial" w:cs="Arial"/>
          <w:b/>
          <w:color w:val="007D79"/>
          <w:sz w:val="20"/>
        </w:rPr>
        <w:t xml:space="preserve">[R14] </w:t>
      </w:r>
      <w:hyperlink r:id="rId43" w:history="1">
        <w:r>
          <w:rPr>
            <w:b/>
            <w:color w:val="16324F"/>
            <w:sz w:val="20"/>
            <w:szCs w:val="20"/>
          </w:rPr>
          <w:t>Planning Analytics on Cloud 101</w:t>
        </w:r>
      </w:hyperlink>
    </w:p>
    <w:p w14:paraId="67FED262" w14:textId="77777777" w:rsidR="00EB0B6B" w:rsidRDefault="00000000">
      <w:pPr>
        <w:keepNext/>
        <w:spacing w:after="40" w:line="240" w:lineRule="auto"/>
      </w:pPr>
      <w:hyperlink r:id="rId44" w:history="1">
        <w:r>
          <w:rPr>
            <w:color w:val="145EA8"/>
            <w:sz w:val="17"/>
            <w:szCs w:val="17"/>
          </w:rPr>
          <w:t>https:/​/​www.ibm.com/​community/​101/​ibm-​planning-​analytics/​planning-​analytics-​on-​cloud/​</w:t>
        </w:r>
      </w:hyperlink>
    </w:p>
    <w:p w14:paraId="35D9E281" w14:textId="77777777" w:rsidR="00EB0B6B" w:rsidRDefault="00000000">
      <w:pPr>
        <w:spacing w:after="80" w:line="250" w:lineRule="auto"/>
      </w:pPr>
      <w:r>
        <w:rPr>
          <w:rFonts w:eastAsia="Arial" w:cs="Arial"/>
          <w:color w:val="596C7B"/>
          <w:sz w:val="18"/>
        </w:rPr>
        <w:t>Cloud notices, connectivity changes, must-gathers and service operations.</w:t>
      </w:r>
    </w:p>
    <w:p w14:paraId="02D32DBB" w14:textId="77777777" w:rsidR="00EB0B6B" w:rsidRDefault="00000000">
      <w:pPr>
        <w:keepNext/>
        <w:spacing w:before="100" w:after="40" w:line="252" w:lineRule="auto"/>
      </w:pPr>
      <w:bookmarkStart w:id="46" w:name="ref_15"/>
      <w:bookmarkEnd w:id="46"/>
      <w:r>
        <w:rPr>
          <w:rFonts w:eastAsia="Arial" w:cs="Arial"/>
          <w:b/>
          <w:color w:val="007D79"/>
          <w:sz w:val="20"/>
        </w:rPr>
        <w:t xml:space="preserve">[R15] </w:t>
      </w:r>
      <w:hyperlink r:id="rId45" w:history="1">
        <w:r>
          <w:rPr>
            <w:b/>
            <w:color w:val="16324F"/>
            <w:sz w:val="20"/>
            <w:szCs w:val="20"/>
          </w:rPr>
          <w:t>Planning Analytics Local 101</w:t>
        </w:r>
      </w:hyperlink>
    </w:p>
    <w:p w14:paraId="7A8E219E" w14:textId="77777777" w:rsidR="00EB0B6B" w:rsidRDefault="00000000">
      <w:pPr>
        <w:keepNext/>
        <w:spacing w:after="40" w:line="240" w:lineRule="auto"/>
      </w:pPr>
      <w:hyperlink r:id="rId46" w:history="1">
        <w:r>
          <w:rPr>
            <w:color w:val="145EA8"/>
            <w:sz w:val="17"/>
            <w:szCs w:val="17"/>
          </w:rPr>
          <w:t>https:/​/​www.ibm.com/​community/​101/​ibm-​planning-​analytics/​ibm-​planning-​analytics-​local/​</w:t>
        </w:r>
      </w:hyperlink>
    </w:p>
    <w:p w14:paraId="39AC9D91" w14:textId="77777777" w:rsidR="00EB0B6B" w:rsidRDefault="00000000">
      <w:pPr>
        <w:spacing w:after="80" w:line="250" w:lineRule="auto"/>
      </w:pPr>
      <w:r>
        <w:rPr>
          <w:rFonts w:eastAsia="Arial" w:cs="Arial"/>
          <w:color w:val="596C7B"/>
          <w:sz w:val="18"/>
        </w:rPr>
        <w:t>Local administration, technical diagnostics and support resources.</w:t>
      </w:r>
    </w:p>
    <w:p w14:paraId="2E259520" w14:textId="77777777" w:rsidR="00EB0B6B" w:rsidRDefault="00000000">
      <w:pPr>
        <w:keepNext/>
        <w:spacing w:before="100" w:after="40" w:line="252" w:lineRule="auto"/>
      </w:pPr>
      <w:bookmarkStart w:id="47" w:name="ref_16"/>
      <w:bookmarkEnd w:id="47"/>
      <w:r>
        <w:rPr>
          <w:rFonts w:eastAsia="Arial" w:cs="Arial"/>
          <w:b/>
          <w:color w:val="007D79"/>
          <w:sz w:val="20"/>
        </w:rPr>
        <w:t xml:space="preserve">[R16] </w:t>
      </w:r>
      <w:hyperlink r:id="rId47" w:history="1">
        <w:r>
          <w:rPr>
            <w:b/>
            <w:color w:val="16324F"/>
            <w:sz w:val="20"/>
            <w:szCs w:val="20"/>
          </w:rPr>
          <w:t>Planning Analytics as a Service 101</w:t>
        </w:r>
      </w:hyperlink>
    </w:p>
    <w:p w14:paraId="72D6B11B" w14:textId="77777777" w:rsidR="00EB0B6B" w:rsidRDefault="00000000">
      <w:pPr>
        <w:keepNext/>
        <w:spacing w:after="40" w:line="240" w:lineRule="auto"/>
      </w:pPr>
      <w:hyperlink r:id="rId48" w:history="1">
        <w:r>
          <w:rPr>
            <w:color w:val="145EA8"/>
            <w:sz w:val="17"/>
            <w:szCs w:val="17"/>
          </w:rPr>
          <w:t>https:/​/​www.ibm.com/​community/​101/​ibm-​planning-​analytics/​planning-​analytics-​as-​a-​service/​</w:t>
        </w:r>
      </w:hyperlink>
    </w:p>
    <w:p w14:paraId="315559C3" w14:textId="77777777" w:rsidR="00EB0B6B" w:rsidRDefault="00000000">
      <w:pPr>
        <w:spacing w:after="80" w:line="250" w:lineRule="auto"/>
      </w:pPr>
      <w:r>
        <w:rPr>
          <w:rFonts w:eastAsia="Arial" w:cs="Arial"/>
          <w:color w:val="596C7B"/>
          <w:sz w:val="18"/>
        </w:rPr>
        <w:t>SaaS support, engine, migration and ODBC connector must-gathers.</w:t>
      </w:r>
    </w:p>
    <w:p w14:paraId="3261588B" w14:textId="77777777" w:rsidR="00EB0B6B" w:rsidRDefault="00000000">
      <w:pPr>
        <w:keepNext/>
        <w:spacing w:before="100" w:after="40" w:line="252" w:lineRule="auto"/>
      </w:pPr>
      <w:bookmarkStart w:id="48" w:name="ref_17"/>
      <w:bookmarkEnd w:id="48"/>
      <w:r>
        <w:rPr>
          <w:rFonts w:eastAsia="Arial" w:cs="Arial"/>
          <w:b/>
          <w:color w:val="007D79"/>
          <w:sz w:val="20"/>
        </w:rPr>
        <w:t xml:space="preserve">[R17] </w:t>
      </w:r>
      <w:hyperlink r:id="rId49" w:history="1">
        <w:r>
          <w:rPr>
            <w:b/>
            <w:color w:val="16324F"/>
            <w:sz w:val="20"/>
            <w:szCs w:val="20"/>
          </w:rPr>
          <w:t>Planning Analytics Local 2.1.24 download announcement</w:t>
        </w:r>
      </w:hyperlink>
    </w:p>
    <w:p w14:paraId="5B8EAA01" w14:textId="77777777" w:rsidR="00EB0B6B" w:rsidRDefault="00000000">
      <w:pPr>
        <w:keepNext/>
        <w:spacing w:after="40" w:line="240" w:lineRule="auto"/>
      </w:pPr>
      <w:hyperlink r:id="rId50" w:history="1">
        <w:r>
          <w:rPr>
            <w:color w:val="145EA8"/>
            <w:sz w:val="17"/>
            <w:szCs w:val="17"/>
          </w:rPr>
          <w:t>https:/​/​www.ibm.com/​support/​pages/​ibm-​planning-​analytics-​local-​2124-​now-​available-​download-​fix-​central</w:t>
        </w:r>
      </w:hyperlink>
    </w:p>
    <w:p w14:paraId="0B1CDC95" w14:textId="77777777" w:rsidR="00EB0B6B" w:rsidRDefault="00000000">
      <w:pPr>
        <w:spacing w:after="80" w:line="250" w:lineRule="auto"/>
      </w:pPr>
      <w:r>
        <w:rPr>
          <w:rFonts w:eastAsia="Arial" w:cs="Arial"/>
          <w:color w:val="596C7B"/>
          <w:sz w:val="18"/>
        </w:rPr>
        <w:t>25 September 2026 release; aligned Workspace, Excel and Spreadsheet Services guidance.</w:t>
      </w:r>
    </w:p>
    <w:p w14:paraId="6D46E90A" w14:textId="77777777" w:rsidR="00EB0B6B" w:rsidRDefault="00000000">
      <w:pPr>
        <w:keepNext/>
        <w:spacing w:before="100" w:after="40" w:line="252" w:lineRule="auto"/>
      </w:pPr>
      <w:bookmarkStart w:id="49" w:name="ref_18"/>
      <w:bookmarkEnd w:id="49"/>
      <w:r>
        <w:rPr>
          <w:rFonts w:eastAsia="Arial" w:cs="Arial"/>
          <w:b/>
          <w:color w:val="007D79"/>
          <w:sz w:val="20"/>
        </w:rPr>
        <w:t xml:space="preserve">[R18] </w:t>
      </w:r>
      <w:hyperlink r:id="rId51" w:history="1">
        <w:r>
          <w:rPr>
            <w:b/>
            <w:color w:val="16324F"/>
            <w:sz w:val="20"/>
            <w:szCs w:val="20"/>
          </w:rPr>
          <w:t>Planning Analytics Local Technical Preview 3.1.11</w:t>
        </w:r>
      </w:hyperlink>
    </w:p>
    <w:p w14:paraId="54670537" w14:textId="77777777" w:rsidR="00EB0B6B" w:rsidRDefault="00000000">
      <w:pPr>
        <w:keepNext/>
        <w:spacing w:after="40" w:line="240" w:lineRule="auto"/>
      </w:pPr>
      <w:hyperlink r:id="rId52" w:history="1">
        <w:r>
          <w:rPr>
            <w:color w:val="145EA8"/>
            <w:sz w:val="17"/>
            <w:szCs w:val="17"/>
          </w:rPr>
          <w:t>https:/​/​www.ibm.com/​support/​pages/​ibm-​planning-​analytics-​local-​technical-​preview-​3111-​available-​download-​fix-​central</w:t>
        </w:r>
      </w:hyperlink>
    </w:p>
    <w:p w14:paraId="0F3FEE11" w14:textId="77777777" w:rsidR="00EB0B6B" w:rsidRDefault="00000000">
      <w:pPr>
        <w:spacing w:after="80" w:line="250" w:lineRule="auto"/>
      </w:pPr>
      <w:r>
        <w:rPr>
          <w:rFonts w:eastAsia="Arial" w:cs="Arial"/>
          <w:color w:val="596C7B"/>
          <w:sz w:val="18"/>
        </w:rPr>
        <w:t>17 September 2026; explicitly without official product support; TM1 12.6.4 and PAW 3.1.11.</w:t>
      </w:r>
    </w:p>
    <w:p w14:paraId="229CC8E9" w14:textId="77777777" w:rsidR="00EB0B6B" w:rsidRDefault="00000000">
      <w:pPr>
        <w:pStyle w:val="Heading1"/>
        <w:pageBreakBefore/>
      </w:pPr>
      <w:bookmarkStart w:id="50" w:name="refs_part_03"/>
      <w:r>
        <w:rPr>
          <w:rFonts w:ascii="Arial" w:eastAsia="Arial" w:hAnsi="Arial" w:cs="Arial"/>
        </w:rPr>
        <w:t>Reference catalog - continued</w:t>
      </w:r>
      <w:bookmarkEnd w:id="50"/>
    </w:p>
    <w:p w14:paraId="73D4581A" w14:textId="77777777" w:rsidR="00EB0B6B" w:rsidRDefault="00000000">
      <w:pPr>
        <w:keepNext/>
        <w:spacing w:after="240"/>
      </w:pPr>
      <w:r>
        <w:rPr>
          <w:rFonts w:eastAsia="Arial" w:cs="Arial"/>
          <w:color w:val="007D79"/>
          <w:sz w:val="20"/>
        </w:rPr>
        <w:t>R19-R27  |  Official IBM sources and navigation links</w:t>
      </w:r>
    </w:p>
    <w:p w14:paraId="3444C5E5" w14:textId="77777777" w:rsidR="00EB0B6B" w:rsidRDefault="00000000">
      <w:pPr>
        <w:keepNext/>
        <w:spacing w:before="100" w:after="40" w:line="252" w:lineRule="auto"/>
      </w:pPr>
      <w:bookmarkStart w:id="51" w:name="ref_19"/>
      <w:bookmarkEnd w:id="51"/>
      <w:r>
        <w:rPr>
          <w:rFonts w:eastAsia="Arial" w:cs="Arial"/>
          <w:b/>
          <w:color w:val="007D79"/>
          <w:sz w:val="20"/>
        </w:rPr>
        <w:t xml:space="preserve">[R19] </w:t>
      </w:r>
      <w:hyperlink r:id="rId53" w:history="1">
        <w:r>
          <w:rPr>
            <w:b/>
            <w:color w:val="16324F"/>
            <w:sz w:val="20"/>
            <w:szCs w:val="20"/>
          </w:rPr>
          <w:t>Planning Analytics 2.1 fix lists</w:t>
        </w:r>
      </w:hyperlink>
    </w:p>
    <w:p w14:paraId="4D68C41F" w14:textId="77777777" w:rsidR="00EB0B6B" w:rsidRDefault="00000000">
      <w:pPr>
        <w:keepNext/>
        <w:spacing w:after="40" w:line="240" w:lineRule="auto"/>
      </w:pPr>
      <w:hyperlink r:id="rId54" w:history="1">
        <w:r>
          <w:rPr>
            <w:color w:val="145EA8"/>
            <w:sz w:val="17"/>
            <w:szCs w:val="17"/>
          </w:rPr>
          <w:t>https:/​/​www.ibm.com/​support/​pages/​node/​7145856</w:t>
        </w:r>
      </w:hyperlink>
    </w:p>
    <w:p w14:paraId="4738C29C" w14:textId="77777777" w:rsidR="00EB0B6B" w:rsidRDefault="00000000">
      <w:pPr>
        <w:spacing w:after="80" w:line="250" w:lineRule="auto"/>
      </w:pPr>
      <w:r>
        <w:rPr>
          <w:rFonts w:eastAsia="Arial" w:cs="Arial"/>
          <w:color w:val="596C7B"/>
          <w:sz w:val="18"/>
        </w:rPr>
        <w:t>Version-specific resolved defects; use alongside new-feature and download notices.</w:t>
      </w:r>
    </w:p>
    <w:p w14:paraId="678EC358" w14:textId="77777777" w:rsidR="00EB0B6B" w:rsidRDefault="00000000">
      <w:pPr>
        <w:keepNext/>
        <w:spacing w:before="100" w:after="40" w:line="252" w:lineRule="auto"/>
      </w:pPr>
      <w:bookmarkStart w:id="52" w:name="ref_20"/>
      <w:bookmarkEnd w:id="52"/>
      <w:r>
        <w:rPr>
          <w:rFonts w:eastAsia="Arial" w:cs="Arial"/>
          <w:b/>
          <w:color w:val="007D79"/>
          <w:sz w:val="20"/>
        </w:rPr>
        <w:t xml:space="preserve">[R20] </w:t>
      </w:r>
      <w:hyperlink r:id="rId55" w:history="1">
        <w:r>
          <w:rPr>
            <w:b/>
            <w:color w:val="16324F"/>
            <w:sz w:val="20"/>
            <w:szCs w:val="20"/>
          </w:rPr>
          <w:t>Planning Analytics Local lifecycle</w:t>
        </w:r>
      </w:hyperlink>
    </w:p>
    <w:p w14:paraId="6AE8FDA7" w14:textId="77777777" w:rsidR="00EB0B6B" w:rsidRDefault="00000000">
      <w:pPr>
        <w:keepNext/>
        <w:spacing w:after="40" w:line="240" w:lineRule="auto"/>
      </w:pPr>
      <w:hyperlink r:id="rId56" w:history="1">
        <w:r>
          <w:rPr>
            <w:color w:val="145EA8"/>
            <w:sz w:val="17"/>
            <w:szCs w:val="17"/>
          </w:rPr>
          <w:t>https:/​/​www.ibm.com/​support/​pages/​planning-​analytics-​local-​lifecycle</w:t>
        </w:r>
      </w:hyperlink>
    </w:p>
    <w:p w14:paraId="0757E516" w14:textId="77777777" w:rsidR="00EB0B6B" w:rsidRDefault="00000000">
      <w:pPr>
        <w:spacing w:after="80" w:line="250" w:lineRule="auto"/>
      </w:pPr>
      <w:r>
        <w:rPr>
          <w:rFonts w:eastAsia="Arial" w:cs="Arial"/>
          <w:color w:val="596C7B"/>
          <w:sz w:val="18"/>
        </w:rPr>
        <w:t>Lifecycle pointer; verify current terms and extensions rather than relying on old dates.</w:t>
      </w:r>
    </w:p>
    <w:p w14:paraId="51FC2261" w14:textId="77777777" w:rsidR="00EB0B6B" w:rsidRDefault="00000000">
      <w:pPr>
        <w:keepNext/>
        <w:spacing w:before="100" w:after="40" w:line="252" w:lineRule="auto"/>
      </w:pPr>
      <w:bookmarkStart w:id="53" w:name="ref_21"/>
      <w:bookmarkEnd w:id="53"/>
      <w:r>
        <w:rPr>
          <w:rFonts w:eastAsia="Arial" w:cs="Arial"/>
          <w:b/>
          <w:color w:val="007D79"/>
          <w:sz w:val="20"/>
        </w:rPr>
        <w:t xml:space="preserve">[R21] </w:t>
      </w:r>
      <w:hyperlink r:id="rId57" w:history="1">
        <w:r>
          <w:rPr>
            <w:b/>
            <w:color w:val="16324F"/>
            <w:sz w:val="20"/>
            <w:szCs w:val="20"/>
          </w:rPr>
          <w:t>Install Planning Analytics Workspace Local, 2.1</w:t>
        </w:r>
      </w:hyperlink>
    </w:p>
    <w:p w14:paraId="50BFD594" w14:textId="77777777" w:rsidR="00EB0B6B" w:rsidRDefault="00000000">
      <w:pPr>
        <w:keepNext/>
        <w:spacing w:after="40" w:line="240" w:lineRule="auto"/>
      </w:pPr>
      <w:hyperlink r:id="rId58" w:history="1">
        <w:r>
          <w:rPr>
            <w:color w:val="145EA8"/>
            <w:sz w:val="17"/>
            <w:szCs w:val="17"/>
          </w:rPr>
          <w:t>https:/​/​www.ibm.com/​docs/​en/​planning-​analytics/​2.1.0?​topic=​configuration-​installing-​planning-​analytics-​workspace-​local</w:t>
        </w:r>
      </w:hyperlink>
    </w:p>
    <w:p w14:paraId="6A716FA5" w14:textId="77777777" w:rsidR="00EB0B6B" w:rsidRDefault="00000000">
      <w:pPr>
        <w:spacing w:after="80" w:line="250" w:lineRule="auto"/>
      </w:pPr>
      <w:r>
        <w:rPr>
          <w:rFonts w:eastAsia="Arial" w:cs="Arial"/>
          <w:color w:val="596C7B"/>
          <w:sz w:val="18"/>
        </w:rPr>
        <w:t>Windows and RHEL workflows, prerequisites, administration, backup and upgrade.</w:t>
      </w:r>
    </w:p>
    <w:p w14:paraId="1CD507D4" w14:textId="77777777" w:rsidR="00EB0B6B" w:rsidRDefault="00000000">
      <w:pPr>
        <w:keepNext/>
        <w:spacing w:before="100" w:after="40" w:line="252" w:lineRule="auto"/>
      </w:pPr>
      <w:bookmarkStart w:id="54" w:name="ref_22"/>
      <w:bookmarkEnd w:id="54"/>
      <w:r>
        <w:rPr>
          <w:rFonts w:eastAsia="Arial" w:cs="Arial"/>
          <w:b/>
          <w:color w:val="007D79"/>
          <w:sz w:val="20"/>
        </w:rPr>
        <w:t xml:space="preserve">[R22] </w:t>
      </w:r>
      <w:hyperlink r:id="rId59" w:history="1">
        <w:r>
          <w:rPr>
            <w:b/>
            <w:color w:val="16324F"/>
            <w:sz w:val="20"/>
            <w:szCs w:val="20"/>
          </w:rPr>
          <w:t>Planning Analytics Workspace Distributed, 2.1</w:t>
        </w:r>
      </w:hyperlink>
    </w:p>
    <w:p w14:paraId="3399FF4C" w14:textId="77777777" w:rsidR="00EB0B6B" w:rsidRDefault="00000000">
      <w:pPr>
        <w:keepNext/>
        <w:spacing w:after="40" w:line="240" w:lineRule="auto"/>
      </w:pPr>
      <w:hyperlink r:id="rId60" w:history="1">
        <w:r>
          <w:rPr>
            <w:color w:val="145EA8"/>
            <w:sz w:val="17"/>
            <w:szCs w:val="17"/>
          </w:rPr>
          <w:t>https:/​/​www.ibm.com/​docs/​en/​planning-​analytics/​2.1.0?​topic=​configuration-​planning-​analytics-​workspace-​distributed</w:t>
        </w:r>
      </w:hyperlink>
    </w:p>
    <w:p w14:paraId="35E3D1B0" w14:textId="77777777" w:rsidR="00EB0B6B" w:rsidRDefault="00000000">
      <w:pPr>
        <w:spacing w:after="80" w:line="250" w:lineRule="auto"/>
      </w:pPr>
      <w:r>
        <w:rPr>
          <w:rFonts w:eastAsia="Arial" w:cs="Arial"/>
          <w:color w:val="596C7B"/>
          <w:sz w:val="18"/>
        </w:rPr>
        <w:t>OpenShift-based Workspace deployment; separate from the ordinary Local runtime.</w:t>
      </w:r>
    </w:p>
    <w:p w14:paraId="7FF026EC" w14:textId="77777777" w:rsidR="00EB0B6B" w:rsidRDefault="00000000">
      <w:pPr>
        <w:keepNext/>
        <w:spacing w:before="100" w:after="40" w:line="252" w:lineRule="auto"/>
      </w:pPr>
      <w:bookmarkStart w:id="55" w:name="ref_23"/>
      <w:bookmarkEnd w:id="55"/>
      <w:r>
        <w:rPr>
          <w:rFonts w:eastAsia="Arial" w:cs="Arial"/>
          <w:b/>
          <w:color w:val="007D79"/>
          <w:sz w:val="20"/>
        </w:rPr>
        <w:t xml:space="preserve">[R23] </w:t>
      </w:r>
      <w:hyperlink r:id="rId61" w:history="1">
        <w:r>
          <w:rPr>
            <w:b/>
            <w:color w:val="16324F"/>
            <w:sz w:val="20"/>
            <w:szCs w:val="20"/>
          </w:rPr>
          <w:t>Install the Data Tier for 2.0.9.21 and later</w:t>
        </w:r>
      </w:hyperlink>
    </w:p>
    <w:p w14:paraId="3B1231B5" w14:textId="77777777" w:rsidR="00EB0B6B" w:rsidRDefault="00000000">
      <w:pPr>
        <w:keepNext/>
        <w:spacing w:after="40" w:line="240" w:lineRule="auto"/>
      </w:pPr>
      <w:hyperlink r:id="rId62" w:history="1">
        <w:r>
          <w:rPr>
            <w:color w:val="145EA8"/>
            <w:sz w:val="17"/>
            <w:szCs w:val="17"/>
          </w:rPr>
          <w:t>https:/​/​www.ibm.com/​docs/​en/​planning-​analytics/​2.0.0?​topic=​local-​installing-​data-​tier-​planning-​analytics-​20921-​later</w:t>
        </w:r>
      </w:hyperlink>
    </w:p>
    <w:p w14:paraId="4409BDE7" w14:textId="77777777" w:rsidR="00EB0B6B" w:rsidRDefault="00000000">
      <w:pPr>
        <w:spacing w:after="80" w:line="250" w:lineRule="auto"/>
      </w:pPr>
      <w:r>
        <w:rPr>
          <w:rFonts w:eastAsia="Arial" w:cs="Arial"/>
          <w:color w:val="596C7B"/>
          <w:sz w:val="18"/>
        </w:rPr>
        <w:t>TM1 Server, Admin Server, tools, samples and Administration agent packaging.</w:t>
      </w:r>
    </w:p>
    <w:p w14:paraId="44C715E4" w14:textId="77777777" w:rsidR="00EB0B6B" w:rsidRDefault="00000000">
      <w:pPr>
        <w:keepNext/>
        <w:spacing w:before="100" w:after="40" w:line="252" w:lineRule="auto"/>
      </w:pPr>
      <w:bookmarkStart w:id="56" w:name="ref_24"/>
      <w:bookmarkEnd w:id="56"/>
      <w:r>
        <w:rPr>
          <w:rFonts w:eastAsia="Arial" w:cs="Arial"/>
          <w:b/>
          <w:color w:val="007D79"/>
          <w:sz w:val="20"/>
        </w:rPr>
        <w:t xml:space="preserve">[R24] </w:t>
      </w:r>
      <w:hyperlink r:id="rId63" w:history="1">
        <w:r>
          <w:rPr>
            <w:b/>
            <w:color w:val="16324F"/>
            <w:sz w:val="20"/>
            <w:szCs w:val="20"/>
          </w:rPr>
          <w:t>New TM1 Server installer in Planning Analytics Local 2.0.9.21</w:t>
        </w:r>
      </w:hyperlink>
    </w:p>
    <w:p w14:paraId="249FB6E7" w14:textId="77777777" w:rsidR="00EB0B6B" w:rsidRDefault="00000000">
      <w:pPr>
        <w:keepNext/>
        <w:spacing w:after="40" w:line="240" w:lineRule="auto"/>
      </w:pPr>
      <w:hyperlink r:id="rId64" w:history="1">
        <w:r>
          <w:rPr>
            <w:color w:val="145EA8"/>
            <w:sz w:val="17"/>
            <w:szCs w:val="17"/>
          </w:rPr>
          <w:t>https:/​/​community.ibm.com/​community/​user/​blogs/​stuart-​king1/​2025/​02/​03/​new-​installation-​program-​for-​tm1-​server</w:t>
        </w:r>
      </w:hyperlink>
    </w:p>
    <w:p w14:paraId="1E38850D" w14:textId="77777777" w:rsidR="00EB0B6B" w:rsidRDefault="00000000">
      <w:pPr>
        <w:spacing w:after="80" w:line="250" w:lineRule="auto"/>
      </w:pPr>
      <w:r>
        <w:rPr>
          <w:rFonts w:eastAsia="Arial" w:cs="Arial"/>
          <w:color w:val="596C7B"/>
          <w:sz w:val="18"/>
        </w:rPr>
        <w:t>IBM product-manager explanation of installer migration and Windows service registration.</w:t>
      </w:r>
    </w:p>
    <w:p w14:paraId="795501FC" w14:textId="77777777" w:rsidR="00EB0B6B" w:rsidRDefault="00000000">
      <w:pPr>
        <w:keepNext/>
        <w:spacing w:before="100" w:after="40" w:line="252" w:lineRule="auto"/>
      </w:pPr>
      <w:bookmarkStart w:id="57" w:name="ref_25"/>
      <w:bookmarkEnd w:id="57"/>
      <w:r>
        <w:rPr>
          <w:rFonts w:eastAsia="Arial" w:cs="Arial"/>
          <w:b/>
          <w:color w:val="007D79"/>
          <w:sz w:val="20"/>
        </w:rPr>
        <w:t xml:space="preserve">[R25] </w:t>
      </w:r>
      <w:hyperlink r:id="rId65" w:history="1">
        <w:r>
          <w:rPr>
            <w:b/>
            <w:color w:val="16324F"/>
            <w:sz w:val="20"/>
            <w:szCs w:val="20"/>
          </w:rPr>
          <w:t>Planning your installation</w:t>
        </w:r>
      </w:hyperlink>
    </w:p>
    <w:p w14:paraId="4D3A1E93" w14:textId="77777777" w:rsidR="00EB0B6B" w:rsidRDefault="00000000">
      <w:pPr>
        <w:keepNext/>
        <w:spacing w:after="40" w:line="240" w:lineRule="auto"/>
      </w:pPr>
      <w:hyperlink r:id="rId66" w:history="1">
        <w:r>
          <w:rPr>
            <w:color w:val="145EA8"/>
            <w:sz w:val="17"/>
            <w:szCs w:val="17"/>
          </w:rPr>
          <w:t>https:/​/​www.ibm.com/​docs/​en/​planning-​analytics/​2.0.0?​topic=​configuration-​planning-​your-​installation</w:t>
        </w:r>
      </w:hyperlink>
    </w:p>
    <w:p w14:paraId="49B3DB52" w14:textId="77777777" w:rsidR="00EB0B6B" w:rsidRDefault="00000000">
      <w:pPr>
        <w:spacing w:after="80" w:line="250" w:lineRule="auto"/>
      </w:pPr>
      <w:r>
        <w:rPr>
          <w:rFonts w:eastAsia="Arial" w:cs="Arial"/>
          <w:color w:val="596C7B"/>
          <w:sz w:val="18"/>
        </w:rPr>
        <w:t>Installation choices and prerequisites; select your target release.</w:t>
      </w:r>
    </w:p>
    <w:p w14:paraId="13F1C48A" w14:textId="77777777" w:rsidR="00EB0B6B" w:rsidRDefault="00000000">
      <w:pPr>
        <w:keepNext/>
        <w:spacing w:before="100" w:after="40" w:line="252" w:lineRule="auto"/>
      </w:pPr>
      <w:bookmarkStart w:id="58" w:name="ref_26"/>
      <w:bookmarkEnd w:id="58"/>
      <w:r>
        <w:rPr>
          <w:rFonts w:eastAsia="Arial" w:cs="Arial"/>
          <w:b/>
          <w:color w:val="007D79"/>
          <w:sz w:val="20"/>
        </w:rPr>
        <w:t xml:space="preserve">[R26] </w:t>
      </w:r>
      <w:hyperlink r:id="rId67" w:history="1">
        <w:r>
          <w:rPr>
            <w:b/>
            <w:color w:val="16324F"/>
            <w:sz w:val="20"/>
            <w:szCs w:val="20"/>
          </w:rPr>
          <w:t>Install Workspace Local on Linux</w:t>
        </w:r>
      </w:hyperlink>
    </w:p>
    <w:p w14:paraId="3D0D9D40" w14:textId="77777777" w:rsidR="00EB0B6B" w:rsidRDefault="00000000">
      <w:pPr>
        <w:keepNext/>
        <w:spacing w:after="40" w:line="240" w:lineRule="auto"/>
      </w:pPr>
      <w:hyperlink r:id="rId68" w:history="1">
        <w:r>
          <w:rPr>
            <w:color w:val="145EA8"/>
            <w:sz w:val="17"/>
            <w:szCs w:val="17"/>
          </w:rPr>
          <w:t>https:/​/​www.ibm.com/​docs/​ro/​SSD29G_​2.0.0/​com.ibm.swg.ba.cognos.tm1_​inst.2.0.0.doc/​t_​paw_​install_​on_​linux_​sc45_​and_​later.html</w:t>
        </w:r>
      </w:hyperlink>
    </w:p>
    <w:p w14:paraId="4E568627" w14:textId="77777777" w:rsidR="00EB0B6B" w:rsidRDefault="00000000">
      <w:pPr>
        <w:spacing w:after="80" w:line="250" w:lineRule="auto"/>
      </w:pPr>
      <w:r>
        <w:rPr>
          <w:rFonts w:eastAsia="Arial" w:cs="Arial"/>
          <w:color w:val="596C7B"/>
          <w:sz w:val="18"/>
        </w:rPr>
        <w:t>Version-dependent RHEL and container-runtime procedure; use language selector if required.</w:t>
      </w:r>
    </w:p>
    <w:p w14:paraId="68656134" w14:textId="77777777" w:rsidR="00EB0B6B" w:rsidRDefault="00000000">
      <w:pPr>
        <w:keepNext/>
        <w:spacing w:before="100" w:after="40" w:line="252" w:lineRule="auto"/>
      </w:pPr>
      <w:bookmarkStart w:id="59" w:name="ref_27"/>
      <w:bookmarkEnd w:id="59"/>
      <w:r>
        <w:rPr>
          <w:rFonts w:eastAsia="Arial" w:cs="Arial"/>
          <w:b/>
          <w:color w:val="007D79"/>
          <w:sz w:val="20"/>
        </w:rPr>
        <w:t xml:space="preserve">[R27] </w:t>
      </w:r>
      <w:hyperlink r:id="rId69" w:history="1">
        <w:r>
          <w:rPr>
            <w:b/>
            <w:color w:val="16324F"/>
            <w:sz w:val="20"/>
            <w:szCs w:val="20"/>
          </w:rPr>
          <w:t>Upgrade Planning Analytics Local 2.1</w:t>
        </w:r>
      </w:hyperlink>
    </w:p>
    <w:p w14:paraId="144EFC55" w14:textId="77777777" w:rsidR="00EB0B6B" w:rsidRDefault="00000000">
      <w:pPr>
        <w:keepNext/>
        <w:spacing w:after="40" w:line="240" w:lineRule="auto"/>
      </w:pPr>
      <w:hyperlink r:id="rId70" w:history="1">
        <w:r>
          <w:rPr>
            <w:color w:val="145EA8"/>
            <w:sz w:val="17"/>
            <w:szCs w:val="17"/>
          </w:rPr>
          <w:t>https:/​/​www.ibm.com/​docs/​en/​planning-​analytics/​2.1.0?​topic=​configuration-​upgrading-​planning-​analytics-​local-​21</w:t>
        </w:r>
      </w:hyperlink>
    </w:p>
    <w:p w14:paraId="353306B2" w14:textId="77777777" w:rsidR="00EB0B6B" w:rsidRDefault="00000000">
      <w:pPr>
        <w:spacing w:after="80" w:line="250" w:lineRule="auto"/>
      </w:pPr>
      <w:r>
        <w:rPr>
          <w:rFonts w:eastAsia="Arial" w:cs="Arial"/>
          <w:color w:val="596C7B"/>
          <w:sz w:val="18"/>
        </w:rPr>
        <w:t>Release-specific upgrade sequence. Linked from IBM download notice; browser access may be required.</w:t>
      </w:r>
    </w:p>
    <w:p w14:paraId="0194AEE3" w14:textId="77777777" w:rsidR="00EB0B6B" w:rsidRDefault="00000000">
      <w:pPr>
        <w:pStyle w:val="Heading1"/>
        <w:pageBreakBefore/>
      </w:pPr>
      <w:bookmarkStart w:id="60" w:name="refs_part_04"/>
      <w:r>
        <w:rPr>
          <w:rFonts w:ascii="Arial" w:eastAsia="Arial" w:hAnsi="Arial" w:cs="Arial"/>
        </w:rPr>
        <w:t>Reference catalog - continued</w:t>
      </w:r>
      <w:bookmarkEnd w:id="60"/>
    </w:p>
    <w:p w14:paraId="4005F43C" w14:textId="77777777" w:rsidR="00EB0B6B" w:rsidRDefault="00000000">
      <w:pPr>
        <w:keepNext/>
        <w:spacing w:after="240"/>
      </w:pPr>
      <w:r>
        <w:rPr>
          <w:rFonts w:eastAsia="Arial" w:cs="Arial"/>
          <w:color w:val="007D79"/>
          <w:sz w:val="20"/>
        </w:rPr>
        <w:t>R28-R36  |  Official IBM sources and navigation links</w:t>
      </w:r>
    </w:p>
    <w:p w14:paraId="3F777D5C" w14:textId="77777777" w:rsidR="00EB0B6B" w:rsidRDefault="00000000">
      <w:pPr>
        <w:keepNext/>
        <w:spacing w:before="100" w:after="40" w:line="252" w:lineRule="auto"/>
      </w:pPr>
      <w:bookmarkStart w:id="61" w:name="ref_28"/>
      <w:bookmarkEnd w:id="61"/>
      <w:r>
        <w:rPr>
          <w:rFonts w:eastAsia="Arial" w:cs="Arial"/>
          <w:b/>
          <w:color w:val="007D79"/>
          <w:sz w:val="20"/>
        </w:rPr>
        <w:t xml:space="preserve">[R28] </w:t>
      </w:r>
      <w:hyperlink r:id="rId71" w:history="1">
        <w:r>
          <w:rPr>
            <w:b/>
            <w:color w:val="16324F"/>
            <w:sz w:val="20"/>
            <w:szCs w:val="20"/>
          </w:rPr>
          <w:t>Deprecated features in Planning Analytics Local 2.1</w:t>
        </w:r>
      </w:hyperlink>
    </w:p>
    <w:p w14:paraId="66111660" w14:textId="77777777" w:rsidR="00EB0B6B" w:rsidRDefault="00000000">
      <w:pPr>
        <w:keepNext/>
        <w:spacing w:after="40" w:line="240" w:lineRule="auto"/>
      </w:pPr>
      <w:hyperlink r:id="rId72" w:history="1">
        <w:r>
          <w:rPr>
            <w:color w:val="145EA8"/>
            <w:sz w:val="17"/>
            <w:szCs w:val="17"/>
          </w:rPr>
          <w:t>https:/​/​www.ibm.com/​docs/​en/​planning-​analytics/​2.1.0?​topic=​21-​deprecated-​features-​in-​planning-​analytics-​local</w:t>
        </w:r>
      </w:hyperlink>
    </w:p>
    <w:p w14:paraId="3894468E" w14:textId="77777777" w:rsidR="00EB0B6B" w:rsidRDefault="00000000">
      <w:pPr>
        <w:spacing w:after="80" w:line="250" w:lineRule="auto"/>
      </w:pPr>
      <w:r>
        <w:rPr>
          <w:rFonts w:eastAsia="Arial" w:cs="Arial"/>
          <w:color w:val="596C7B"/>
          <w:sz w:val="18"/>
        </w:rPr>
        <w:t>Review removed capabilities, components and platforms before migration. Linked from IBM download notice; browser access may be required.</w:t>
      </w:r>
    </w:p>
    <w:p w14:paraId="2B637BB8" w14:textId="77777777" w:rsidR="00EB0B6B" w:rsidRDefault="00000000">
      <w:pPr>
        <w:keepNext/>
        <w:spacing w:before="100" w:after="40" w:line="252" w:lineRule="auto"/>
      </w:pPr>
      <w:bookmarkStart w:id="62" w:name="ref_29"/>
      <w:bookmarkEnd w:id="62"/>
      <w:r>
        <w:rPr>
          <w:rFonts w:eastAsia="Arial" w:cs="Arial"/>
          <w:b/>
          <w:color w:val="007D79"/>
          <w:sz w:val="20"/>
        </w:rPr>
        <w:t xml:space="preserve">[R29] </w:t>
      </w:r>
      <w:hyperlink r:id="rId73" w:history="1">
        <w:r>
          <w:rPr>
            <w:b/>
            <w:color w:val="16324F"/>
            <w:sz w:val="20"/>
            <w:szCs w:val="20"/>
          </w:rPr>
          <w:t>Changes to TM1 Web deployment / Spreadsheet Services FAQ</w:t>
        </w:r>
      </w:hyperlink>
    </w:p>
    <w:p w14:paraId="228E1C49" w14:textId="77777777" w:rsidR="00EB0B6B" w:rsidRDefault="00000000">
      <w:pPr>
        <w:keepNext/>
        <w:spacing w:after="40" w:line="240" w:lineRule="auto"/>
      </w:pPr>
      <w:hyperlink r:id="rId74" w:history="1">
        <w:r>
          <w:rPr>
            <w:color w:val="145EA8"/>
            <w:sz w:val="17"/>
            <w:szCs w:val="17"/>
          </w:rPr>
          <w:t>https:/​/​www.ibm.com/​support/​pages/​node/​6223948</w:t>
        </w:r>
      </w:hyperlink>
    </w:p>
    <w:p w14:paraId="40DFD936" w14:textId="77777777" w:rsidR="00EB0B6B" w:rsidRDefault="00000000">
      <w:pPr>
        <w:spacing w:after="80" w:line="250" w:lineRule="auto"/>
      </w:pPr>
      <w:r>
        <w:rPr>
          <w:rFonts w:eastAsia="Arial" w:cs="Arial"/>
          <w:color w:val="596C7B"/>
          <w:sz w:val="18"/>
        </w:rPr>
        <w:t>Separate installer, service and installation-directory implications.</w:t>
      </w:r>
    </w:p>
    <w:p w14:paraId="669CCB66" w14:textId="77777777" w:rsidR="00EB0B6B" w:rsidRDefault="00000000">
      <w:pPr>
        <w:keepNext/>
        <w:spacing w:before="100" w:after="40" w:line="252" w:lineRule="auto"/>
      </w:pPr>
      <w:bookmarkStart w:id="63" w:name="ref_30"/>
      <w:bookmarkEnd w:id="63"/>
      <w:r>
        <w:rPr>
          <w:rFonts w:eastAsia="Arial" w:cs="Arial"/>
          <w:b/>
          <w:color w:val="007D79"/>
          <w:sz w:val="20"/>
        </w:rPr>
        <w:t xml:space="preserve">[R30] </w:t>
      </w:r>
      <w:hyperlink r:id="rId75" w:history="1">
        <w:r>
          <w:rPr>
            <w:b/>
            <w:color w:val="16324F"/>
            <w:sz w:val="20"/>
            <w:szCs w:val="20"/>
          </w:rPr>
          <w:t>Install Planning Analytics Spreadsheet Services, 2.1</w:t>
        </w:r>
      </w:hyperlink>
    </w:p>
    <w:p w14:paraId="2833FFA4" w14:textId="77777777" w:rsidR="00EB0B6B" w:rsidRDefault="00000000">
      <w:pPr>
        <w:keepNext/>
        <w:spacing w:after="40" w:line="240" w:lineRule="auto"/>
      </w:pPr>
      <w:hyperlink r:id="rId76" w:history="1">
        <w:r>
          <w:rPr>
            <w:color w:val="145EA8"/>
            <w:sz w:val="17"/>
            <w:szCs w:val="17"/>
          </w:rPr>
          <w:t>https:/​/​www.ibm.com/​docs/​en/​planning-​analytics/​2.1.0?​topic=​configuration-​installing-​planning-​analytics-​spreadsheet-​services-​tm1-​web</w:t>
        </w:r>
      </w:hyperlink>
    </w:p>
    <w:p w14:paraId="6DE30C85" w14:textId="77777777" w:rsidR="00EB0B6B" w:rsidRDefault="00000000">
      <w:pPr>
        <w:spacing w:after="80" w:line="250" w:lineRule="auto"/>
      </w:pPr>
      <w:r>
        <w:rPr>
          <w:rFonts w:eastAsia="Arial" w:cs="Arial"/>
          <w:color w:val="596C7B"/>
          <w:sz w:val="18"/>
        </w:rPr>
        <w:t>TM1 Web / Spreadsheet Services installation. Linked from IBM release instructions.</w:t>
      </w:r>
    </w:p>
    <w:p w14:paraId="3A643145" w14:textId="77777777" w:rsidR="00EB0B6B" w:rsidRDefault="00000000">
      <w:pPr>
        <w:keepNext/>
        <w:spacing w:before="100" w:after="40" w:line="252" w:lineRule="auto"/>
      </w:pPr>
      <w:bookmarkStart w:id="64" w:name="ref_31"/>
      <w:bookmarkEnd w:id="64"/>
      <w:r>
        <w:rPr>
          <w:rFonts w:eastAsia="Arial" w:cs="Arial"/>
          <w:b/>
          <w:color w:val="007D79"/>
          <w:sz w:val="20"/>
        </w:rPr>
        <w:t xml:space="preserve">[R31] </w:t>
      </w:r>
      <w:hyperlink r:id="rId77" w:history="1">
        <w:r>
          <w:rPr>
            <w:b/>
            <w:color w:val="16324F"/>
            <w:sz w:val="20"/>
            <w:szCs w:val="20"/>
          </w:rPr>
          <w:t>Planning Analytics for Microsoft Excel conformance requirements</w:t>
        </w:r>
      </w:hyperlink>
    </w:p>
    <w:p w14:paraId="30C2EDB9" w14:textId="77777777" w:rsidR="00EB0B6B" w:rsidRDefault="00000000">
      <w:pPr>
        <w:keepNext/>
        <w:spacing w:after="40" w:line="240" w:lineRule="auto"/>
      </w:pPr>
      <w:hyperlink r:id="rId78" w:history="1">
        <w:r>
          <w:rPr>
            <w:color w:val="145EA8"/>
            <w:sz w:val="17"/>
            <w:szCs w:val="17"/>
          </w:rPr>
          <w:t>https:/​/​www.ibm.com/​support/​pages/​ibm-​planning-​analytics-​microsoft-​excel-​conformance-​requirements</w:t>
        </w:r>
      </w:hyperlink>
    </w:p>
    <w:p w14:paraId="41269AE3" w14:textId="77777777" w:rsidR="00EB0B6B" w:rsidRDefault="00000000">
      <w:pPr>
        <w:spacing w:after="80" w:line="250" w:lineRule="auto"/>
      </w:pPr>
      <w:r>
        <w:rPr>
          <w:rFonts w:eastAsia="Arial" w:cs="Arial"/>
          <w:color w:val="596C7B"/>
          <w:sz w:val="18"/>
        </w:rPr>
        <w:t>Validate Excel, server and Spreadsheet Services compatibility. IBM support reference; verify selected build.</w:t>
      </w:r>
    </w:p>
    <w:p w14:paraId="0110D7A7" w14:textId="77777777" w:rsidR="00EB0B6B" w:rsidRDefault="00000000">
      <w:pPr>
        <w:keepNext/>
        <w:spacing w:before="100" w:after="40" w:line="252" w:lineRule="auto"/>
      </w:pPr>
      <w:bookmarkStart w:id="65" w:name="ref_32"/>
      <w:bookmarkEnd w:id="65"/>
      <w:r>
        <w:rPr>
          <w:rFonts w:eastAsia="Arial" w:cs="Arial"/>
          <w:b/>
          <w:color w:val="007D79"/>
          <w:sz w:val="20"/>
        </w:rPr>
        <w:t xml:space="preserve">[R32] </w:t>
      </w:r>
      <w:hyperlink r:id="rId79" w:history="1">
        <w:r>
          <w:rPr>
            <w:b/>
            <w:color w:val="16324F"/>
            <w:sz w:val="20"/>
            <w:szCs w:val="20"/>
          </w:rPr>
          <w:t>Download and upgrade the single-XLL Excel add-in</w:t>
        </w:r>
      </w:hyperlink>
    </w:p>
    <w:p w14:paraId="7E2DC555" w14:textId="77777777" w:rsidR="00EB0B6B" w:rsidRDefault="00000000">
      <w:pPr>
        <w:keepNext/>
        <w:spacing w:after="40" w:line="240" w:lineRule="auto"/>
      </w:pPr>
      <w:hyperlink r:id="rId80" w:history="1">
        <w:r>
          <w:rPr>
            <w:color w:val="145EA8"/>
            <w:sz w:val="17"/>
            <w:szCs w:val="17"/>
          </w:rPr>
          <w:t>https:/​/​www.ibm.com/​docs/​en/​paww/​2.0.0?​topic=​icpame-​downloading-​upgrading-​planning-​analytics-​microsoft-​excel-​single-​xll-​add-​in-​versions-​2065-​later</w:t>
        </w:r>
      </w:hyperlink>
    </w:p>
    <w:p w14:paraId="3CF83967" w14:textId="77777777" w:rsidR="00EB0B6B" w:rsidRDefault="00000000">
      <w:pPr>
        <w:spacing w:after="80" w:line="250" w:lineRule="auto"/>
      </w:pPr>
      <w:r>
        <w:rPr>
          <w:rFonts w:eastAsia="Arial" w:cs="Arial"/>
          <w:color w:val="596C7B"/>
          <w:sz w:val="18"/>
        </w:rPr>
        <w:t>IBM-linked single-XLL installation guidance for PAfE. Linked by IBM onboarding checklist.</w:t>
      </w:r>
    </w:p>
    <w:p w14:paraId="19BEFC9C" w14:textId="77777777" w:rsidR="00EB0B6B" w:rsidRDefault="00000000">
      <w:pPr>
        <w:keepNext/>
        <w:spacing w:before="100" w:after="40" w:line="252" w:lineRule="auto"/>
      </w:pPr>
      <w:bookmarkStart w:id="66" w:name="ref_33"/>
      <w:bookmarkEnd w:id="66"/>
      <w:r>
        <w:rPr>
          <w:rFonts w:eastAsia="Arial" w:cs="Arial"/>
          <w:b/>
          <w:color w:val="007D79"/>
          <w:sz w:val="20"/>
        </w:rPr>
        <w:t xml:space="preserve">[R33] </w:t>
      </w:r>
      <w:hyperlink r:id="rId81" w:history="1">
        <w:r>
          <w:rPr>
            <w:b/>
            <w:color w:val="16324F"/>
            <w:sz w:val="20"/>
            <w:szCs w:val="20"/>
          </w:rPr>
          <w:t>Planning Analytics for Microsoft Excel - installation tasks</w:t>
        </w:r>
      </w:hyperlink>
    </w:p>
    <w:p w14:paraId="4EEDBE7E" w14:textId="77777777" w:rsidR="00EB0B6B" w:rsidRDefault="00000000">
      <w:pPr>
        <w:keepNext/>
        <w:spacing w:after="40" w:line="240" w:lineRule="auto"/>
      </w:pPr>
      <w:hyperlink r:id="rId82" w:history="1">
        <w:r>
          <w:rPr>
            <w:color w:val="145EA8"/>
            <w:sz w:val="17"/>
            <w:szCs w:val="17"/>
          </w:rPr>
          <w:t>https:/​/​www.ibm.com/​docs/​en/​planning-​analytics/​2.0.0?​topic=​excel-​installation-​tasks</w:t>
        </w:r>
      </w:hyperlink>
    </w:p>
    <w:p w14:paraId="11B1CF1A" w14:textId="77777777" w:rsidR="00EB0B6B" w:rsidRDefault="00000000">
      <w:pPr>
        <w:spacing w:after="80" w:line="250" w:lineRule="auto"/>
      </w:pPr>
      <w:r>
        <w:rPr>
          <w:rFonts w:eastAsia="Arial" w:cs="Arial"/>
          <w:color w:val="596C7B"/>
          <w:sz w:val="18"/>
        </w:rPr>
        <w:t>Entry point to single .xll add-in setup.</w:t>
      </w:r>
    </w:p>
    <w:p w14:paraId="6D62DE6D" w14:textId="77777777" w:rsidR="00EB0B6B" w:rsidRDefault="00000000">
      <w:pPr>
        <w:keepNext/>
        <w:spacing w:before="100" w:after="40" w:line="252" w:lineRule="auto"/>
      </w:pPr>
      <w:bookmarkStart w:id="67" w:name="ref_34"/>
      <w:bookmarkEnd w:id="67"/>
      <w:r>
        <w:rPr>
          <w:rFonts w:eastAsia="Arial" w:cs="Arial"/>
          <w:b/>
          <w:color w:val="007D79"/>
          <w:sz w:val="20"/>
        </w:rPr>
        <w:t xml:space="preserve">[R34] </w:t>
      </w:r>
      <w:hyperlink r:id="rId83" w:history="1">
        <w:r>
          <w:rPr>
            <w:b/>
            <w:color w:val="16324F"/>
            <w:sz w:val="20"/>
            <w:szCs w:val="20"/>
          </w:rPr>
          <w:t>Install and configure the Planning Analytics Administration agent</w:t>
        </w:r>
      </w:hyperlink>
    </w:p>
    <w:p w14:paraId="04FBEE77" w14:textId="77777777" w:rsidR="00EB0B6B" w:rsidRDefault="00000000">
      <w:pPr>
        <w:keepNext/>
        <w:spacing w:after="40" w:line="240" w:lineRule="auto"/>
      </w:pPr>
      <w:hyperlink r:id="rId84" w:history="1">
        <w:r>
          <w:rPr>
            <w:color w:val="145EA8"/>
            <w:sz w:val="17"/>
            <w:szCs w:val="17"/>
          </w:rPr>
          <w:t>https:/​/​www.ibm.com/​docs/​en/​planning-​analytics/​2.1.0?​topic=​mad-​install-​configure-​planning-​analytics-​administration-​agent-​local-​only</w:t>
        </w:r>
      </w:hyperlink>
    </w:p>
    <w:p w14:paraId="4FF8103D" w14:textId="77777777" w:rsidR="00EB0B6B" w:rsidRDefault="00000000">
      <w:pPr>
        <w:spacing w:after="80" w:line="250" w:lineRule="auto"/>
      </w:pPr>
      <w:r>
        <w:rPr>
          <w:rFonts w:eastAsia="Arial" w:cs="Arial"/>
          <w:color w:val="596C7B"/>
          <w:sz w:val="18"/>
        </w:rPr>
        <w:t>Local agent placement and configuration. Linked from IBM download instructions.</w:t>
      </w:r>
    </w:p>
    <w:p w14:paraId="7A93D929" w14:textId="77777777" w:rsidR="00EB0B6B" w:rsidRDefault="00000000">
      <w:pPr>
        <w:keepNext/>
        <w:spacing w:before="100" w:after="40" w:line="252" w:lineRule="auto"/>
      </w:pPr>
      <w:bookmarkStart w:id="68" w:name="ref_35"/>
      <w:bookmarkEnd w:id="68"/>
      <w:r>
        <w:rPr>
          <w:rFonts w:eastAsia="Arial" w:cs="Arial"/>
          <w:b/>
          <w:color w:val="007D79"/>
          <w:sz w:val="20"/>
        </w:rPr>
        <w:t xml:space="preserve">[R35] </w:t>
      </w:r>
      <w:hyperlink r:id="rId85" w:history="1">
        <w:r>
          <w:rPr>
            <w:b/>
            <w:color w:val="16324F"/>
            <w:sz w:val="20"/>
            <w:szCs w:val="20"/>
          </w:rPr>
          <w:t>Monitor and administer Local databases with Planning Analytics Administration</w:t>
        </w:r>
      </w:hyperlink>
    </w:p>
    <w:p w14:paraId="14FEF468" w14:textId="77777777" w:rsidR="00EB0B6B" w:rsidRDefault="00000000">
      <w:pPr>
        <w:keepNext/>
        <w:spacing w:after="40" w:line="240" w:lineRule="auto"/>
      </w:pPr>
      <w:hyperlink r:id="rId86" w:history="1">
        <w:r>
          <w:rPr>
            <w:color w:val="145EA8"/>
            <w:sz w:val="17"/>
            <w:szCs w:val="17"/>
          </w:rPr>
          <w:t>https:/​/​www.ibm.com/​docs/​SSD29G_​2.0.0/​com.ibm.swg.ba.cognos.tm1_​nfg.2.0.0.doc/​c_​paw_​nf_​paa_​local.html</w:t>
        </w:r>
      </w:hyperlink>
    </w:p>
    <w:p w14:paraId="13F2ECA9" w14:textId="77777777" w:rsidR="00EB0B6B" w:rsidRDefault="00000000">
      <w:pPr>
        <w:spacing w:after="80" w:line="250" w:lineRule="auto"/>
      </w:pPr>
      <w:r>
        <w:rPr>
          <w:rFonts w:eastAsia="Arial" w:cs="Arial"/>
          <w:color w:val="596C7B"/>
          <w:sz w:val="18"/>
        </w:rPr>
        <w:t>Agent functions, logs, alerts and database administration; historical feature introduction.</w:t>
      </w:r>
    </w:p>
    <w:p w14:paraId="696DCFAE" w14:textId="77777777" w:rsidR="00EB0B6B" w:rsidRDefault="00000000">
      <w:pPr>
        <w:keepNext/>
        <w:spacing w:before="100" w:after="40" w:line="252" w:lineRule="auto"/>
      </w:pPr>
      <w:bookmarkStart w:id="69" w:name="ref_36"/>
      <w:bookmarkEnd w:id="69"/>
      <w:r>
        <w:rPr>
          <w:rFonts w:eastAsia="Arial" w:cs="Arial"/>
          <w:b/>
          <w:color w:val="007D79"/>
          <w:sz w:val="20"/>
        </w:rPr>
        <w:t xml:space="preserve">[R36] </w:t>
      </w:r>
      <w:hyperlink r:id="rId87" w:history="1">
        <w:r>
          <w:rPr>
            <w:b/>
            <w:color w:val="16324F"/>
            <w:sz w:val="20"/>
            <w:szCs w:val="20"/>
          </w:rPr>
          <w:t>TM1 REST API documentation</w:t>
        </w:r>
      </w:hyperlink>
    </w:p>
    <w:p w14:paraId="34C54092" w14:textId="77777777" w:rsidR="00EB0B6B" w:rsidRDefault="00000000">
      <w:pPr>
        <w:keepNext/>
        <w:spacing w:after="40" w:line="240" w:lineRule="auto"/>
      </w:pPr>
      <w:hyperlink r:id="rId88" w:history="1">
        <w:r>
          <w:rPr>
            <w:color w:val="145EA8"/>
            <w:sz w:val="17"/>
            <w:szCs w:val="17"/>
          </w:rPr>
          <w:t>https:/​/​www.ibm.com/​docs/​SSD29G_​2.0.0/​com.ibm.swg.ba.cognos.tm1_​rest_​api.2.0.0.doc/​tm1_​rest_​api.html</w:t>
        </w:r>
      </w:hyperlink>
    </w:p>
    <w:p w14:paraId="0E4AEC45" w14:textId="77777777" w:rsidR="00EB0B6B" w:rsidRDefault="00000000">
      <w:pPr>
        <w:spacing w:after="80" w:line="250" w:lineRule="auto"/>
      </w:pPr>
      <w:r>
        <w:rPr>
          <w:rFonts w:eastAsia="Arial" w:cs="Arial"/>
          <w:color w:val="596C7B"/>
          <w:sz w:val="18"/>
        </w:rPr>
        <w:t>REST concepts, configuration and API navigation. IBM Docs; browser access may be required.</w:t>
      </w:r>
    </w:p>
    <w:p w14:paraId="6B56D4A0" w14:textId="77777777" w:rsidR="00EB0B6B" w:rsidRDefault="00000000">
      <w:pPr>
        <w:pStyle w:val="Heading1"/>
        <w:pageBreakBefore/>
      </w:pPr>
      <w:bookmarkStart w:id="70" w:name="refs_part_05"/>
      <w:r>
        <w:rPr>
          <w:rFonts w:ascii="Arial" w:eastAsia="Arial" w:hAnsi="Arial" w:cs="Arial"/>
        </w:rPr>
        <w:t>Reference catalog - continued</w:t>
      </w:r>
      <w:bookmarkEnd w:id="70"/>
    </w:p>
    <w:p w14:paraId="7D27FBDA" w14:textId="77777777" w:rsidR="00EB0B6B" w:rsidRDefault="00000000">
      <w:pPr>
        <w:keepNext/>
        <w:spacing w:after="240"/>
      </w:pPr>
      <w:r>
        <w:rPr>
          <w:rFonts w:eastAsia="Arial" w:cs="Arial"/>
          <w:color w:val="007D79"/>
          <w:sz w:val="20"/>
        </w:rPr>
        <w:t>R37-R45  |  Official IBM sources and navigation links</w:t>
      </w:r>
    </w:p>
    <w:p w14:paraId="01F5D29C" w14:textId="77777777" w:rsidR="00EB0B6B" w:rsidRDefault="00000000">
      <w:pPr>
        <w:keepNext/>
        <w:spacing w:before="100" w:after="40" w:line="252" w:lineRule="auto"/>
      </w:pPr>
      <w:bookmarkStart w:id="71" w:name="ref_37"/>
      <w:bookmarkEnd w:id="71"/>
      <w:r>
        <w:rPr>
          <w:rFonts w:eastAsia="Arial" w:cs="Arial"/>
          <w:b/>
          <w:color w:val="007D79"/>
          <w:sz w:val="20"/>
        </w:rPr>
        <w:t xml:space="preserve">[R37] </w:t>
      </w:r>
      <w:hyperlink r:id="rId89" w:history="1">
        <w:r>
          <w:rPr>
            <w:b/>
            <w:color w:val="16324F"/>
            <w:sz w:val="20"/>
            <w:szCs w:val="20"/>
          </w:rPr>
          <w:t>TM1 REST API metadata reference</w:t>
        </w:r>
      </w:hyperlink>
    </w:p>
    <w:p w14:paraId="4E9D5A40" w14:textId="77777777" w:rsidR="00EB0B6B" w:rsidRDefault="00000000">
      <w:pPr>
        <w:keepNext/>
        <w:spacing w:after="40" w:line="240" w:lineRule="auto"/>
      </w:pPr>
      <w:hyperlink r:id="rId90" w:history="1">
        <w:r>
          <w:rPr>
            <w:color w:val="145EA8"/>
            <w:sz w:val="17"/>
            <w:szCs w:val="17"/>
          </w:rPr>
          <w:t>https:/​/​www.ibm.com/​docs/​en/​planning-​analytics/​2.0.0?​topic=​api-​metadata</w:t>
        </w:r>
      </w:hyperlink>
    </w:p>
    <w:p w14:paraId="059C3035" w14:textId="77777777" w:rsidR="00EB0B6B" w:rsidRDefault="00000000">
      <w:pPr>
        <w:spacing w:after="80" w:line="250" w:lineRule="auto"/>
      </w:pPr>
      <w:r>
        <w:rPr>
          <w:rFonts w:eastAsia="Arial" w:cs="Arial"/>
          <w:color w:val="596C7B"/>
          <w:sz w:val="18"/>
        </w:rPr>
        <w:t>Entity types, operations and configuration properties.</w:t>
      </w:r>
    </w:p>
    <w:p w14:paraId="53F21B66" w14:textId="77777777" w:rsidR="00EB0B6B" w:rsidRDefault="00000000">
      <w:pPr>
        <w:keepNext/>
        <w:spacing w:before="100" w:after="40" w:line="252" w:lineRule="auto"/>
      </w:pPr>
      <w:bookmarkStart w:id="72" w:name="ref_38"/>
      <w:bookmarkEnd w:id="72"/>
      <w:r>
        <w:rPr>
          <w:rFonts w:eastAsia="Arial" w:cs="Arial"/>
          <w:b/>
          <w:color w:val="007D79"/>
          <w:sz w:val="20"/>
        </w:rPr>
        <w:t xml:space="preserve">[R38] </w:t>
      </w:r>
      <w:hyperlink r:id="rId91" w:history="1">
        <w:r>
          <w:rPr>
            <w:b/>
            <w:color w:val="16324F"/>
            <w:sz w:val="20"/>
            <w:szCs w:val="20"/>
          </w:rPr>
          <w:t>TM1 REST API installation and configuration</w:t>
        </w:r>
      </w:hyperlink>
    </w:p>
    <w:p w14:paraId="0A11F019" w14:textId="77777777" w:rsidR="00EB0B6B" w:rsidRDefault="00000000">
      <w:pPr>
        <w:keepNext/>
        <w:spacing w:after="40" w:line="240" w:lineRule="auto"/>
      </w:pPr>
      <w:hyperlink r:id="rId92" w:history="1">
        <w:r>
          <w:rPr>
            <w:color w:val="145EA8"/>
            <w:sz w:val="17"/>
            <w:szCs w:val="17"/>
          </w:rPr>
          <w:t>https:/​/​www.ibm.com/​docs/​en/​planning-​analytics/​2.0.0?​topic=​api-​installation-​configuration</w:t>
        </w:r>
      </w:hyperlink>
    </w:p>
    <w:p w14:paraId="6D34B2F7" w14:textId="77777777" w:rsidR="00EB0B6B" w:rsidRDefault="00000000">
      <w:pPr>
        <w:spacing w:after="80" w:line="250" w:lineRule="auto"/>
      </w:pPr>
      <w:r>
        <w:rPr>
          <w:rFonts w:eastAsia="Arial" w:cs="Arial"/>
          <w:color w:val="596C7B"/>
          <w:sz w:val="18"/>
        </w:rPr>
        <w:t>HTTPPortNumber, TLS and service metadata validation. IBM Docs; related localized topic reviewed.</w:t>
      </w:r>
    </w:p>
    <w:p w14:paraId="19C29D4D" w14:textId="77777777" w:rsidR="00EB0B6B" w:rsidRDefault="00000000">
      <w:pPr>
        <w:keepNext/>
        <w:spacing w:before="100" w:after="40" w:line="252" w:lineRule="auto"/>
      </w:pPr>
      <w:bookmarkStart w:id="73" w:name="ref_39"/>
      <w:bookmarkEnd w:id="73"/>
      <w:r>
        <w:rPr>
          <w:rFonts w:eastAsia="Arial" w:cs="Arial"/>
          <w:b/>
          <w:color w:val="007D79"/>
          <w:sz w:val="20"/>
        </w:rPr>
        <w:t xml:space="preserve">[R39] </w:t>
      </w:r>
      <w:hyperlink r:id="rId93" w:history="1">
        <w:r>
          <w:rPr>
            <w:b/>
            <w:color w:val="16324F"/>
            <w:sz w:val="20"/>
            <w:szCs w:val="20"/>
          </w:rPr>
          <w:t>TM1 REST API - cubes and native views</w:t>
        </w:r>
      </w:hyperlink>
    </w:p>
    <w:p w14:paraId="5A195848" w14:textId="77777777" w:rsidR="00EB0B6B" w:rsidRDefault="00000000">
      <w:pPr>
        <w:keepNext/>
        <w:spacing w:after="40" w:line="240" w:lineRule="auto"/>
      </w:pPr>
      <w:hyperlink r:id="rId94" w:history="1">
        <w:r>
          <w:rPr>
            <w:color w:val="145EA8"/>
            <w:sz w:val="17"/>
            <w:szCs w:val="17"/>
          </w:rPr>
          <w:t>https:/​/​www.ibm.com/​docs/​SSD29G_​2.0.0/​com.ibm.swg.ba.cognos.tm1_​rest_​api.2.0.0.doc/​t_​tm1_​rest_​api_​cubes_​and_​native_​views.html</w:t>
        </w:r>
      </w:hyperlink>
    </w:p>
    <w:p w14:paraId="195C9CAC" w14:textId="77777777" w:rsidR="00EB0B6B" w:rsidRDefault="00000000">
      <w:pPr>
        <w:spacing w:after="80" w:line="250" w:lineRule="auto"/>
      </w:pPr>
      <w:r>
        <w:rPr>
          <w:rFonts w:eastAsia="Arial" w:cs="Arial"/>
          <w:color w:val="596C7B"/>
          <w:sz w:val="18"/>
        </w:rPr>
        <w:t>REST model-object access and cube/view operations.</w:t>
      </w:r>
    </w:p>
    <w:p w14:paraId="10F33626" w14:textId="77777777" w:rsidR="00EB0B6B" w:rsidRDefault="00000000">
      <w:pPr>
        <w:keepNext/>
        <w:spacing w:before="100" w:after="40" w:line="252" w:lineRule="auto"/>
      </w:pPr>
      <w:bookmarkStart w:id="74" w:name="ref_40"/>
      <w:bookmarkEnd w:id="74"/>
      <w:r>
        <w:rPr>
          <w:rFonts w:eastAsia="Arial" w:cs="Arial"/>
          <w:b/>
          <w:color w:val="007D79"/>
          <w:sz w:val="20"/>
        </w:rPr>
        <w:t xml:space="preserve">[R40] </w:t>
      </w:r>
      <w:hyperlink r:id="rId95" w:history="1">
        <w:r>
          <w:rPr>
            <w:b/>
            <w:color w:val="16324F"/>
            <w:sz w:val="20"/>
            <w:szCs w:val="20"/>
          </w:rPr>
          <w:t>TurboIntegrator - editing procedures</w:t>
        </w:r>
      </w:hyperlink>
    </w:p>
    <w:p w14:paraId="5D71041A" w14:textId="77777777" w:rsidR="00EB0B6B" w:rsidRDefault="00000000">
      <w:pPr>
        <w:keepNext/>
        <w:spacing w:after="40" w:line="240" w:lineRule="auto"/>
      </w:pPr>
      <w:hyperlink r:id="rId96" w:history="1">
        <w:r>
          <w:rPr>
            <w:color w:val="145EA8"/>
            <w:sz w:val="17"/>
            <w:szCs w:val="17"/>
          </w:rPr>
          <w:t>https:/​/​www.ibm.com/​docs/​SSD29G_​2.0.0/​com.ibm.swg.ba.cognos.tm1_​turb.2.0.0.doc/​t_​tm1_​turbo_​editing_​procedures.html</w:t>
        </w:r>
      </w:hyperlink>
    </w:p>
    <w:p w14:paraId="53B75168" w14:textId="77777777" w:rsidR="00EB0B6B" w:rsidRDefault="00000000">
      <w:pPr>
        <w:spacing w:after="80" w:line="250" w:lineRule="auto"/>
      </w:pPr>
      <w:r>
        <w:rPr>
          <w:rFonts w:eastAsia="Arial" w:cs="Arial"/>
          <w:color w:val="596C7B"/>
          <w:sz w:val="18"/>
        </w:rPr>
        <w:t>Prolog, Metadata, Data and Epilog roles.</w:t>
      </w:r>
    </w:p>
    <w:p w14:paraId="3ABAD534" w14:textId="77777777" w:rsidR="00EB0B6B" w:rsidRDefault="00000000">
      <w:pPr>
        <w:keepNext/>
        <w:spacing w:before="100" w:after="40" w:line="252" w:lineRule="auto"/>
      </w:pPr>
      <w:bookmarkStart w:id="75" w:name="ref_41"/>
      <w:bookmarkEnd w:id="75"/>
      <w:r>
        <w:rPr>
          <w:rFonts w:eastAsia="Arial" w:cs="Arial"/>
          <w:b/>
          <w:color w:val="007D79"/>
          <w:sz w:val="20"/>
        </w:rPr>
        <w:t xml:space="preserve">[R41] </w:t>
      </w:r>
      <w:hyperlink r:id="rId97" w:history="1">
        <w:r>
          <w:rPr>
            <w:b/>
            <w:color w:val="16324F"/>
            <w:sz w:val="20"/>
            <w:szCs w:val="20"/>
          </w:rPr>
          <w:t>FEEDERS rules function</w:t>
        </w:r>
      </w:hyperlink>
    </w:p>
    <w:p w14:paraId="2C91FE3D" w14:textId="77777777" w:rsidR="00EB0B6B" w:rsidRDefault="00000000">
      <w:pPr>
        <w:keepNext/>
        <w:spacing w:after="40" w:line="240" w:lineRule="auto"/>
      </w:pPr>
      <w:hyperlink r:id="rId98" w:history="1">
        <w:r>
          <w:rPr>
            <w:color w:val="145EA8"/>
            <w:sz w:val="17"/>
            <w:szCs w:val="17"/>
          </w:rPr>
          <w:t>https:/​/​www.ibm.com/​docs/​en/​planning-​analytics/​2.0.0?​topic=​functions-​feeders</w:t>
        </w:r>
      </w:hyperlink>
    </w:p>
    <w:p w14:paraId="77D33589" w14:textId="77777777" w:rsidR="00EB0B6B" w:rsidRDefault="00000000">
      <w:pPr>
        <w:spacing w:after="80" w:line="250" w:lineRule="auto"/>
      </w:pPr>
      <w:r>
        <w:rPr>
          <w:rFonts w:eastAsia="Arial" w:cs="Arial"/>
          <w:color w:val="596C7B"/>
          <w:sz w:val="18"/>
        </w:rPr>
        <w:t>Feeder section and sparse-consolidation rules.</w:t>
      </w:r>
    </w:p>
    <w:p w14:paraId="7CB9BEA1" w14:textId="77777777" w:rsidR="00EB0B6B" w:rsidRDefault="00000000">
      <w:pPr>
        <w:keepNext/>
        <w:spacing w:before="100" w:after="40" w:line="252" w:lineRule="auto"/>
      </w:pPr>
      <w:bookmarkStart w:id="76" w:name="ref_42"/>
      <w:bookmarkEnd w:id="76"/>
      <w:r>
        <w:rPr>
          <w:rFonts w:eastAsia="Arial" w:cs="Arial"/>
          <w:b/>
          <w:color w:val="007D79"/>
          <w:sz w:val="20"/>
        </w:rPr>
        <w:t xml:space="preserve">[R42] </w:t>
      </w:r>
      <w:hyperlink r:id="rId99" w:history="1">
        <w:r>
          <w:rPr>
            <w:b/>
            <w:color w:val="16324F"/>
            <w:sz w:val="20"/>
            <w:szCs w:val="20"/>
          </w:rPr>
          <w:t>Planning Analytics for Excel - sandboxes</w:t>
        </w:r>
      </w:hyperlink>
    </w:p>
    <w:p w14:paraId="7CD31C0C" w14:textId="77777777" w:rsidR="00EB0B6B" w:rsidRDefault="00000000">
      <w:pPr>
        <w:keepNext/>
        <w:spacing w:after="40" w:line="240" w:lineRule="auto"/>
      </w:pPr>
      <w:hyperlink r:id="rId100" w:history="1">
        <w:r>
          <w:rPr>
            <w:color w:val="145EA8"/>
            <w:sz w:val="17"/>
            <w:szCs w:val="17"/>
          </w:rPr>
          <w:t>https:/​/​www.ibm.com/​docs/​SSD29G_​2.0.0/​com.ibm.swg.ba.cognos.ug_​cxr.2.0.0.doc/​t_​cxr_​cubev_​sandboxes.html</w:t>
        </w:r>
      </w:hyperlink>
    </w:p>
    <w:p w14:paraId="49E7F869" w14:textId="77777777" w:rsidR="00EB0B6B" w:rsidRDefault="00000000">
      <w:pPr>
        <w:spacing w:after="80" w:line="250" w:lineRule="auto"/>
      </w:pPr>
      <w:r>
        <w:rPr>
          <w:rFonts w:eastAsia="Arial" w:cs="Arial"/>
          <w:color w:val="596C7B"/>
          <w:sz w:val="18"/>
        </w:rPr>
        <w:t>Private what-if analysis and deliberate commit to base data.</w:t>
      </w:r>
    </w:p>
    <w:p w14:paraId="6331BE51" w14:textId="77777777" w:rsidR="00EB0B6B" w:rsidRDefault="00000000">
      <w:pPr>
        <w:keepNext/>
        <w:spacing w:before="100" w:after="40" w:line="252" w:lineRule="auto"/>
      </w:pPr>
      <w:bookmarkStart w:id="77" w:name="ref_43"/>
      <w:bookmarkEnd w:id="77"/>
      <w:r>
        <w:rPr>
          <w:rFonts w:eastAsia="Arial" w:cs="Arial"/>
          <w:b/>
          <w:color w:val="007D79"/>
          <w:sz w:val="20"/>
        </w:rPr>
        <w:t xml:space="preserve">[R43] </w:t>
      </w:r>
      <w:hyperlink r:id="rId101" w:history="1">
        <w:r>
          <w:rPr>
            <w:b/>
            <w:color w:val="16324F"/>
            <w:sz w:val="20"/>
            <w:szCs w:val="20"/>
          </w:rPr>
          <w:t>Securing dimensions and hierarchies</w:t>
        </w:r>
      </w:hyperlink>
    </w:p>
    <w:p w14:paraId="065F1208" w14:textId="77777777" w:rsidR="00EB0B6B" w:rsidRDefault="00000000">
      <w:pPr>
        <w:keepNext/>
        <w:spacing w:after="40" w:line="240" w:lineRule="auto"/>
      </w:pPr>
      <w:hyperlink r:id="rId102" w:history="1">
        <w:r>
          <w:rPr>
            <w:color w:val="145EA8"/>
            <w:sz w:val="17"/>
            <w:szCs w:val="17"/>
          </w:rPr>
          <w:t>https:/​/​www.ibm.com/​docs/​SSD29G_​2.0.0/​com.ibm.swg.ba.cognos.tm1_​dg_​dvlpr.2.0.0.doc/​t_​tm1_​dev_​acc_​securing_​dimensions.html</w:t>
        </w:r>
      </w:hyperlink>
    </w:p>
    <w:p w14:paraId="08435FE7" w14:textId="77777777" w:rsidR="00EB0B6B" w:rsidRDefault="00000000">
      <w:pPr>
        <w:spacing w:after="80" w:line="250" w:lineRule="auto"/>
      </w:pPr>
      <w:r>
        <w:rPr>
          <w:rFonts w:eastAsia="Arial" w:cs="Arial"/>
          <w:color w:val="596C7B"/>
          <w:sz w:val="18"/>
        </w:rPr>
        <w:t>Hierarchy security is independent of parent-dimension security in relevant releases.</w:t>
      </w:r>
    </w:p>
    <w:p w14:paraId="1BC2CDBA" w14:textId="77777777" w:rsidR="00EB0B6B" w:rsidRDefault="00000000">
      <w:pPr>
        <w:keepNext/>
        <w:spacing w:before="100" w:after="40" w:line="252" w:lineRule="auto"/>
      </w:pPr>
      <w:bookmarkStart w:id="78" w:name="ref_44"/>
      <w:bookmarkEnd w:id="78"/>
      <w:r>
        <w:rPr>
          <w:rFonts w:eastAsia="Arial" w:cs="Arial"/>
          <w:b/>
          <w:color w:val="007D79"/>
          <w:sz w:val="20"/>
        </w:rPr>
        <w:t xml:space="preserve">[R44] </w:t>
      </w:r>
      <w:hyperlink r:id="rId103" w:history="1">
        <w:r>
          <w:rPr>
            <w:b/>
            <w:color w:val="16324F"/>
            <w:sz w:val="20"/>
            <w:szCs w:val="20"/>
          </w:rPr>
          <w:t>TM1 security concepts</w:t>
        </w:r>
      </w:hyperlink>
    </w:p>
    <w:p w14:paraId="1B5B23E0" w14:textId="77777777" w:rsidR="00EB0B6B" w:rsidRDefault="00000000">
      <w:pPr>
        <w:keepNext/>
        <w:spacing w:after="40" w:line="240" w:lineRule="auto"/>
      </w:pPr>
      <w:hyperlink r:id="rId104" w:history="1">
        <w:r>
          <w:rPr>
            <w:color w:val="145EA8"/>
            <w:sz w:val="17"/>
            <w:szCs w:val="17"/>
          </w:rPr>
          <w:t>https:/​/​www.ibm.com/​docs/​en/​planning-​analytics/​2.0.0?​topic=​concepts-​security</w:t>
        </w:r>
      </w:hyperlink>
    </w:p>
    <w:p w14:paraId="127C10E9" w14:textId="77777777" w:rsidR="00EB0B6B" w:rsidRDefault="00000000">
      <w:pPr>
        <w:spacing w:after="80" w:line="250" w:lineRule="auto"/>
      </w:pPr>
      <w:r>
        <w:rPr>
          <w:rFonts w:eastAsia="Arial" w:cs="Arial"/>
          <w:color w:val="596C7B"/>
          <w:sz w:val="18"/>
        </w:rPr>
        <w:t>Clients, groups and object-level authorization.</w:t>
      </w:r>
    </w:p>
    <w:p w14:paraId="3CA16787" w14:textId="77777777" w:rsidR="00EB0B6B" w:rsidRDefault="00000000">
      <w:pPr>
        <w:keepNext/>
        <w:spacing w:before="100" w:after="40" w:line="252" w:lineRule="auto"/>
      </w:pPr>
      <w:bookmarkStart w:id="79" w:name="ref_45"/>
      <w:bookmarkEnd w:id="79"/>
      <w:r>
        <w:rPr>
          <w:rFonts w:eastAsia="Arial" w:cs="Arial"/>
          <w:b/>
          <w:color w:val="007D79"/>
          <w:sz w:val="20"/>
        </w:rPr>
        <w:t xml:space="preserve">[R45] </w:t>
      </w:r>
      <w:hyperlink r:id="rId105" w:history="1">
        <w:r>
          <w:rPr>
            <w:b/>
            <w:color w:val="16324F"/>
            <w:sz w:val="20"/>
            <w:szCs w:val="20"/>
          </w:rPr>
          <w:t>Allow processes to modify security data</w:t>
        </w:r>
      </w:hyperlink>
    </w:p>
    <w:p w14:paraId="170D7851" w14:textId="77777777" w:rsidR="00EB0B6B" w:rsidRDefault="00000000">
      <w:pPr>
        <w:keepNext/>
        <w:spacing w:after="40" w:line="240" w:lineRule="auto"/>
      </w:pPr>
      <w:hyperlink r:id="rId106" w:history="1">
        <w:r>
          <w:rPr>
            <w:color w:val="145EA8"/>
            <w:sz w:val="17"/>
            <w:szCs w:val="17"/>
          </w:rPr>
          <w:t>https:/​/​www.ibm.com/​docs/​SSD29G_​2.0.0/​com.ibm.swg.ba.cognos.tm1_​dg_​dvlpr.2.0.0.doc/​c_​allowingprocessestomodifysecuritydata_​n608df.html</w:t>
        </w:r>
      </w:hyperlink>
    </w:p>
    <w:p w14:paraId="7ACD7FD5" w14:textId="77777777" w:rsidR="00EB0B6B" w:rsidRDefault="00000000">
      <w:pPr>
        <w:spacing w:after="80" w:line="250" w:lineRule="auto"/>
      </w:pPr>
      <w:r>
        <w:rPr>
          <w:rFonts w:eastAsia="Arial" w:cs="Arial"/>
          <w:color w:val="596C7B"/>
          <w:sz w:val="18"/>
        </w:rPr>
        <w:t>Security Access capability and administrative separation for TI processes.</w:t>
      </w:r>
    </w:p>
    <w:p w14:paraId="38AE085D" w14:textId="77777777" w:rsidR="00EB0B6B" w:rsidRDefault="00000000">
      <w:pPr>
        <w:pStyle w:val="Heading1"/>
        <w:pageBreakBefore/>
      </w:pPr>
      <w:bookmarkStart w:id="80" w:name="refs_part_06"/>
      <w:r>
        <w:rPr>
          <w:rFonts w:ascii="Arial" w:eastAsia="Arial" w:hAnsi="Arial" w:cs="Arial"/>
        </w:rPr>
        <w:t>Reference catalog - continued</w:t>
      </w:r>
      <w:bookmarkEnd w:id="80"/>
    </w:p>
    <w:p w14:paraId="0783A68A" w14:textId="77777777" w:rsidR="00EB0B6B" w:rsidRDefault="00000000">
      <w:pPr>
        <w:keepNext/>
        <w:spacing w:after="240"/>
      </w:pPr>
      <w:r>
        <w:rPr>
          <w:rFonts w:eastAsia="Arial" w:cs="Arial"/>
          <w:color w:val="007D79"/>
          <w:sz w:val="20"/>
        </w:rPr>
        <w:t>R46-R54  |  Official IBM sources and navigation links</w:t>
      </w:r>
    </w:p>
    <w:p w14:paraId="6098ABEF" w14:textId="77777777" w:rsidR="00EB0B6B" w:rsidRDefault="00000000">
      <w:pPr>
        <w:keepNext/>
        <w:spacing w:before="100" w:after="40" w:line="252" w:lineRule="auto"/>
      </w:pPr>
      <w:bookmarkStart w:id="81" w:name="ref_46"/>
      <w:bookmarkEnd w:id="81"/>
      <w:r>
        <w:rPr>
          <w:rFonts w:eastAsia="Arial" w:cs="Arial"/>
          <w:b/>
          <w:color w:val="007D79"/>
          <w:sz w:val="20"/>
        </w:rPr>
        <w:t xml:space="preserve">[R46] </w:t>
      </w:r>
      <w:hyperlink r:id="rId107" w:history="1">
        <w:r>
          <w:rPr>
            <w:b/>
            <w:color w:val="16324F"/>
            <w:sz w:val="20"/>
            <w:szCs w:val="20"/>
          </w:rPr>
          <w:t>Planning Analytics on Cloud - subscriptions, roles and data security</w:t>
        </w:r>
      </w:hyperlink>
    </w:p>
    <w:p w14:paraId="5C08EBAE" w14:textId="77777777" w:rsidR="00EB0B6B" w:rsidRDefault="00000000">
      <w:pPr>
        <w:keepNext/>
        <w:spacing w:after="40" w:line="240" w:lineRule="auto"/>
      </w:pPr>
      <w:hyperlink r:id="rId108" w:history="1">
        <w:r>
          <w:rPr>
            <w:color w:val="145EA8"/>
            <w:sz w:val="17"/>
            <w:szCs w:val="17"/>
          </w:rPr>
          <w:t>https:/​/​community.ibm.com/​community/​user/​blogs/​paul-​hart-​prieto/​2024/​02/​26/​planning-​analytics-​on-​cloud</w:t>
        </w:r>
      </w:hyperlink>
    </w:p>
    <w:p w14:paraId="5D4655B7" w14:textId="77777777" w:rsidR="00EB0B6B" w:rsidRDefault="00000000">
      <w:pPr>
        <w:spacing w:after="80" w:line="250" w:lineRule="auto"/>
      </w:pPr>
      <w:r>
        <w:rPr>
          <w:rFonts w:eastAsia="Arial" w:cs="Arial"/>
          <w:color w:val="596C7B"/>
          <w:sz w:val="18"/>
        </w:rPr>
        <w:t>IBM explanation of subscription, Workspace and database permission layers.</w:t>
      </w:r>
    </w:p>
    <w:p w14:paraId="6E532FB5" w14:textId="77777777" w:rsidR="00EB0B6B" w:rsidRDefault="00000000">
      <w:pPr>
        <w:keepNext/>
        <w:spacing w:before="100" w:after="40" w:line="252" w:lineRule="auto"/>
      </w:pPr>
      <w:bookmarkStart w:id="82" w:name="ref_47"/>
      <w:bookmarkEnd w:id="82"/>
      <w:r>
        <w:rPr>
          <w:rFonts w:eastAsia="Arial" w:cs="Arial"/>
          <w:b/>
          <w:color w:val="007D79"/>
          <w:sz w:val="20"/>
        </w:rPr>
        <w:t xml:space="preserve">[R47] </w:t>
      </w:r>
      <w:hyperlink r:id="rId109" w:history="1">
        <w:r>
          <w:rPr>
            <w:b/>
            <w:color w:val="16324F"/>
            <w:sz w:val="20"/>
            <w:szCs w:val="20"/>
          </w:rPr>
          <w:t>Troubleshooting TM1 data encryption with TM1Crypt</w:t>
        </w:r>
      </w:hyperlink>
    </w:p>
    <w:p w14:paraId="085A37FB" w14:textId="77777777" w:rsidR="00EB0B6B" w:rsidRDefault="00000000">
      <w:pPr>
        <w:keepNext/>
        <w:spacing w:after="40" w:line="240" w:lineRule="auto"/>
      </w:pPr>
      <w:hyperlink r:id="rId110" w:history="1">
        <w:r>
          <w:rPr>
            <w:color w:val="145EA8"/>
            <w:sz w:val="17"/>
            <w:szCs w:val="17"/>
          </w:rPr>
          <w:t>https:/​/​www.ibm.com/​support/​pages/​troubleshooting-​tm1-​data-​encryption-​tm1crypt-​tool</w:t>
        </w:r>
      </w:hyperlink>
    </w:p>
    <w:p w14:paraId="08224A2A" w14:textId="77777777" w:rsidR="00EB0B6B" w:rsidRDefault="00000000">
      <w:pPr>
        <w:spacing w:after="80" w:line="250" w:lineRule="auto"/>
      </w:pPr>
      <w:r>
        <w:rPr>
          <w:rFonts w:eastAsia="Arial" w:cs="Arial"/>
          <w:color w:val="596C7B"/>
          <w:sz w:val="18"/>
        </w:rPr>
        <w:t>Test encryption, backup, recovery and key handling before production.</w:t>
      </w:r>
    </w:p>
    <w:p w14:paraId="2683E6A8" w14:textId="77777777" w:rsidR="00EB0B6B" w:rsidRDefault="00000000">
      <w:pPr>
        <w:keepNext/>
        <w:spacing w:before="100" w:after="40" w:line="252" w:lineRule="auto"/>
      </w:pPr>
      <w:bookmarkStart w:id="83" w:name="ref_48"/>
      <w:bookmarkEnd w:id="83"/>
      <w:r>
        <w:rPr>
          <w:rFonts w:eastAsia="Arial" w:cs="Arial"/>
          <w:b/>
          <w:color w:val="007D79"/>
          <w:sz w:val="20"/>
        </w:rPr>
        <w:t xml:space="preserve">[R48] </w:t>
      </w:r>
      <w:hyperlink r:id="rId111" w:history="1">
        <w:r>
          <w:rPr>
            <w:b/>
            <w:color w:val="16324F"/>
            <w:sz w:val="20"/>
            <w:szCs w:val="20"/>
          </w:rPr>
          <w:t>TM1 Operations, 2.1</w:t>
        </w:r>
      </w:hyperlink>
    </w:p>
    <w:p w14:paraId="2D3473C1" w14:textId="77777777" w:rsidR="00EB0B6B" w:rsidRDefault="00000000">
      <w:pPr>
        <w:keepNext/>
        <w:spacing w:after="40" w:line="240" w:lineRule="auto"/>
      </w:pPr>
      <w:hyperlink r:id="rId112" w:history="1">
        <w:r>
          <w:rPr>
            <w:color w:val="145EA8"/>
            <w:sz w:val="17"/>
            <w:szCs w:val="17"/>
          </w:rPr>
          <w:t>https:/​/​www.ibm.com/​docs/​en/​planning-​analytics/​2.1.0?​topic=​resources-​tm1-​operations</w:t>
        </w:r>
      </w:hyperlink>
    </w:p>
    <w:p w14:paraId="504979D8" w14:textId="77777777" w:rsidR="00EB0B6B" w:rsidRDefault="00000000">
      <w:pPr>
        <w:spacing w:after="80" w:line="250" w:lineRule="auto"/>
      </w:pPr>
      <w:r>
        <w:rPr>
          <w:rFonts w:eastAsia="Arial" w:cs="Arial"/>
          <w:color w:val="596C7B"/>
          <w:sz w:val="18"/>
        </w:rPr>
        <w:t>Online operations manual entry point.</w:t>
      </w:r>
    </w:p>
    <w:p w14:paraId="2DD43F4B" w14:textId="77777777" w:rsidR="00EB0B6B" w:rsidRDefault="00000000">
      <w:pPr>
        <w:keepNext/>
        <w:spacing w:before="100" w:after="40" w:line="252" w:lineRule="auto"/>
      </w:pPr>
      <w:bookmarkStart w:id="84" w:name="ref_49"/>
      <w:bookmarkEnd w:id="84"/>
      <w:r>
        <w:rPr>
          <w:rFonts w:eastAsia="Arial" w:cs="Arial"/>
          <w:b/>
          <w:color w:val="007D79"/>
          <w:sz w:val="20"/>
        </w:rPr>
        <w:t xml:space="preserve">[R49] </w:t>
      </w:r>
      <w:hyperlink r:id="rId113" w:history="1">
        <w:r>
          <w:rPr>
            <w:b/>
            <w:color w:val="16324F"/>
            <w:sz w:val="20"/>
            <w:szCs w:val="20"/>
          </w:rPr>
          <w:t>Mandatory Workspace backup / restore for 2.0.100 and 2.1.7</w:t>
        </w:r>
      </w:hyperlink>
    </w:p>
    <w:p w14:paraId="428CE255" w14:textId="77777777" w:rsidR="00EB0B6B" w:rsidRDefault="00000000">
      <w:pPr>
        <w:keepNext/>
        <w:spacing w:after="40" w:line="240" w:lineRule="auto"/>
      </w:pPr>
      <w:hyperlink r:id="rId114" w:history="1">
        <w:r>
          <w:rPr>
            <w:color w:val="145EA8"/>
            <w:sz w:val="17"/>
            <w:szCs w:val="17"/>
          </w:rPr>
          <w:t>https:/​/​www.ibm.com/​support/​pages/​important-​upgrade-​requirement-​planning-​analytics-​workspace-​local-​20100-​and-​217</w:t>
        </w:r>
      </w:hyperlink>
    </w:p>
    <w:p w14:paraId="31D3B8A9" w14:textId="77777777" w:rsidR="00EB0B6B" w:rsidRDefault="00000000">
      <w:pPr>
        <w:spacing w:after="80" w:line="250" w:lineRule="auto"/>
      </w:pPr>
      <w:r>
        <w:rPr>
          <w:rFonts w:eastAsia="Arial" w:cs="Arial"/>
          <w:color w:val="596C7B"/>
          <w:sz w:val="18"/>
        </w:rPr>
        <w:t>Concrete example of an upgrade boundary requiring content backup and restore.</w:t>
      </w:r>
    </w:p>
    <w:p w14:paraId="226006CF" w14:textId="77777777" w:rsidR="00EB0B6B" w:rsidRDefault="00000000">
      <w:pPr>
        <w:keepNext/>
        <w:spacing w:before="100" w:after="40" w:line="252" w:lineRule="auto"/>
      </w:pPr>
      <w:bookmarkStart w:id="85" w:name="ref_50"/>
      <w:bookmarkEnd w:id="85"/>
      <w:r>
        <w:rPr>
          <w:rFonts w:eastAsia="Arial" w:cs="Arial"/>
          <w:b/>
          <w:color w:val="007D79"/>
          <w:sz w:val="20"/>
        </w:rPr>
        <w:t xml:space="preserve">[R50] </w:t>
      </w:r>
      <w:hyperlink r:id="rId115" w:history="1">
        <w:r>
          <w:rPr>
            <w:b/>
            <w:color w:val="16324F"/>
            <w:sz w:val="20"/>
            <w:szCs w:val="20"/>
          </w:rPr>
          <w:t>Workspace containers repeatedly enter Exit state</w:t>
        </w:r>
      </w:hyperlink>
    </w:p>
    <w:p w14:paraId="58F1FDC0" w14:textId="77777777" w:rsidR="00EB0B6B" w:rsidRDefault="00000000">
      <w:pPr>
        <w:keepNext/>
        <w:spacing w:after="40" w:line="240" w:lineRule="auto"/>
      </w:pPr>
      <w:hyperlink r:id="rId116" w:history="1">
        <w:r>
          <w:rPr>
            <w:color w:val="145EA8"/>
            <w:sz w:val="17"/>
            <w:szCs w:val="17"/>
          </w:rPr>
          <w:t>https:/​/​www.ibm.com/​support/​pages/​node/​6982083</w:t>
        </w:r>
      </w:hyperlink>
    </w:p>
    <w:p w14:paraId="56A0A4B0" w14:textId="77777777" w:rsidR="00EB0B6B" w:rsidRDefault="00000000">
      <w:pPr>
        <w:spacing w:after="80" w:line="250" w:lineRule="auto"/>
      </w:pPr>
      <w:r>
        <w:rPr>
          <w:rFonts w:eastAsia="Arial" w:cs="Arial"/>
          <w:color w:val="596C7B"/>
          <w:sz w:val="18"/>
        </w:rPr>
        <w:t>Diagnostic commands and symptom record; full resolution may require sign-in.</w:t>
      </w:r>
    </w:p>
    <w:p w14:paraId="6BDACA07" w14:textId="77777777" w:rsidR="00EB0B6B" w:rsidRDefault="00000000">
      <w:pPr>
        <w:keepNext/>
        <w:spacing w:before="100" w:after="40" w:line="252" w:lineRule="auto"/>
      </w:pPr>
      <w:bookmarkStart w:id="86" w:name="ref_51"/>
      <w:bookmarkEnd w:id="86"/>
      <w:r>
        <w:rPr>
          <w:rFonts w:eastAsia="Arial" w:cs="Arial"/>
          <w:b/>
          <w:color w:val="007D79"/>
          <w:sz w:val="20"/>
        </w:rPr>
        <w:t xml:space="preserve">[R51] </w:t>
      </w:r>
      <w:hyperlink r:id="rId117" w:history="1">
        <w:r>
          <w:rPr>
            <w:b/>
            <w:color w:val="16324F"/>
            <w:sz w:val="20"/>
            <w:szCs w:val="20"/>
          </w:rPr>
          <w:t>Planning Analytics on Cloud getting-started checklist</w:t>
        </w:r>
      </w:hyperlink>
    </w:p>
    <w:p w14:paraId="4385636E" w14:textId="77777777" w:rsidR="00EB0B6B" w:rsidRDefault="00000000">
      <w:pPr>
        <w:keepNext/>
        <w:spacing w:after="40" w:line="240" w:lineRule="auto"/>
      </w:pPr>
      <w:hyperlink r:id="rId118" w:history="1">
        <w:r>
          <w:rPr>
            <w:color w:val="145EA8"/>
            <w:sz w:val="17"/>
            <w:szCs w:val="17"/>
          </w:rPr>
          <w:t>https:/​/​community.ibm.com/​community/​user/​blogs/​yin-​chu/​2023/​05/​26/​paoc-​getting-​started-​checklist</w:t>
        </w:r>
      </w:hyperlink>
    </w:p>
    <w:p w14:paraId="6F445A96" w14:textId="77777777" w:rsidR="00EB0B6B" w:rsidRDefault="00000000">
      <w:pPr>
        <w:spacing w:after="80" w:line="250" w:lineRule="auto"/>
      </w:pPr>
      <w:r>
        <w:rPr>
          <w:rFonts w:eastAsia="Arial" w:cs="Arial"/>
          <w:color w:val="596C7B"/>
          <w:sz w:val="18"/>
        </w:rPr>
        <w:t>Welcome, IBMid, Excel and support onboarding; older RDP / gateway advice is historical.</w:t>
      </w:r>
    </w:p>
    <w:p w14:paraId="2C540E5A" w14:textId="77777777" w:rsidR="00EB0B6B" w:rsidRDefault="00000000">
      <w:pPr>
        <w:keepNext/>
        <w:spacing w:before="100" w:after="40" w:line="252" w:lineRule="auto"/>
      </w:pPr>
      <w:bookmarkStart w:id="87" w:name="ref_52"/>
      <w:bookmarkEnd w:id="87"/>
      <w:r>
        <w:rPr>
          <w:rFonts w:eastAsia="Arial" w:cs="Arial"/>
          <w:b/>
          <w:color w:val="007D79"/>
          <w:sz w:val="20"/>
        </w:rPr>
        <w:t xml:space="preserve">[R52] </w:t>
      </w:r>
      <w:hyperlink r:id="rId119" w:history="1">
        <w:r>
          <w:rPr>
            <w:b/>
            <w:color w:val="16324F"/>
            <w:sz w:val="20"/>
            <w:szCs w:val="20"/>
          </w:rPr>
          <w:t>Planning Analytics as a Service getting-started checklist</w:t>
        </w:r>
      </w:hyperlink>
    </w:p>
    <w:p w14:paraId="2FB74EDD" w14:textId="77777777" w:rsidR="00EB0B6B" w:rsidRDefault="00000000">
      <w:pPr>
        <w:keepNext/>
        <w:spacing w:after="40" w:line="240" w:lineRule="auto"/>
      </w:pPr>
      <w:hyperlink r:id="rId120" w:history="1">
        <w:r>
          <w:rPr>
            <w:color w:val="145EA8"/>
            <w:sz w:val="17"/>
            <w:szCs w:val="17"/>
          </w:rPr>
          <w:t>https:/​/​community.ibm.com/​community/​user/​blogs/​yin-​chu/​2024/​03/​18/​paaas-​getting-​started-​checklist</w:t>
        </w:r>
      </w:hyperlink>
    </w:p>
    <w:p w14:paraId="265948A8" w14:textId="77777777" w:rsidR="00EB0B6B" w:rsidRDefault="00000000">
      <w:pPr>
        <w:spacing w:after="80" w:line="250" w:lineRule="auto"/>
      </w:pPr>
      <w:r>
        <w:rPr>
          <w:rFonts w:eastAsia="Arial" w:cs="Arial"/>
          <w:color w:val="596C7B"/>
          <w:sz w:val="18"/>
        </w:rPr>
        <w:t>Provisioning, environment creation, users, API access and data-connection planning.</w:t>
      </w:r>
    </w:p>
    <w:p w14:paraId="4A451CBD" w14:textId="77777777" w:rsidR="00EB0B6B" w:rsidRDefault="00000000">
      <w:pPr>
        <w:keepNext/>
        <w:spacing w:before="100" w:after="40" w:line="252" w:lineRule="auto"/>
      </w:pPr>
      <w:bookmarkStart w:id="88" w:name="ref_53"/>
      <w:bookmarkEnd w:id="88"/>
      <w:r>
        <w:rPr>
          <w:rFonts w:eastAsia="Arial" w:cs="Arial"/>
          <w:b/>
          <w:color w:val="007D79"/>
          <w:sz w:val="20"/>
        </w:rPr>
        <w:t xml:space="preserve">[R53] </w:t>
      </w:r>
      <w:hyperlink r:id="rId121" w:history="1">
        <w:r>
          <w:rPr>
            <w:b/>
            <w:color w:val="16324F"/>
            <w:sz w:val="20"/>
            <w:szCs w:val="20"/>
          </w:rPr>
          <w:t>Working with Planning Analytics as a Service Support</w:t>
        </w:r>
      </w:hyperlink>
    </w:p>
    <w:p w14:paraId="586C51FB" w14:textId="77777777" w:rsidR="00EB0B6B" w:rsidRDefault="00000000">
      <w:pPr>
        <w:keepNext/>
        <w:spacing w:after="40" w:line="240" w:lineRule="auto"/>
      </w:pPr>
      <w:hyperlink r:id="rId122" w:history="1">
        <w:r>
          <w:rPr>
            <w:color w:val="145EA8"/>
            <w:sz w:val="17"/>
            <w:szCs w:val="17"/>
          </w:rPr>
          <w:t>https:/​/​community.ibm.com/​community/​user/​blogs/​paul-​hart-​prieto/​2024/​07/​08/​ibm-​planning-​analytics-​as-​a-​service-​support</w:t>
        </w:r>
      </w:hyperlink>
    </w:p>
    <w:p w14:paraId="4E91E36C" w14:textId="77777777" w:rsidR="00EB0B6B" w:rsidRDefault="00000000">
      <w:pPr>
        <w:spacing w:after="80" w:line="250" w:lineRule="auto"/>
      </w:pPr>
      <w:r>
        <w:rPr>
          <w:rFonts w:eastAsia="Arial" w:cs="Arial"/>
          <w:color w:val="596C7B"/>
          <w:sz w:val="18"/>
        </w:rPr>
        <w:t>Offering-specific support and escalation guidance.</w:t>
      </w:r>
    </w:p>
    <w:p w14:paraId="4DCE8CE3" w14:textId="77777777" w:rsidR="00EB0B6B" w:rsidRDefault="00000000">
      <w:pPr>
        <w:keepNext/>
        <w:spacing w:before="100" w:after="40" w:line="252" w:lineRule="auto"/>
      </w:pPr>
      <w:bookmarkStart w:id="89" w:name="ref_54"/>
      <w:bookmarkEnd w:id="89"/>
      <w:r>
        <w:rPr>
          <w:rFonts w:eastAsia="Arial" w:cs="Arial"/>
          <w:b/>
          <w:color w:val="007D79"/>
          <w:sz w:val="20"/>
        </w:rPr>
        <w:t xml:space="preserve">[R54] </w:t>
      </w:r>
      <w:hyperlink r:id="rId123" w:history="1">
        <w:r>
          <w:rPr>
            <w:b/>
            <w:color w:val="16324F"/>
            <w:sz w:val="20"/>
            <w:szCs w:val="20"/>
          </w:rPr>
          <w:t>Working with Planning Analytics on Cloud Support</w:t>
        </w:r>
      </w:hyperlink>
    </w:p>
    <w:p w14:paraId="07FFB477" w14:textId="77777777" w:rsidR="00EB0B6B" w:rsidRDefault="00000000">
      <w:pPr>
        <w:keepNext/>
        <w:spacing w:after="40" w:line="240" w:lineRule="auto"/>
      </w:pPr>
      <w:hyperlink r:id="rId124" w:history="1">
        <w:r>
          <w:rPr>
            <w:color w:val="145EA8"/>
            <w:sz w:val="17"/>
            <w:szCs w:val="17"/>
          </w:rPr>
          <w:t>https:/​/​community.ibm.com/​community/​user/​blogs/​paul-​hart-​prieto/​2024/​05/​01/​ibm-​paoc-​support</w:t>
        </w:r>
      </w:hyperlink>
    </w:p>
    <w:p w14:paraId="77BADE18" w14:textId="77777777" w:rsidR="00EB0B6B" w:rsidRDefault="00000000">
      <w:pPr>
        <w:spacing w:after="80" w:line="250" w:lineRule="auto"/>
      </w:pPr>
      <w:r>
        <w:rPr>
          <w:rFonts w:eastAsia="Arial" w:cs="Arial"/>
          <w:color w:val="596C7B"/>
          <w:sz w:val="18"/>
        </w:rPr>
        <w:t>Correct support entitlement and cloud incident handling.</w:t>
      </w:r>
    </w:p>
    <w:p w14:paraId="56E726A5" w14:textId="77777777" w:rsidR="00EB0B6B" w:rsidRDefault="00000000">
      <w:pPr>
        <w:pStyle w:val="Heading1"/>
        <w:pageBreakBefore/>
      </w:pPr>
      <w:bookmarkStart w:id="90" w:name="refs_part_07"/>
      <w:r>
        <w:rPr>
          <w:rFonts w:ascii="Arial" w:eastAsia="Arial" w:hAnsi="Arial" w:cs="Arial"/>
        </w:rPr>
        <w:t>Reference catalog - continued</w:t>
      </w:r>
      <w:bookmarkEnd w:id="90"/>
    </w:p>
    <w:p w14:paraId="7CC25F61" w14:textId="77777777" w:rsidR="00EB0B6B" w:rsidRDefault="00000000">
      <w:pPr>
        <w:keepNext/>
        <w:spacing w:after="240"/>
      </w:pPr>
      <w:r>
        <w:rPr>
          <w:rFonts w:eastAsia="Arial" w:cs="Arial"/>
          <w:color w:val="007D79"/>
          <w:sz w:val="20"/>
        </w:rPr>
        <w:t>R55-R63  |  Official IBM sources and navigation links</w:t>
      </w:r>
    </w:p>
    <w:p w14:paraId="47D20B77" w14:textId="77777777" w:rsidR="00EB0B6B" w:rsidRDefault="00000000">
      <w:pPr>
        <w:keepNext/>
        <w:spacing w:before="100" w:after="40" w:line="252" w:lineRule="auto"/>
      </w:pPr>
      <w:bookmarkStart w:id="91" w:name="ref_55"/>
      <w:bookmarkEnd w:id="91"/>
      <w:r>
        <w:rPr>
          <w:rFonts w:eastAsia="Arial" w:cs="Arial"/>
          <w:b/>
          <w:color w:val="007D79"/>
          <w:sz w:val="20"/>
        </w:rPr>
        <w:t xml:space="preserve">[R55] </w:t>
      </w:r>
      <w:hyperlink r:id="rId125" w:history="1">
        <w:r>
          <w:rPr>
            <w:b/>
            <w:color w:val="16324F"/>
            <w:sz w:val="20"/>
            <w:szCs w:val="20"/>
          </w:rPr>
          <w:t>Add and invite a cloud user</w:t>
        </w:r>
      </w:hyperlink>
    </w:p>
    <w:p w14:paraId="600EBE8D" w14:textId="77777777" w:rsidR="00EB0B6B" w:rsidRDefault="00000000">
      <w:pPr>
        <w:keepNext/>
        <w:spacing w:after="40" w:line="240" w:lineRule="auto"/>
      </w:pPr>
      <w:hyperlink r:id="rId126" w:history="1">
        <w:r>
          <w:rPr>
            <w:color w:val="145EA8"/>
            <w:sz w:val="17"/>
            <w:szCs w:val="17"/>
          </w:rPr>
          <w:t>https:/​/​www.ibm.com/​docs/​en/​paww/​2.0.0?​topic=​cloud-​add-​invite-​user-​only</w:t>
        </w:r>
      </w:hyperlink>
    </w:p>
    <w:p w14:paraId="30B11DC3" w14:textId="77777777" w:rsidR="00EB0B6B" w:rsidRDefault="00000000">
      <w:pPr>
        <w:spacing w:after="80" w:line="250" w:lineRule="auto"/>
      </w:pPr>
      <w:r>
        <w:rPr>
          <w:rFonts w:eastAsia="Arial" w:cs="Arial"/>
          <w:color w:val="596C7B"/>
          <w:sz w:val="18"/>
        </w:rPr>
        <w:t>User invitation workflow. Linked by IBM onboarding checklist.</w:t>
      </w:r>
    </w:p>
    <w:p w14:paraId="15CF82F5" w14:textId="77777777" w:rsidR="00EB0B6B" w:rsidRDefault="00000000">
      <w:pPr>
        <w:keepNext/>
        <w:spacing w:before="100" w:after="40" w:line="252" w:lineRule="auto"/>
      </w:pPr>
      <w:bookmarkStart w:id="92" w:name="ref_56"/>
      <w:bookmarkEnd w:id="92"/>
      <w:r>
        <w:rPr>
          <w:rFonts w:eastAsia="Arial" w:cs="Arial"/>
          <w:b/>
          <w:color w:val="007D79"/>
          <w:sz w:val="20"/>
        </w:rPr>
        <w:t xml:space="preserve">[R56] </w:t>
      </w:r>
      <w:hyperlink r:id="rId127" w:history="1">
        <w:r>
          <w:rPr>
            <w:b/>
            <w:color w:val="16324F"/>
            <w:sz w:val="20"/>
            <w:szCs w:val="20"/>
          </w:rPr>
          <w:t>IBM SaaS Console - getting started</w:t>
        </w:r>
      </w:hyperlink>
    </w:p>
    <w:p w14:paraId="54DF9E8F" w14:textId="77777777" w:rsidR="00EB0B6B" w:rsidRDefault="00000000">
      <w:pPr>
        <w:keepNext/>
        <w:spacing w:after="40" w:line="240" w:lineRule="auto"/>
      </w:pPr>
      <w:hyperlink r:id="rId128" w:history="1">
        <w:r>
          <w:rPr>
            <w:color w:val="145EA8"/>
            <w:sz w:val="17"/>
            <w:szCs w:val="17"/>
          </w:rPr>
          <w:t>https:/​/​www.ibm.com/​docs/​en/​saas-​console?​topic=​getting-​started-​saas-​console</w:t>
        </w:r>
      </w:hyperlink>
    </w:p>
    <w:p w14:paraId="21D2BE93" w14:textId="77777777" w:rsidR="00EB0B6B" w:rsidRDefault="00000000">
      <w:pPr>
        <w:spacing w:after="80" w:line="250" w:lineRule="auto"/>
      </w:pPr>
      <w:r>
        <w:rPr>
          <w:rFonts w:eastAsia="Arial" w:cs="Arial"/>
          <w:color w:val="596C7B"/>
          <w:sz w:val="18"/>
        </w:rPr>
        <w:t>Service provisioning and console administration. Linked by IBM onboarding checklist.</w:t>
      </w:r>
    </w:p>
    <w:p w14:paraId="2CE5D316" w14:textId="77777777" w:rsidR="00EB0B6B" w:rsidRDefault="00000000">
      <w:pPr>
        <w:keepNext/>
        <w:spacing w:before="100" w:after="40" w:line="252" w:lineRule="auto"/>
      </w:pPr>
      <w:bookmarkStart w:id="93" w:name="ref_57"/>
      <w:bookmarkEnd w:id="93"/>
      <w:r>
        <w:rPr>
          <w:rFonts w:eastAsia="Arial" w:cs="Arial"/>
          <w:b/>
          <w:color w:val="007D79"/>
          <w:sz w:val="20"/>
        </w:rPr>
        <w:t xml:space="preserve">[R57] </w:t>
      </w:r>
      <w:hyperlink r:id="rId129" w:history="1">
        <w:r>
          <w:rPr>
            <w:b/>
            <w:color w:val="16324F"/>
            <w:sz w:val="20"/>
            <w:szCs w:val="20"/>
          </w:rPr>
          <w:t>Noninteractive access in Planning Analytics as a Service</w:t>
        </w:r>
      </w:hyperlink>
    </w:p>
    <w:p w14:paraId="07DFC9FD" w14:textId="77777777" w:rsidR="00EB0B6B" w:rsidRDefault="00000000">
      <w:pPr>
        <w:keepNext/>
        <w:spacing w:after="40" w:line="240" w:lineRule="auto"/>
      </w:pPr>
      <w:hyperlink r:id="rId130" w:history="1">
        <w:r>
          <w:rPr>
            <w:color w:val="145EA8"/>
            <w:sz w:val="17"/>
            <w:szCs w:val="17"/>
          </w:rPr>
          <w:t>https:/​/​www.ibm.com/​support/​pages/​how-​do-​i-​create-​noninteractive-​account-​planning-​analytics-​service</w:t>
        </w:r>
      </w:hyperlink>
    </w:p>
    <w:p w14:paraId="2F549DF7" w14:textId="77777777" w:rsidR="00EB0B6B" w:rsidRDefault="00000000">
      <w:pPr>
        <w:spacing w:after="80" w:line="250" w:lineRule="auto"/>
      </w:pPr>
      <w:r>
        <w:rPr>
          <w:rFonts w:eastAsia="Arial" w:cs="Arial"/>
          <w:color w:val="596C7B"/>
          <w:sz w:val="18"/>
        </w:rPr>
        <w:t>Use an appropriately authorized directory user and generated API key.</w:t>
      </w:r>
    </w:p>
    <w:p w14:paraId="5C3CE944" w14:textId="77777777" w:rsidR="00EB0B6B" w:rsidRDefault="00000000">
      <w:pPr>
        <w:keepNext/>
        <w:spacing w:before="100" w:after="40" w:line="252" w:lineRule="auto"/>
      </w:pPr>
      <w:bookmarkStart w:id="94" w:name="ref_58"/>
      <w:bookmarkEnd w:id="94"/>
      <w:r>
        <w:rPr>
          <w:rFonts w:eastAsia="Arial" w:cs="Arial"/>
          <w:b/>
          <w:color w:val="007D79"/>
          <w:sz w:val="20"/>
        </w:rPr>
        <w:t xml:space="preserve">[R58] </w:t>
      </w:r>
      <w:hyperlink r:id="rId131" w:history="1">
        <w:r>
          <w:rPr>
            <w:b/>
            <w:color w:val="16324F"/>
            <w:sz w:val="20"/>
            <w:szCs w:val="20"/>
          </w:rPr>
          <w:t>Manage Planning Analytics as a Service files with APIs</w:t>
        </w:r>
      </w:hyperlink>
    </w:p>
    <w:p w14:paraId="27CDBC0F" w14:textId="77777777" w:rsidR="00EB0B6B" w:rsidRDefault="00000000">
      <w:pPr>
        <w:keepNext/>
        <w:spacing w:after="40" w:line="240" w:lineRule="auto"/>
      </w:pPr>
      <w:hyperlink r:id="rId132" w:history="1">
        <w:r>
          <w:rPr>
            <w:color w:val="145EA8"/>
            <w:sz w:val="17"/>
            <w:szCs w:val="17"/>
          </w:rPr>
          <w:t>https:/​/​community.ibm.com/​community/​user/​blogs/​jessica-​nicholls/​2025/​02/​03/​managing-​paaas-​with-​apis</w:t>
        </w:r>
      </w:hyperlink>
    </w:p>
    <w:p w14:paraId="1AB44393" w14:textId="77777777" w:rsidR="00EB0B6B" w:rsidRDefault="00000000">
      <w:pPr>
        <w:spacing w:after="80" w:line="250" w:lineRule="auto"/>
      </w:pPr>
      <w:r>
        <w:rPr>
          <w:rFonts w:eastAsia="Arial" w:cs="Arial"/>
          <w:color w:val="596C7B"/>
          <w:sz w:val="18"/>
        </w:rPr>
        <w:t>IBM worked example for API keys and environment-specific file operations.</w:t>
      </w:r>
    </w:p>
    <w:p w14:paraId="109113C1" w14:textId="77777777" w:rsidR="00EB0B6B" w:rsidRDefault="00000000">
      <w:pPr>
        <w:keepNext/>
        <w:spacing w:before="100" w:after="40" w:line="252" w:lineRule="auto"/>
      </w:pPr>
      <w:bookmarkStart w:id="95" w:name="ref_59"/>
      <w:bookmarkEnd w:id="95"/>
      <w:r>
        <w:rPr>
          <w:rFonts w:eastAsia="Arial" w:cs="Arial"/>
          <w:b/>
          <w:color w:val="007D79"/>
          <w:sz w:val="20"/>
        </w:rPr>
        <w:t xml:space="preserve">[R59] </w:t>
      </w:r>
      <w:hyperlink r:id="rId133" w:history="1">
        <w:r>
          <w:rPr>
            <w:b/>
            <w:color w:val="16324F"/>
            <w:sz w:val="20"/>
            <w:szCs w:val="20"/>
          </w:rPr>
          <w:t>Planning Analytics as a Service administrative ownership guidance</w:t>
        </w:r>
      </w:hyperlink>
    </w:p>
    <w:p w14:paraId="28AF932E" w14:textId="77777777" w:rsidR="00EB0B6B" w:rsidRDefault="00000000">
      <w:pPr>
        <w:keepNext/>
        <w:spacing w:after="40" w:line="240" w:lineRule="auto"/>
      </w:pPr>
      <w:hyperlink r:id="rId134" w:history="1">
        <w:r>
          <w:rPr>
            <w:color w:val="145EA8"/>
            <w:sz w:val="17"/>
            <w:szCs w:val="17"/>
          </w:rPr>
          <w:t>https:/​/​www.ibm.com/​support/​pages/​node/​7277204</w:t>
        </w:r>
      </w:hyperlink>
    </w:p>
    <w:p w14:paraId="72AE0ACC" w14:textId="77777777" w:rsidR="00EB0B6B" w:rsidRDefault="00000000">
      <w:pPr>
        <w:spacing w:after="80" w:line="250" w:lineRule="auto"/>
      </w:pPr>
      <w:r>
        <w:rPr>
          <w:rFonts w:eastAsia="Arial" w:cs="Arial"/>
          <w:color w:val="596C7B"/>
          <w:sz w:val="18"/>
        </w:rPr>
        <w:t>Owner and administrator handover; assign a replacement before removing ownership.</w:t>
      </w:r>
    </w:p>
    <w:p w14:paraId="19E13211" w14:textId="77777777" w:rsidR="00EB0B6B" w:rsidRDefault="00000000">
      <w:pPr>
        <w:keepNext/>
        <w:spacing w:before="100" w:after="40" w:line="252" w:lineRule="auto"/>
      </w:pPr>
      <w:bookmarkStart w:id="96" w:name="ref_60"/>
      <w:bookmarkEnd w:id="96"/>
      <w:r>
        <w:rPr>
          <w:rFonts w:eastAsia="Arial" w:cs="Arial"/>
          <w:b/>
          <w:color w:val="007D79"/>
          <w:sz w:val="20"/>
        </w:rPr>
        <w:t xml:space="preserve">[R60] </w:t>
      </w:r>
      <w:hyperlink r:id="rId135" w:history="1">
        <w:r>
          <w:rPr>
            <w:b/>
            <w:color w:val="16324F"/>
            <w:sz w:val="20"/>
            <w:szCs w:val="20"/>
          </w:rPr>
          <w:t>Must-gather for Planning Analytics Satellite Connector</w:t>
        </w:r>
      </w:hyperlink>
    </w:p>
    <w:p w14:paraId="6F4A76B0" w14:textId="77777777" w:rsidR="00EB0B6B" w:rsidRDefault="00000000">
      <w:pPr>
        <w:keepNext/>
        <w:spacing w:after="40" w:line="240" w:lineRule="auto"/>
      </w:pPr>
      <w:hyperlink r:id="rId136" w:history="1">
        <w:r>
          <w:rPr>
            <w:color w:val="145EA8"/>
            <w:sz w:val="17"/>
            <w:szCs w:val="17"/>
          </w:rPr>
          <w:t>https:/​/​www.ibm.com/​support/​pages/​must-​gather-​troubleshoot-​planning-​analytics-​satellite-​connector</w:t>
        </w:r>
      </w:hyperlink>
    </w:p>
    <w:p w14:paraId="16B826D7" w14:textId="77777777" w:rsidR="00EB0B6B" w:rsidRDefault="00000000">
      <w:pPr>
        <w:spacing w:after="80" w:line="250" w:lineRule="auto"/>
      </w:pPr>
      <w:r>
        <w:rPr>
          <w:rFonts w:eastAsia="Arial" w:cs="Arial"/>
          <w:color w:val="596C7B"/>
          <w:sz w:val="18"/>
        </w:rPr>
        <w:t>Connector diagnostics, configuration and support evidence; redact keys.</w:t>
      </w:r>
    </w:p>
    <w:p w14:paraId="31B6C4F9" w14:textId="77777777" w:rsidR="00EB0B6B" w:rsidRDefault="00000000">
      <w:pPr>
        <w:keepNext/>
        <w:spacing w:before="100" w:after="40" w:line="252" w:lineRule="auto"/>
      </w:pPr>
      <w:bookmarkStart w:id="97" w:name="ref_61"/>
      <w:bookmarkEnd w:id="97"/>
      <w:r>
        <w:rPr>
          <w:rFonts w:eastAsia="Arial" w:cs="Arial"/>
          <w:b/>
          <w:color w:val="007D79"/>
          <w:sz w:val="20"/>
        </w:rPr>
        <w:t xml:space="preserve">[R61] </w:t>
      </w:r>
      <w:hyperlink r:id="rId137" w:history="1">
        <w:r>
          <w:rPr>
            <w:b/>
            <w:color w:val="16324F"/>
            <w:sz w:val="20"/>
            <w:szCs w:val="20"/>
          </w:rPr>
          <w:t>Satellite Connector licensing for Planning Analytics</w:t>
        </w:r>
      </w:hyperlink>
    </w:p>
    <w:p w14:paraId="4BAF4725" w14:textId="77777777" w:rsidR="00EB0B6B" w:rsidRDefault="00000000">
      <w:pPr>
        <w:keepNext/>
        <w:spacing w:after="40" w:line="240" w:lineRule="auto"/>
      </w:pPr>
      <w:hyperlink r:id="rId138" w:history="1">
        <w:r>
          <w:rPr>
            <w:color w:val="145EA8"/>
            <w:sz w:val="17"/>
            <w:szCs w:val="17"/>
          </w:rPr>
          <w:t>https:/​/​community.ibm.com/​community/​user/​businessanalytics/​blogs/​sami-​el-​cheikh1/​2024/​08/​07/​satellite-​connector-​licensing-​for-​planning-​analyti</w:t>
        </w:r>
      </w:hyperlink>
    </w:p>
    <w:p w14:paraId="1E49233F" w14:textId="77777777" w:rsidR="00EB0B6B" w:rsidRDefault="00000000">
      <w:pPr>
        <w:spacing w:after="80" w:line="250" w:lineRule="auto"/>
      </w:pPr>
      <w:r>
        <w:rPr>
          <w:rFonts w:eastAsia="Arial" w:cs="Arial"/>
          <w:color w:val="596C7B"/>
          <w:sz w:val="18"/>
        </w:rPr>
        <w:t>IBM product guidance on connector entitlements and architecture; confirm current contract.</w:t>
      </w:r>
    </w:p>
    <w:p w14:paraId="76D9E254" w14:textId="77777777" w:rsidR="00EB0B6B" w:rsidRDefault="00000000">
      <w:pPr>
        <w:keepNext/>
        <w:spacing w:before="100" w:after="40" w:line="252" w:lineRule="auto"/>
      </w:pPr>
      <w:bookmarkStart w:id="98" w:name="ref_62"/>
      <w:bookmarkEnd w:id="98"/>
      <w:r>
        <w:rPr>
          <w:rFonts w:eastAsia="Arial" w:cs="Arial"/>
          <w:b/>
          <w:color w:val="007D79"/>
          <w:sz w:val="20"/>
        </w:rPr>
        <w:t xml:space="preserve">[R62] </w:t>
      </w:r>
      <w:hyperlink r:id="rId139" w:history="1">
        <w:r>
          <w:rPr>
            <w:b/>
            <w:color w:val="16324F"/>
            <w:sz w:val="20"/>
            <w:szCs w:val="20"/>
          </w:rPr>
          <w:t>ODBCIS connection reset when listing database connections</w:t>
        </w:r>
      </w:hyperlink>
    </w:p>
    <w:p w14:paraId="1FCCA46F" w14:textId="77777777" w:rsidR="00EB0B6B" w:rsidRDefault="00000000">
      <w:pPr>
        <w:keepNext/>
        <w:spacing w:after="40" w:line="240" w:lineRule="auto"/>
      </w:pPr>
      <w:hyperlink r:id="rId140" w:history="1">
        <w:r>
          <w:rPr>
            <w:color w:val="145EA8"/>
            <w:sz w:val="17"/>
            <w:szCs w:val="17"/>
          </w:rPr>
          <w:t>https:/​/​www.ibm.com/​support/​pages/​unable-​select-​database-​connection-​ti-​process-​error-​failed-​get-​database-​connections-​odbcis-​connection-​reset</w:t>
        </w:r>
      </w:hyperlink>
    </w:p>
    <w:p w14:paraId="08CCE9CE" w14:textId="77777777" w:rsidR="00EB0B6B" w:rsidRDefault="00000000">
      <w:pPr>
        <w:spacing w:after="80" w:line="250" w:lineRule="auto"/>
      </w:pPr>
      <w:r>
        <w:rPr>
          <w:rFonts w:eastAsia="Arial" w:cs="Arial"/>
          <w:color w:val="596C7B"/>
          <w:sz w:val="18"/>
        </w:rPr>
        <w:t>Firewall and external-path diagnostics for SaaS database connections.</w:t>
      </w:r>
    </w:p>
    <w:p w14:paraId="38322F25" w14:textId="77777777" w:rsidR="00EB0B6B" w:rsidRDefault="00000000">
      <w:pPr>
        <w:keepNext/>
        <w:spacing w:before="100" w:after="40" w:line="252" w:lineRule="auto"/>
      </w:pPr>
      <w:bookmarkStart w:id="99" w:name="ref_63"/>
      <w:bookmarkEnd w:id="99"/>
      <w:r>
        <w:rPr>
          <w:rFonts w:eastAsia="Arial" w:cs="Arial"/>
          <w:b/>
          <w:color w:val="007D79"/>
          <w:sz w:val="20"/>
        </w:rPr>
        <w:t xml:space="preserve">[R63] </w:t>
      </w:r>
      <w:hyperlink r:id="rId141" w:history="1">
        <w:r>
          <w:rPr>
            <w:b/>
            <w:color w:val="16324F"/>
            <w:sz w:val="20"/>
            <w:szCs w:val="20"/>
          </w:rPr>
          <w:t>ODBCIS 504 timeout on large queries</w:t>
        </w:r>
      </w:hyperlink>
    </w:p>
    <w:p w14:paraId="784777D4" w14:textId="77777777" w:rsidR="00EB0B6B" w:rsidRDefault="00000000">
      <w:pPr>
        <w:keepNext/>
        <w:spacing w:after="40" w:line="240" w:lineRule="auto"/>
      </w:pPr>
      <w:hyperlink r:id="rId142" w:history="1">
        <w:r>
          <w:rPr>
            <w:color w:val="145EA8"/>
            <w:sz w:val="17"/>
            <w:szCs w:val="17"/>
          </w:rPr>
          <w:t>https:/​/​www.ibm.com/​support/​pages/​odbcis-​connector-​returns-​504-​timeout-​error-​large-​queries-​exceeding-​2-​minutes</w:t>
        </w:r>
      </w:hyperlink>
    </w:p>
    <w:p w14:paraId="68CCF49A" w14:textId="77777777" w:rsidR="00EB0B6B" w:rsidRDefault="00000000">
      <w:pPr>
        <w:spacing w:after="80" w:line="250" w:lineRule="auto"/>
      </w:pPr>
      <w:r>
        <w:rPr>
          <w:rFonts w:eastAsia="Arial" w:cs="Arial"/>
          <w:color w:val="596C7B"/>
          <w:sz w:val="18"/>
        </w:rPr>
        <w:t>Load-balancer and WAF timeouts; test through the actual external route.</w:t>
      </w:r>
    </w:p>
    <w:p w14:paraId="19D0AA10" w14:textId="77777777" w:rsidR="00EB0B6B" w:rsidRDefault="00000000">
      <w:pPr>
        <w:pStyle w:val="Heading1"/>
        <w:pageBreakBefore/>
      </w:pPr>
      <w:bookmarkStart w:id="100" w:name="refs_part_08"/>
      <w:r>
        <w:rPr>
          <w:rFonts w:ascii="Arial" w:eastAsia="Arial" w:hAnsi="Arial" w:cs="Arial"/>
        </w:rPr>
        <w:t>Reference catalog - continued</w:t>
      </w:r>
      <w:bookmarkEnd w:id="100"/>
    </w:p>
    <w:p w14:paraId="7518F3C9" w14:textId="77777777" w:rsidR="00EB0B6B" w:rsidRDefault="00000000">
      <w:pPr>
        <w:keepNext/>
        <w:spacing w:after="240"/>
      </w:pPr>
      <w:r>
        <w:rPr>
          <w:rFonts w:eastAsia="Arial" w:cs="Arial"/>
          <w:color w:val="007D79"/>
          <w:sz w:val="20"/>
        </w:rPr>
        <w:t>R64-R72  |  Official IBM sources and navigation links</w:t>
      </w:r>
    </w:p>
    <w:p w14:paraId="594D6D44" w14:textId="77777777" w:rsidR="00EB0B6B" w:rsidRDefault="00000000">
      <w:pPr>
        <w:keepNext/>
        <w:spacing w:before="100" w:after="40" w:line="252" w:lineRule="auto"/>
      </w:pPr>
      <w:bookmarkStart w:id="101" w:name="ref_64"/>
      <w:bookmarkEnd w:id="101"/>
      <w:r>
        <w:rPr>
          <w:rFonts w:eastAsia="Arial" w:cs="Arial"/>
          <w:b/>
          <w:color w:val="007D79"/>
          <w:sz w:val="20"/>
        </w:rPr>
        <w:t xml:space="preserve">[R64] </w:t>
      </w:r>
      <w:hyperlink r:id="rId143" w:history="1">
        <w:r>
          <w:rPr>
            <w:b/>
            <w:color w:val="16324F"/>
            <w:sz w:val="20"/>
            <w:szCs w:val="20"/>
          </w:rPr>
          <w:t>ODBCIS TI process cannot send HTTP POST</w:t>
        </w:r>
      </w:hyperlink>
    </w:p>
    <w:p w14:paraId="0A659E4D" w14:textId="77777777" w:rsidR="00EB0B6B" w:rsidRDefault="00000000">
      <w:pPr>
        <w:keepNext/>
        <w:spacing w:after="40" w:line="240" w:lineRule="auto"/>
      </w:pPr>
      <w:hyperlink r:id="rId144" w:history="1">
        <w:r>
          <w:rPr>
            <w:color w:val="145EA8"/>
            <w:sz w:val="17"/>
            <w:szCs w:val="17"/>
          </w:rPr>
          <w:t>https:/​/​www.ibm.com/​support/​pages/​ti-​process-​error-​unable-​open-​data-​source-​failed-​send-​http-​post-​request</w:t>
        </w:r>
      </w:hyperlink>
    </w:p>
    <w:p w14:paraId="7776A638" w14:textId="77777777" w:rsidR="00EB0B6B" w:rsidRDefault="00000000">
      <w:pPr>
        <w:spacing w:after="80" w:line="250" w:lineRule="auto"/>
      </w:pPr>
      <w:r>
        <w:rPr>
          <w:rFonts w:eastAsia="Arial" w:cs="Arial"/>
          <w:color w:val="596C7B"/>
          <w:sz w:val="18"/>
        </w:rPr>
        <w:t>Incomplete root / intermediate certificate-chain troubleshooting.</w:t>
      </w:r>
    </w:p>
    <w:p w14:paraId="1DD39FAB" w14:textId="77777777" w:rsidR="00EB0B6B" w:rsidRDefault="00000000">
      <w:pPr>
        <w:keepNext/>
        <w:spacing w:before="100" w:after="40" w:line="252" w:lineRule="auto"/>
      </w:pPr>
      <w:bookmarkStart w:id="102" w:name="ref_65"/>
      <w:bookmarkEnd w:id="102"/>
      <w:r>
        <w:rPr>
          <w:rFonts w:eastAsia="Arial" w:cs="Arial"/>
          <w:b/>
          <w:color w:val="007D79"/>
          <w:sz w:val="20"/>
        </w:rPr>
        <w:t xml:space="preserve">[R65] </w:t>
      </w:r>
      <w:hyperlink r:id="rId145" w:history="1">
        <w:r>
          <w:rPr>
            <w:b/>
            <w:color w:val="16324F"/>
            <w:sz w:val="20"/>
            <w:szCs w:val="20"/>
          </w:rPr>
          <w:t>Planning Analytics cloud service status</w:t>
        </w:r>
      </w:hyperlink>
    </w:p>
    <w:p w14:paraId="5AA11732" w14:textId="77777777" w:rsidR="00EB0B6B" w:rsidRDefault="00000000">
      <w:pPr>
        <w:keepNext/>
        <w:spacing w:after="40" w:line="240" w:lineRule="auto"/>
      </w:pPr>
      <w:hyperlink r:id="rId146" w:history="1">
        <w:r>
          <w:rPr>
            <w:color w:val="145EA8"/>
            <w:sz w:val="17"/>
            <w:szCs w:val="17"/>
          </w:rPr>
          <w:t>https:/​/​status.planning-​analytics.cloud.ibm.com</w:t>
        </w:r>
      </w:hyperlink>
    </w:p>
    <w:p w14:paraId="7103BC37" w14:textId="77777777" w:rsidR="00EB0B6B" w:rsidRDefault="00000000">
      <w:pPr>
        <w:spacing w:after="80" w:line="250" w:lineRule="auto"/>
      </w:pPr>
      <w:r>
        <w:rPr>
          <w:rFonts w:eastAsia="Arial" w:cs="Arial"/>
          <w:color w:val="596C7B"/>
          <w:sz w:val="18"/>
        </w:rPr>
        <w:t>Operational status and incident notifications. Live service; status changes continuously.</w:t>
      </w:r>
    </w:p>
    <w:p w14:paraId="37588F21" w14:textId="77777777" w:rsidR="00EB0B6B" w:rsidRDefault="00000000">
      <w:pPr>
        <w:keepNext/>
        <w:spacing w:before="100" w:after="40" w:line="252" w:lineRule="auto"/>
      </w:pPr>
      <w:bookmarkStart w:id="103" w:name="ref_66"/>
      <w:bookmarkEnd w:id="103"/>
      <w:r>
        <w:rPr>
          <w:rFonts w:eastAsia="Arial" w:cs="Arial"/>
          <w:b/>
          <w:color w:val="007D79"/>
          <w:sz w:val="20"/>
        </w:rPr>
        <w:t xml:space="preserve">[R66] </w:t>
      </w:r>
      <w:hyperlink r:id="rId147" w:history="1">
        <w:r>
          <w:rPr>
            <w:b/>
            <w:color w:val="16324F"/>
            <w:sz w:val="20"/>
            <w:szCs w:val="20"/>
          </w:rPr>
          <w:t>Planning Analytics on Cloud maintenance</w:t>
        </w:r>
      </w:hyperlink>
    </w:p>
    <w:p w14:paraId="5B77B649" w14:textId="77777777" w:rsidR="00EB0B6B" w:rsidRDefault="00000000">
      <w:pPr>
        <w:keepNext/>
        <w:spacing w:after="40" w:line="240" w:lineRule="auto"/>
      </w:pPr>
      <w:hyperlink r:id="rId148" w:history="1">
        <w:r>
          <w:rPr>
            <w:color w:val="145EA8"/>
            <w:sz w:val="17"/>
            <w:szCs w:val="17"/>
          </w:rPr>
          <w:t>https:/​/​www.ibm.com/​docs/​en/​planning-​analytics/​2.0.0?​topic=​analytics-​maintenance</w:t>
        </w:r>
      </w:hyperlink>
    </w:p>
    <w:p w14:paraId="1A98EB6F" w14:textId="77777777" w:rsidR="00EB0B6B" w:rsidRDefault="00000000">
      <w:pPr>
        <w:spacing w:after="80" w:line="250" w:lineRule="auto"/>
      </w:pPr>
      <w:r>
        <w:rPr>
          <w:rFonts w:eastAsia="Arial" w:cs="Arial"/>
          <w:color w:val="596C7B"/>
          <w:sz w:val="18"/>
        </w:rPr>
        <w:t>Maintenance process; confirm dates against service notifications.</w:t>
      </w:r>
    </w:p>
    <w:p w14:paraId="778CBDCA" w14:textId="77777777" w:rsidR="00EB0B6B" w:rsidRDefault="00000000">
      <w:pPr>
        <w:keepNext/>
        <w:spacing w:before="100" w:after="40" w:line="252" w:lineRule="auto"/>
      </w:pPr>
      <w:bookmarkStart w:id="104" w:name="ref_67"/>
      <w:bookmarkEnd w:id="104"/>
      <w:r>
        <w:rPr>
          <w:rFonts w:eastAsia="Arial" w:cs="Arial"/>
          <w:b/>
          <w:color w:val="007D79"/>
          <w:sz w:val="20"/>
        </w:rPr>
        <w:t xml:space="preserve">[R67] </w:t>
      </w:r>
      <w:hyperlink r:id="rId149" w:history="1">
        <w:r>
          <w:rPr>
            <w:b/>
            <w:color w:val="16324F"/>
            <w:sz w:val="20"/>
            <w:szCs w:val="20"/>
          </w:rPr>
          <w:t>IBMid Enterprise Federation introduction</w:t>
        </w:r>
      </w:hyperlink>
    </w:p>
    <w:p w14:paraId="6D59DE9F" w14:textId="77777777" w:rsidR="00EB0B6B" w:rsidRDefault="00000000">
      <w:pPr>
        <w:keepNext/>
        <w:spacing w:after="40" w:line="240" w:lineRule="auto"/>
      </w:pPr>
      <w:hyperlink r:id="rId150" w:history="1">
        <w:r>
          <w:rPr>
            <w:color w:val="145EA8"/>
            <w:sz w:val="17"/>
            <w:szCs w:val="17"/>
          </w:rPr>
          <w:t>https:/​/​www.ibm.com/​docs/​en/​ief?​topic=​welcome-​introduction</w:t>
        </w:r>
      </w:hyperlink>
    </w:p>
    <w:p w14:paraId="2BBE7DDD" w14:textId="77777777" w:rsidR="00EB0B6B" w:rsidRDefault="00000000">
      <w:pPr>
        <w:spacing w:after="80" w:line="250" w:lineRule="auto"/>
      </w:pPr>
      <w:r>
        <w:rPr>
          <w:rFonts w:eastAsia="Arial" w:cs="Arial"/>
          <w:color w:val="596C7B"/>
          <w:sz w:val="18"/>
        </w:rPr>
        <w:t>Identity federation planning and enterprise identity integration.</w:t>
      </w:r>
    </w:p>
    <w:p w14:paraId="45EF43C1" w14:textId="77777777" w:rsidR="00EB0B6B" w:rsidRDefault="00000000">
      <w:pPr>
        <w:keepNext/>
        <w:spacing w:before="100" w:after="40" w:line="252" w:lineRule="auto"/>
      </w:pPr>
      <w:bookmarkStart w:id="105" w:name="ref_68"/>
      <w:bookmarkEnd w:id="105"/>
      <w:r>
        <w:rPr>
          <w:rFonts w:eastAsia="Arial" w:cs="Arial"/>
          <w:b/>
          <w:color w:val="007D79"/>
          <w:sz w:val="20"/>
        </w:rPr>
        <w:t xml:space="preserve">[R68] </w:t>
      </w:r>
      <w:hyperlink r:id="rId151" w:history="1">
        <w:r>
          <w:rPr>
            <w:b/>
            <w:color w:val="16324F"/>
            <w:sz w:val="20"/>
            <w:szCs w:val="20"/>
          </w:rPr>
          <w:t>What is my IBM Customer Number (ICN)?</w:t>
        </w:r>
      </w:hyperlink>
    </w:p>
    <w:p w14:paraId="07070CFF" w14:textId="77777777" w:rsidR="00EB0B6B" w:rsidRDefault="00000000">
      <w:pPr>
        <w:keepNext/>
        <w:spacing w:after="40" w:line="240" w:lineRule="auto"/>
      </w:pPr>
      <w:hyperlink r:id="rId152" w:history="1">
        <w:r>
          <w:rPr>
            <w:color w:val="145EA8"/>
            <w:sz w:val="17"/>
            <w:szCs w:val="17"/>
          </w:rPr>
          <w:t>https:/​/​www.ibm.com/​support/​pages/​what-​my-​ibm-​customer-​number-​icn</w:t>
        </w:r>
      </w:hyperlink>
    </w:p>
    <w:p w14:paraId="348A49DC" w14:textId="77777777" w:rsidR="00EB0B6B" w:rsidRDefault="00000000">
      <w:pPr>
        <w:spacing w:after="80" w:line="250" w:lineRule="auto"/>
      </w:pPr>
      <w:r>
        <w:rPr>
          <w:rFonts w:eastAsia="Arial" w:cs="Arial"/>
          <w:color w:val="596C7B"/>
          <w:sz w:val="18"/>
        </w:rPr>
        <w:t>Support entitlement onboarding and customer-number lookup.</w:t>
      </w:r>
    </w:p>
    <w:p w14:paraId="384051BE" w14:textId="77777777" w:rsidR="00EB0B6B" w:rsidRDefault="00000000">
      <w:pPr>
        <w:keepNext/>
        <w:spacing w:before="100" w:after="40" w:line="252" w:lineRule="auto"/>
      </w:pPr>
      <w:bookmarkStart w:id="106" w:name="ref_69"/>
      <w:bookmarkEnd w:id="106"/>
      <w:r>
        <w:rPr>
          <w:rFonts w:eastAsia="Arial" w:cs="Arial"/>
          <w:b/>
          <w:color w:val="007D79"/>
          <w:sz w:val="20"/>
        </w:rPr>
        <w:t xml:space="preserve">[R69] </w:t>
      </w:r>
      <w:hyperlink r:id="rId153" w:history="1">
        <w:r>
          <w:rPr>
            <w:b/>
            <w:color w:val="16324F"/>
            <w:sz w:val="20"/>
            <w:szCs w:val="20"/>
          </w:rPr>
          <w:t>New features in Planning Analytics as a Service 3.1.11</w:t>
        </w:r>
      </w:hyperlink>
    </w:p>
    <w:p w14:paraId="168CB12E" w14:textId="77777777" w:rsidR="00EB0B6B" w:rsidRDefault="00000000">
      <w:pPr>
        <w:keepNext/>
        <w:spacing w:after="40" w:line="240" w:lineRule="auto"/>
      </w:pPr>
      <w:hyperlink r:id="rId154" w:history="1">
        <w:r>
          <w:rPr>
            <w:color w:val="145EA8"/>
            <w:sz w:val="17"/>
            <w:szCs w:val="17"/>
          </w:rPr>
          <w:t>https:/​/​www.ibm.com/​support/​pages/​whats-​coming-​next-​ibm-​planning-​analytics-​service-​3111</w:t>
        </w:r>
      </w:hyperlink>
    </w:p>
    <w:p w14:paraId="2E75EC4E" w14:textId="77777777" w:rsidR="00EB0B6B" w:rsidRDefault="00000000">
      <w:pPr>
        <w:spacing w:after="80" w:line="250" w:lineRule="auto"/>
      </w:pPr>
      <w:r>
        <w:rPr>
          <w:rFonts w:eastAsia="Arial" w:cs="Arial"/>
          <w:color w:val="596C7B"/>
          <w:sz w:val="18"/>
        </w:rPr>
        <w:t>16 September 2026; reporting, data sources, AI provider options and database APIs.</w:t>
      </w:r>
    </w:p>
    <w:p w14:paraId="7CF747D2" w14:textId="77777777" w:rsidR="00EB0B6B" w:rsidRDefault="00000000">
      <w:pPr>
        <w:keepNext/>
        <w:spacing w:before="100" w:after="40" w:line="252" w:lineRule="auto"/>
      </w:pPr>
      <w:bookmarkStart w:id="107" w:name="ref_70"/>
      <w:bookmarkEnd w:id="107"/>
      <w:r>
        <w:rPr>
          <w:rFonts w:eastAsia="Arial" w:cs="Arial"/>
          <w:b/>
          <w:color w:val="007D79"/>
          <w:sz w:val="20"/>
        </w:rPr>
        <w:t xml:space="preserve">[R70] </w:t>
      </w:r>
      <w:hyperlink r:id="rId155" w:history="1">
        <w:r>
          <w:rPr>
            <w:b/>
            <w:color w:val="16324F"/>
            <w:sz w:val="20"/>
            <w:szCs w:val="20"/>
          </w:rPr>
          <w:t>New features in Planning Analytics as a Service 3.1.9</w:t>
        </w:r>
      </w:hyperlink>
    </w:p>
    <w:p w14:paraId="358B3B2D" w14:textId="77777777" w:rsidR="00EB0B6B" w:rsidRDefault="00000000">
      <w:pPr>
        <w:keepNext/>
        <w:spacing w:after="40" w:line="240" w:lineRule="auto"/>
      </w:pPr>
      <w:hyperlink r:id="rId156" w:history="1">
        <w:r>
          <w:rPr>
            <w:color w:val="145EA8"/>
            <w:sz w:val="17"/>
            <w:szCs w:val="17"/>
          </w:rPr>
          <w:t>https:/​/​www.ibm.com/​support/​pages/​node/​7276340</w:t>
        </w:r>
      </w:hyperlink>
    </w:p>
    <w:p w14:paraId="3969F8CD" w14:textId="77777777" w:rsidR="00EB0B6B" w:rsidRDefault="00000000">
      <w:pPr>
        <w:spacing w:after="80" w:line="250" w:lineRule="auto"/>
      </w:pPr>
      <w:r>
        <w:rPr>
          <w:rFonts w:eastAsia="Arial" w:cs="Arial"/>
          <w:color w:val="596C7B"/>
          <w:sz w:val="18"/>
        </w:rPr>
        <w:t>June 2026; agent, plans, API, modeling and administration updates.</w:t>
      </w:r>
    </w:p>
    <w:p w14:paraId="317AA6F1" w14:textId="77777777" w:rsidR="00EB0B6B" w:rsidRDefault="00000000">
      <w:pPr>
        <w:keepNext/>
        <w:spacing w:before="100" w:after="40" w:line="252" w:lineRule="auto"/>
      </w:pPr>
      <w:bookmarkStart w:id="108" w:name="ref_71"/>
      <w:bookmarkEnd w:id="108"/>
      <w:r>
        <w:rPr>
          <w:rFonts w:eastAsia="Arial" w:cs="Arial"/>
          <w:b/>
          <w:color w:val="007D79"/>
          <w:sz w:val="20"/>
        </w:rPr>
        <w:t xml:space="preserve">[R71] </w:t>
      </w:r>
      <w:hyperlink r:id="rId157" w:history="1">
        <w:r>
          <w:rPr>
            <w:b/>
            <w:color w:val="16324F"/>
            <w:sz w:val="20"/>
            <w:szCs w:val="20"/>
          </w:rPr>
          <w:t>Extended Forecasting Engine introduction</w:t>
        </w:r>
      </w:hyperlink>
    </w:p>
    <w:p w14:paraId="4963368E" w14:textId="77777777" w:rsidR="00EB0B6B" w:rsidRDefault="00000000">
      <w:pPr>
        <w:keepNext/>
        <w:spacing w:after="40" w:line="240" w:lineRule="auto"/>
      </w:pPr>
      <w:hyperlink r:id="rId158" w:history="1">
        <w:r>
          <w:rPr>
            <w:color w:val="145EA8"/>
            <w:sz w:val="17"/>
            <w:szCs w:val="17"/>
          </w:rPr>
          <w:t>https:/​/​community.ibm.com/​community/​user/​blogs/​svetlana-​pestsova/​2026/​09/​30/​the-​future-​of-​planning-​is-​here-​ibm-​planning-​analytics-​launches-​the-​extended-​forecasting-​engine</w:t>
        </w:r>
      </w:hyperlink>
    </w:p>
    <w:p w14:paraId="7E30B89A" w14:textId="77777777" w:rsidR="00EB0B6B" w:rsidRDefault="00000000">
      <w:pPr>
        <w:spacing w:after="80" w:line="250" w:lineRule="auto"/>
      </w:pPr>
      <w:r>
        <w:rPr>
          <w:rFonts w:eastAsia="Arial" w:cs="Arial"/>
          <w:color w:val="596C7B"/>
          <w:sz w:val="18"/>
        </w:rPr>
        <w:t>IBM introduction to Auto ARIMA, Holt-Winters, MSTL, BATS and XGBoost options.</w:t>
      </w:r>
    </w:p>
    <w:p w14:paraId="2E26F60A" w14:textId="77777777" w:rsidR="00EB0B6B" w:rsidRDefault="00000000">
      <w:pPr>
        <w:keepNext/>
        <w:spacing w:before="100" w:after="40" w:line="252" w:lineRule="auto"/>
      </w:pPr>
      <w:bookmarkStart w:id="109" w:name="ref_72"/>
      <w:bookmarkEnd w:id="109"/>
      <w:r>
        <w:rPr>
          <w:rFonts w:eastAsia="Arial" w:cs="Arial"/>
          <w:b/>
          <w:color w:val="007D79"/>
          <w:sz w:val="20"/>
        </w:rPr>
        <w:t xml:space="preserve">[R72] </w:t>
      </w:r>
      <w:hyperlink r:id="rId159" w:history="1">
        <w:r>
          <w:rPr>
            <w:b/>
            <w:color w:val="16324F"/>
            <w:sz w:val="20"/>
            <w:szCs w:val="20"/>
          </w:rPr>
          <w:t>Richer reports, more flexible agents - September 2026</w:t>
        </w:r>
      </w:hyperlink>
    </w:p>
    <w:p w14:paraId="27B9AE7B" w14:textId="77777777" w:rsidR="00EB0B6B" w:rsidRDefault="00000000">
      <w:pPr>
        <w:keepNext/>
        <w:spacing w:after="40" w:line="240" w:lineRule="auto"/>
      </w:pPr>
      <w:hyperlink r:id="rId160" w:history="1">
        <w:r>
          <w:rPr>
            <w:color w:val="145EA8"/>
            <w:sz w:val="17"/>
            <w:szCs w:val="17"/>
          </w:rPr>
          <w:t>https:/​/​community.ibm.com/​community/​user/​blogs/​sami-​el-​cheikh1/​2026/​09/​25/​richer-​reports-​more-​flexible-​agents-​whats-​new-​in-​i</w:t>
        </w:r>
      </w:hyperlink>
    </w:p>
    <w:p w14:paraId="19677E27" w14:textId="77777777" w:rsidR="00EB0B6B" w:rsidRDefault="00000000">
      <w:pPr>
        <w:spacing w:after="80" w:line="250" w:lineRule="auto"/>
      </w:pPr>
      <w:r>
        <w:rPr>
          <w:rFonts w:eastAsia="Arial" w:cs="Arial"/>
          <w:color w:val="596C7B"/>
          <w:sz w:val="18"/>
        </w:rPr>
        <w:t>Workspace agent integration update; distinguish available features from Excel roadmap.</w:t>
      </w:r>
    </w:p>
    <w:p w14:paraId="325F4D00" w14:textId="77777777" w:rsidR="00EB0B6B" w:rsidRDefault="00000000">
      <w:pPr>
        <w:pStyle w:val="Heading1"/>
        <w:pageBreakBefore/>
      </w:pPr>
      <w:bookmarkStart w:id="110" w:name="refs_part_09"/>
      <w:r>
        <w:rPr>
          <w:rFonts w:ascii="Arial" w:eastAsia="Arial" w:hAnsi="Arial" w:cs="Arial"/>
        </w:rPr>
        <w:t>Reference catalog - continued</w:t>
      </w:r>
      <w:bookmarkEnd w:id="110"/>
    </w:p>
    <w:p w14:paraId="0D19C0A3" w14:textId="77777777" w:rsidR="00EB0B6B" w:rsidRDefault="00000000">
      <w:pPr>
        <w:keepNext/>
        <w:spacing w:after="240"/>
      </w:pPr>
      <w:r>
        <w:rPr>
          <w:rFonts w:eastAsia="Arial" w:cs="Arial"/>
          <w:color w:val="007D79"/>
          <w:sz w:val="20"/>
        </w:rPr>
        <w:t>R73-R81  |  Official IBM sources and navigation links</w:t>
      </w:r>
    </w:p>
    <w:p w14:paraId="2FFFD334" w14:textId="77777777" w:rsidR="00EB0B6B" w:rsidRDefault="00000000">
      <w:pPr>
        <w:keepNext/>
        <w:spacing w:before="100" w:after="40" w:line="252" w:lineRule="auto"/>
      </w:pPr>
      <w:bookmarkStart w:id="111" w:name="ref_73"/>
      <w:bookmarkEnd w:id="111"/>
      <w:r>
        <w:rPr>
          <w:rFonts w:eastAsia="Arial" w:cs="Arial"/>
          <w:b/>
          <w:color w:val="007D79"/>
          <w:sz w:val="20"/>
        </w:rPr>
        <w:t xml:space="preserve">[R73] </w:t>
      </w:r>
      <w:hyperlink r:id="rId161" w:history="1">
        <w:r>
          <w:rPr>
            <w:b/>
            <w:color w:val="16324F"/>
            <w:sz w:val="20"/>
            <w:szCs w:val="20"/>
          </w:rPr>
          <w:t>Version-number change for Planning Analytics on Cloud</w:t>
        </w:r>
      </w:hyperlink>
    </w:p>
    <w:p w14:paraId="04564F41" w14:textId="77777777" w:rsidR="00EB0B6B" w:rsidRDefault="00000000">
      <w:pPr>
        <w:keepNext/>
        <w:spacing w:after="40" w:line="240" w:lineRule="auto"/>
      </w:pPr>
      <w:hyperlink r:id="rId162" w:history="1">
        <w:r>
          <w:rPr>
            <w:color w:val="145EA8"/>
            <w:sz w:val="17"/>
            <w:szCs w:val="17"/>
          </w:rPr>
          <w:t>https:/​/​community.ibm.com/​community/​user/​blogs/​stuart-​king1/​2025/​09/​16/​change-​to-​version-​numbers-​in-​planning-​analytics-​on</w:t>
        </w:r>
      </w:hyperlink>
    </w:p>
    <w:p w14:paraId="7E2B3086" w14:textId="77777777" w:rsidR="00EB0B6B" w:rsidRDefault="00000000">
      <w:pPr>
        <w:spacing w:after="80" w:line="250" w:lineRule="auto"/>
      </w:pPr>
      <w:r>
        <w:rPr>
          <w:rFonts w:eastAsia="Arial" w:cs="Arial"/>
          <w:color w:val="596C7B"/>
          <w:sz w:val="18"/>
        </w:rPr>
        <w:t>Dedicated cloud moved Workspace / Excel numbering to 2.1 from October 2025.</w:t>
      </w:r>
    </w:p>
    <w:p w14:paraId="59F1828F" w14:textId="77777777" w:rsidR="00EB0B6B" w:rsidRDefault="00000000">
      <w:pPr>
        <w:keepNext/>
        <w:spacing w:before="100" w:after="40" w:line="252" w:lineRule="auto"/>
      </w:pPr>
      <w:bookmarkStart w:id="112" w:name="ref_74"/>
      <w:bookmarkEnd w:id="112"/>
      <w:r>
        <w:rPr>
          <w:rFonts w:eastAsia="Arial" w:cs="Arial"/>
          <w:b/>
          <w:color w:val="007D79"/>
          <w:sz w:val="20"/>
        </w:rPr>
        <w:t xml:space="preserve">[R74] </w:t>
      </w:r>
      <w:hyperlink r:id="rId163" w:history="1">
        <w:r>
          <w:rPr>
            <w:b/>
            <w:color w:val="16324F"/>
            <w:sz w:val="20"/>
            <w:szCs w:val="20"/>
          </w:rPr>
          <w:t>Version-number change for Planning Analytics SaaS</w:t>
        </w:r>
      </w:hyperlink>
    </w:p>
    <w:p w14:paraId="212A87C9" w14:textId="77777777" w:rsidR="00EB0B6B" w:rsidRDefault="00000000">
      <w:pPr>
        <w:keepNext/>
        <w:spacing w:after="40" w:line="240" w:lineRule="auto"/>
      </w:pPr>
      <w:hyperlink r:id="rId164" w:history="1">
        <w:r>
          <w:rPr>
            <w:color w:val="145EA8"/>
            <w:sz w:val="17"/>
            <w:szCs w:val="17"/>
          </w:rPr>
          <w:t>https:/​/​community.ibm.com/​community/​user/​blogs/​stuart-​king1/​2025/​09/​17/​change-​to-​version-​numbers-​in-​planning-​analytics-​sa</w:t>
        </w:r>
      </w:hyperlink>
    </w:p>
    <w:p w14:paraId="77A7E9B5" w14:textId="77777777" w:rsidR="00EB0B6B" w:rsidRDefault="00000000">
      <w:pPr>
        <w:spacing w:after="80" w:line="250" w:lineRule="auto"/>
      </w:pPr>
      <w:r>
        <w:rPr>
          <w:rFonts w:eastAsia="Arial" w:cs="Arial"/>
          <w:color w:val="596C7B"/>
          <w:sz w:val="18"/>
        </w:rPr>
        <w:t>AWS / Azure SaaS moved Workspace / Excel numbering to 3.1 from October 2025.</w:t>
      </w:r>
    </w:p>
    <w:p w14:paraId="7FBDADBA" w14:textId="77777777" w:rsidR="00EB0B6B" w:rsidRDefault="00000000">
      <w:pPr>
        <w:keepNext/>
        <w:spacing w:before="100" w:after="40" w:line="252" w:lineRule="auto"/>
      </w:pPr>
      <w:bookmarkStart w:id="113" w:name="ref_75"/>
      <w:bookmarkEnd w:id="113"/>
      <w:r>
        <w:rPr>
          <w:rFonts w:eastAsia="Arial" w:cs="Arial"/>
          <w:b/>
          <w:color w:val="007D79"/>
          <w:sz w:val="20"/>
        </w:rPr>
        <w:t xml:space="preserve">[R75] </w:t>
      </w:r>
      <w:hyperlink r:id="rId165" w:history="1">
        <w:r>
          <w:rPr>
            <w:b/>
            <w:color w:val="16324F"/>
            <w:sz w:val="20"/>
            <w:szCs w:val="20"/>
          </w:rPr>
          <w:t>What is new in TM1 Database 12</w:t>
        </w:r>
      </w:hyperlink>
    </w:p>
    <w:p w14:paraId="2ABEA4D8" w14:textId="77777777" w:rsidR="00EB0B6B" w:rsidRDefault="00000000">
      <w:pPr>
        <w:keepNext/>
        <w:spacing w:after="40" w:line="240" w:lineRule="auto"/>
      </w:pPr>
      <w:hyperlink r:id="rId166" w:history="1">
        <w:r>
          <w:rPr>
            <w:color w:val="145EA8"/>
            <w:sz w:val="17"/>
            <w:szCs w:val="17"/>
          </w:rPr>
          <w:t>https:/​/​www.ibm.com/​docs/​en/​planning-​analytics/​3.1.0?​topic=​12-​whats-​new-​in-​tm1-​database</w:t>
        </w:r>
      </w:hyperlink>
    </w:p>
    <w:p w14:paraId="6EC6B813" w14:textId="77777777" w:rsidR="00EB0B6B" w:rsidRDefault="00000000">
      <w:pPr>
        <w:spacing w:after="80" w:line="250" w:lineRule="auto"/>
      </w:pPr>
      <w:r>
        <w:rPr>
          <w:rFonts w:eastAsia="Arial" w:cs="Arial"/>
          <w:color w:val="596C7B"/>
          <w:sz w:val="18"/>
        </w:rPr>
        <w:t>Database-engine changes; separate from front-end release numbering.</w:t>
      </w:r>
    </w:p>
    <w:p w14:paraId="5890A74A" w14:textId="77777777" w:rsidR="00EB0B6B" w:rsidRDefault="00000000">
      <w:pPr>
        <w:keepNext/>
        <w:spacing w:before="100" w:after="40" w:line="252" w:lineRule="auto"/>
      </w:pPr>
      <w:bookmarkStart w:id="114" w:name="ref_76"/>
      <w:bookmarkEnd w:id="114"/>
      <w:r>
        <w:rPr>
          <w:rFonts w:eastAsia="Arial" w:cs="Arial"/>
          <w:b/>
          <w:color w:val="007D79"/>
          <w:sz w:val="20"/>
        </w:rPr>
        <w:t xml:space="preserve">[R76] </w:t>
      </w:r>
      <w:hyperlink r:id="rId167" w:history="1">
        <w:r>
          <w:rPr>
            <w:b/>
            <w:color w:val="16324F"/>
            <w:sz w:val="20"/>
            <w:szCs w:val="20"/>
          </w:rPr>
          <w:t>What is new in Planning Analytics Workspace, 2.1</w:t>
        </w:r>
      </w:hyperlink>
    </w:p>
    <w:p w14:paraId="406E9B6C" w14:textId="77777777" w:rsidR="00EB0B6B" w:rsidRDefault="00000000">
      <w:pPr>
        <w:keepNext/>
        <w:spacing w:after="40" w:line="240" w:lineRule="auto"/>
      </w:pPr>
      <w:hyperlink r:id="rId168" w:history="1">
        <w:r>
          <w:rPr>
            <w:color w:val="145EA8"/>
            <w:sz w:val="17"/>
            <w:szCs w:val="17"/>
          </w:rPr>
          <w:t>https:/​/​www.ibm.com/​docs/​en/​planning-​analytics/​2.1.0?​topic=​features-​whats-​new-​in-​planning-​analytics-​workspace</w:t>
        </w:r>
      </w:hyperlink>
    </w:p>
    <w:p w14:paraId="6E4D5A65" w14:textId="77777777" w:rsidR="00EB0B6B" w:rsidRDefault="00000000">
      <w:pPr>
        <w:spacing w:after="80" w:line="250" w:lineRule="auto"/>
      </w:pPr>
      <w:r>
        <w:rPr>
          <w:rFonts w:eastAsia="Arial" w:cs="Arial"/>
          <w:color w:val="596C7B"/>
          <w:sz w:val="18"/>
        </w:rPr>
        <w:t>Current-line Workspace release notes. Linked from IBM download notice.</w:t>
      </w:r>
    </w:p>
    <w:p w14:paraId="2891BE91" w14:textId="77777777" w:rsidR="00EB0B6B" w:rsidRDefault="00000000">
      <w:pPr>
        <w:keepNext/>
        <w:spacing w:before="100" w:after="40" w:line="252" w:lineRule="auto"/>
      </w:pPr>
      <w:bookmarkStart w:id="115" w:name="ref_77"/>
      <w:bookmarkEnd w:id="115"/>
      <w:r>
        <w:rPr>
          <w:rFonts w:eastAsia="Arial" w:cs="Arial"/>
          <w:b/>
          <w:color w:val="007D79"/>
          <w:sz w:val="20"/>
        </w:rPr>
        <w:t xml:space="preserve">[R77] </w:t>
      </w:r>
      <w:hyperlink r:id="rId169" w:history="1">
        <w:r>
          <w:rPr>
            <w:b/>
            <w:color w:val="16324F"/>
            <w:sz w:val="20"/>
            <w:szCs w:val="20"/>
          </w:rPr>
          <w:t>What is new in Planning Analytics for Microsoft Excel, 3.1</w:t>
        </w:r>
      </w:hyperlink>
    </w:p>
    <w:p w14:paraId="7A488D79" w14:textId="77777777" w:rsidR="00EB0B6B" w:rsidRDefault="00000000">
      <w:pPr>
        <w:keepNext/>
        <w:spacing w:after="40" w:line="240" w:lineRule="auto"/>
      </w:pPr>
      <w:hyperlink r:id="rId170" w:history="1">
        <w:r>
          <w:rPr>
            <w:color w:val="145EA8"/>
            <w:sz w:val="17"/>
            <w:szCs w:val="17"/>
          </w:rPr>
          <w:t>https:/​/​www.ibm.com/​docs/​en/​planning-​analytics/​3.1.0?​topic=​new-​whats-​in-​planning-​analytics-​microsoft-​excel</w:t>
        </w:r>
      </w:hyperlink>
    </w:p>
    <w:p w14:paraId="4C686221" w14:textId="77777777" w:rsidR="00EB0B6B" w:rsidRDefault="00000000">
      <w:pPr>
        <w:spacing w:after="80" w:line="250" w:lineRule="auto"/>
      </w:pPr>
      <w:r>
        <w:rPr>
          <w:rFonts w:eastAsia="Arial" w:cs="Arial"/>
          <w:color w:val="596C7B"/>
          <w:sz w:val="18"/>
        </w:rPr>
        <w:t>Release-specific Excel features. Linked from IBM release instructions.</w:t>
      </w:r>
    </w:p>
    <w:p w14:paraId="5B89598A" w14:textId="77777777" w:rsidR="00EB0B6B" w:rsidRDefault="00000000">
      <w:pPr>
        <w:keepNext/>
        <w:spacing w:before="100" w:after="40" w:line="252" w:lineRule="auto"/>
      </w:pPr>
      <w:bookmarkStart w:id="116" w:name="ref_78"/>
      <w:bookmarkEnd w:id="116"/>
      <w:r>
        <w:rPr>
          <w:rFonts w:eastAsia="Arial" w:cs="Arial"/>
          <w:b/>
          <w:color w:val="007D79"/>
          <w:sz w:val="20"/>
        </w:rPr>
        <w:t xml:space="preserve">[R78] </w:t>
      </w:r>
      <w:hyperlink r:id="rId171" w:history="1">
        <w:r>
          <w:rPr>
            <w:b/>
            <w:color w:val="16324F"/>
            <w:sz w:val="20"/>
            <w:szCs w:val="20"/>
          </w:rPr>
          <w:t>Planning Analytics Workspace supported languages, 2.1</w:t>
        </w:r>
      </w:hyperlink>
    </w:p>
    <w:p w14:paraId="3F3CDCE6" w14:textId="77777777" w:rsidR="00EB0B6B" w:rsidRDefault="00000000">
      <w:pPr>
        <w:keepNext/>
        <w:spacing w:after="40" w:line="240" w:lineRule="auto"/>
      </w:pPr>
      <w:hyperlink r:id="rId172" w:history="1">
        <w:r>
          <w:rPr>
            <w:color w:val="145EA8"/>
            <w:sz w:val="17"/>
            <w:szCs w:val="17"/>
          </w:rPr>
          <w:t>https:/​/​www.ibm.com/​docs/​en/​planning-​analytics/​2.1.0?​topic=​workspace-​supported-​languages</w:t>
        </w:r>
      </w:hyperlink>
    </w:p>
    <w:p w14:paraId="1CF32E43" w14:textId="77777777" w:rsidR="00EB0B6B" w:rsidRDefault="00000000">
      <w:pPr>
        <w:spacing w:after="80" w:line="250" w:lineRule="auto"/>
      </w:pPr>
      <w:r>
        <w:rPr>
          <w:rFonts w:eastAsia="Arial" w:cs="Arial"/>
          <w:color w:val="596C7B"/>
          <w:sz w:val="18"/>
        </w:rPr>
        <w:t>Separate user-interface and documentation language support.</w:t>
      </w:r>
    </w:p>
    <w:p w14:paraId="3842777D" w14:textId="77777777" w:rsidR="00EB0B6B" w:rsidRDefault="00000000">
      <w:pPr>
        <w:keepNext/>
        <w:spacing w:before="100" w:after="40" w:line="252" w:lineRule="auto"/>
      </w:pPr>
      <w:bookmarkStart w:id="117" w:name="ref_79"/>
      <w:bookmarkEnd w:id="117"/>
      <w:r>
        <w:rPr>
          <w:rFonts w:eastAsia="Arial" w:cs="Arial"/>
          <w:b/>
          <w:color w:val="007D79"/>
          <w:sz w:val="20"/>
        </w:rPr>
        <w:t xml:space="preserve">[R79] </w:t>
      </w:r>
      <w:hyperlink r:id="rId173" w:history="1">
        <w:r>
          <w:rPr>
            <w:b/>
            <w:color w:val="16324F"/>
            <w:sz w:val="20"/>
            <w:szCs w:val="20"/>
          </w:rPr>
          <w:t>Planning Analytics for Excel supported languages</w:t>
        </w:r>
      </w:hyperlink>
    </w:p>
    <w:p w14:paraId="68EEC442" w14:textId="77777777" w:rsidR="00EB0B6B" w:rsidRDefault="00000000">
      <w:pPr>
        <w:keepNext/>
        <w:spacing w:after="40" w:line="240" w:lineRule="auto"/>
      </w:pPr>
      <w:hyperlink r:id="rId174" w:history="1">
        <w:r>
          <w:rPr>
            <w:color w:val="145EA8"/>
            <w:sz w:val="17"/>
            <w:szCs w:val="17"/>
          </w:rPr>
          <w:t>https:/​/​www.ibm.com/​docs/​SSD29G_​2.0.0/​com.ibm.swg.ba.cognos.ug_​cxr.2.0.0.doc/​c_​pax_​languages.html</w:t>
        </w:r>
      </w:hyperlink>
    </w:p>
    <w:p w14:paraId="2AEC0D9E" w14:textId="77777777" w:rsidR="00EB0B6B" w:rsidRDefault="00000000">
      <w:pPr>
        <w:spacing w:after="80" w:line="250" w:lineRule="auto"/>
      </w:pPr>
      <w:r>
        <w:rPr>
          <w:rFonts w:eastAsia="Arial" w:cs="Arial"/>
          <w:color w:val="596C7B"/>
          <w:sz w:val="18"/>
        </w:rPr>
        <w:t>Excel add-in language and translated-manual matrix.</w:t>
      </w:r>
    </w:p>
    <w:p w14:paraId="3CD3209E" w14:textId="77777777" w:rsidR="00EB0B6B" w:rsidRDefault="00000000">
      <w:pPr>
        <w:keepNext/>
        <w:spacing w:before="100" w:after="40" w:line="252" w:lineRule="auto"/>
      </w:pPr>
      <w:bookmarkStart w:id="118" w:name="ref_80"/>
      <w:bookmarkEnd w:id="118"/>
      <w:r>
        <w:rPr>
          <w:rFonts w:eastAsia="Arial" w:cs="Arial"/>
          <w:b/>
          <w:color w:val="007D79"/>
          <w:sz w:val="20"/>
        </w:rPr>
        <w:t xml:space="preserve">[R80] </w:t>
      </w:r>
      <w:hyperlink r:id="rId175" w:history="1">
        <w:r>
          <w:rPr>
            <w:b/>
            <w:color w:val="16324F"/>
            <w:sz w:val="20"/>
            <w:szCs w:val="20"/>
          </w:rPr>
          <w:t>Get started with Planning Analytics Workspace</w:t>
        </w:r>
      </w:hyperlink>
    </w:p>
    <w:p w14:paraId="0A972C69" w14:textId="77777777" w:rsidR="00EB0B6B" w:rsidRDefault="00000000">
      <w:pPr>
        <w:keepNext/>
        <w:spacing w:after="40" w:line="240" w:lineRule="auto"/>
      </w:pPr>
      <w:hyperlink r:id="rId176" w:history="1">
        <w:r>
          <w:rPr>
            <w:color w:val="145EA8"/>
            <w:sz w:val="17"/>
            <w:szCs w:val="17"/>
          </w:rPr>
          <w:t>https:/​/​www.ibm.com/​docs/​en/​planning-​analytics/​2.1.0?​topic=​workspace-​get-​started-​planning-​analytics</w:t>
        </w:r>
      </w:hyperlink>
    </w:p>
    <w:p w14:paraId="648F77E8" w14:textId="77777777" w:rsidR="00EB0B6B" w:rsidRDefault="00000000">
      <w:pPr>
        <w:spacing w:after="80" w:line="250" w:lineRule="auto"/>
      </w:pPr>
      <w:r>
        <w:rPr>
          <w:rFonts w:eastAsia="Arial" w:cs="Arial"/>
          <w:color w:val="596C7B"/>
          <w:sz w:val="18"/>
        </w:rPr>
        <w:t>Online user-manual entry point for Workspace.</w:t>
      </w:r>
    </w:p>
    <w:p w14:paraId="6EF7EF39" w14:textId="77777777" w:rsidR="00EB0B6B" w:rsidRDefault="00000000">
      <w:pPr>
        <w:keepNext/>
        <w:spacing w:before="100" w:after="40" w:line="252" w:lineRule="auto"/>
      </w:pPr>
      <w:bookmarkStart w:id="119" w:name="ref_81"/>
      <w:bookmarkEnd w:id="119"/>
      <w:r>
        <w:rPr>
          <w:rFonts w:eastAsia="Arial" w:cs="Arial"/>
          <w:b/>
          <w:color w:val="007D79"/>
          <w:sz w:val="20"/>
        </w:rPr>
        <w:t xml:space="preserve">[R81] </w:t>
      </w:r>
      <w:hyperlink r:id="rId177" w:history="1">
        <w:r>
          <w:rPr>
            <w:b/>
            <w:color w:val="16324F"/>
            <w:sz w:val="20"/>
            <w:szCs w:val="20"/>
          </w:rPr>
          <w:t>What is TM1?</w:t>
        </w:r>
      </w:hyperlink>
    </w:p>
    <w:p w14:paraId="38A145C9" w14:textId="77777777" w:rsidR="00EB0B6B" w:rsidRDefault="00000000">
      <w:pPr>
        <w:keepNext/>
        <w:spacing w:after="40" w:line="240" w:lineRule="auto"/>
      </w:pPr>
      <w:hyperlink r:id="rId178" w:history="1">
        <w:r>
          <w:rPr>
            <w:color w:val="145EA8"/>
            <w:sz w:val="17"/>
            <w:szCs w:val="17"/>
          </w:rPr>
          <w:t>https:/​/​www.ibm.com/​think/​topics/​tm1</w:t>
        </w:r>
      </w:hyperlink>
    </w:p>
    <w:p w14:paraId="1DFEEF09" w14:textId="77777777" w:rsidR="00EB0B6B" w:rsidRDefault="00000000">
      <w:pPr>
        <w:spacing w:after="80" w:line="250" w:lineRule="auto"/>
      </w:pPr>
      <w:r>
        <w:rPr>
          <w:rFonts w:eastAsia="Arial" w:cs="Arial"/>
          <w:color w:val="596C7B"/>
          <w:sz w:val="18"/>
        </w:rPr>
        <w:t>Multidimensional in-memory engine, calculations, write-back, integration and security.</w:t>
      </w:r>
    </w:p>
    <w:p w14:paraId="5824FCE4" w14:textId="77777777" w:rsidR="00EB0B6B" w:rsidRDefault="00000000">
      <w:pPr>
        <w:pStyle w:val="Heading1"/>
        <w:pageBreakBefore/>
      </w:pPr>
      <w:bookmarkStart w:id="120" w:name="refs_part_10"/>
      <w:r>
        <w:rPr>
          <w:rFonts w:ascii="Arial" w:eastAsia="Arial" w:hAnsi="Arial" w:cs="Arial"/>
        </w:rPr>
        <w:t>Reference catalog - continued</w:t>
      </w:r>
      <w:bookmarkEnd w:id="120"/>
    </w:p>
    <w:p w14:paraId="1E06A1C1" w14:textId="77777777" w:rsidR="00EB0B6B" w:rsidRDefault="00000000">
      <w:pPr>
        <w:keepNext/>
        <w:spacing w:after="240"/>
      </w:pPr>
      <w:r>
        <w:rPr>
          <w:rFonts w:eastAsia="Arial" w:cs="Arial"/>
          <w:color w:val="007D79"/>
          <w:sz w:val="20"/>
        </w:rPr>
        <w:t>R82-R90  |  Official IBM sources and navigation links</w:t>
      </w:r>
    </w:p>
    <w:p w14:paraId="7F78244E" w14:textId="77777777" w:rsidR="00EB0B6B" w:rsidRDefault="00000000">
      <w:pPr>
        <w:keepNext/>
        <w:spacing w:before="100" w:after="40" w:line="252" w:lineRule="auto"/>
      </w:pPr>
      <w:bookmarkStart w:id="121" w:name="ref_82"/>
      <w:bookmarkEnd w:id="121"/>
      <w:r>
        <w:rPr>
          <w:rFonts w:eastAsia="Arial" w:cs="Arial"/>
          <w:b/>
          <w:color w:val="007D79"/>
          <w:sz w:val="20"/>
        </w:rPr>
        <w:t xml:space="preserve">[R82] </w:t>
      </w:r>
      <w:hyperlink r:id="rId179" w:history="1">
        <w:r>
          <w:rPr>
            <w:b/>
            <w:color w:val="16324F"/>
            <w:sz w:val="20"/>
            <w:szCs w:val="20"/>
          </w:rPr>
          <w:t>Planning Analytics Workspace capabilities</w:t>
        </w:r>
      </w:hyperlink>
    </w:p>
    <w:p w14:paraId="3F15B135" w14:textId="77777777" w:rsidR="00EB0B6B" w:rsidRDefault="00000000">
      <w:pPr>
        <w:keepNext/>
        <w:spacing w:after="40" w:line="240" w:lineRule="auto"/>
      </w:pPr>
      <w:hyperlink r:id="rId180" w:history="1">
        <w:r>
          <w:rPr>
            <w:color w:val="145EA8"/>
            <w:sz w:val="17"/>
            <w:szCs w:val="17"/>
          </w:rPr>
          <w:t>https:/​/​www.ibm.com/​products/​planning-​analytics/​workspace</w:t>
        </w:r>
      </w:hyperlink>
    </w:p>
    <w:p w14:paraId="3E3C153F" w14:textId="77777777" w:rsidR="00EB0B6B" w:rsidRDefault="00000000">
      <w:pPr>
        <w:spacing w:after="80" w:line="250" w:lineRule="auto"/>
      </w:pPr>
      <w:r>
        <w:rPr>
          <w:rFonts w:eastAsia="Arial" w:cs="Arial"/>
          <w:color w:val="596C7B"/>
          <w:sz w:val="18"/>
        </w:rPr>
        <w:t>Books, visualization, applications, plans and model creation.</w:t>
      </w:r>
    </w:p>
    <w:p w14:paraId="2207E74F" w14:textId="77777777" w:rsidR="00EB0B6B" w:rsidRDefault="00000000">
      <w:pPr>
        <w:keepNext/>
        <w:spacing w:before="100" w:after="40" w:line="252" w:lineRule="auto"/>
      </w:pPr>
      <w:bookmarkStart w:id="122" w:name="ref_83"/>
      <w:bookmarkEnd w:id="122"/>
      <w:r>
        <w:rPr>
          <w:rFonts w:eastAsia="Arial" w:cs="Arial"/>
          <w:b/>
          <w:color w:val="007D79"/>
          <w:sz w:val="20"/>
        </w:rPr>
        <w:t xml:space="preserve">[R83] </w:t>
      </w:r>
      <w:hyperlink r:id="rId181" w:history="1">
        <w:r>
          <w:rPr>
            <w:b/>
            <w:color w:val="16324F"/>
            <w:sz w:val="20"/>
            <w:szCs w:val="20"/>
          </w:rPr>
          <w:t>Planning Analytics for Excel capabilities</w:t>
        </w:r>
      </w:hyperlink>
    </w:p>
    <w:p w14:paraId="244177E0" w14:textId="77777777" w:rsidR="00EB0B6B" w:rsidRDefault="00000000">
      <w:pPr>
        <w:keepNext/>
        <w:spacing w:after="40" w:line="240" w:lineRule="auto"/>
      </w:pPr>
      <w:hyperlink r:id="rId182" w:history="1">
        <w:r>
          <w:rPr>
            <w:color w:val="145EA8"/>
            <w:sz w:val="17"/>
            <w:szCs w:val="17"/>
          </w:rPr>
          <w:t>https:/​/​www.ibm.com/​products/​planning-​analytics/​excel</w:t>
        </w:r>
      </w:hyperlink>
    </w:p>
    <w:p w14:paraId="7EA08C5C" w14:textId="77777777" w:rsidR="00EB0B6B" w:rsidRDefault="00000000">
      <w:pPr>
        <w:spacing w:after="80" w:line="250" w:lineRule="auto"/>
      </w:pPr>
      <w:r>
        <w:rPr>
          <w:rFonts w:eastAsia="Arial" w:cs="Arial"/>
          <w:color w:val="596C7B"/>
          <w:sz w:val="18"/>
        </w:rPr>
        <w:t>Governed Excel-based planning, reporting and analysis.</w:t>
      </w:r>
    </w:p>
    <w:p w14:paraId="7035AA44" w14:textId="77777777" w:rsidR="00EB0B6B" w:rsidRDefault="00000000">
      <w:pPr>
        <w:keepNext/>
        <w:spacing w:before="100" w:after="40" w:line="252" w:lineRule="auto"/>
      </w:pPr>
      <w:bookmarkStart w:id="123" w:name="ref_84"/>
      <w:bookmarkEnd w:id="123"/>
      <w:r>
        <w:rPr>
          <w:rFonts w:eastAsia="Arial" w:cs="Arial"/>
          <w:b/>
          <w:color w:val="007D79"/>
          <w:sz w:val="20"/>
        </w:rPr>
        <w:t xml:space="preserve">[R84] </w:t>
      </w:r>
      <w:hyperlink r:id="rId183" w:history="1">
        <w:r>
          <w:rPr>
            <w:b/>
            <w:color w:val="16324F"/>
            <w:sz w:val="20"/>
            <w:szCs w:val="20"/>
          </w:rPr>
          <w:t>Planning Analytics AI and Agent capabilities</w:t>
        </w:r>
      </w:hyperlink>
    </w:p>
    <w:p w14:paraId="55D1F4DA" w14:textId="77777777" w:rsidR="00EB0B6B" w:rsidRDefault="00000000">
      <w:pPr>
        <w:keepNext/>
        <w:spacing w:after="40" w:line="240" w:lineRule="auto"/>
      </w:pPr>
      <w:hyperlink r:id="rId184" w:history="1">
        <w:r>
          <w:rPr>
            <w:color w:val="145EA8"/>
            <w:sz w:val="17"/>
            <w:szCs w:val="17"/>
          </w:rPr>
          <w:t>https:/​/​www.ibm.com/​products/​planning-​analytics/​ai</w:t>
        </w:r>
      </w:hyperlink>
    </w:p>
    <w:p w14:paraId="72AB3CAA" w14:textId="77777777" w:rsidR="00EB0B6B" w:rsidRDefault="00000000">
      <w:pPr>
        <w:spacing w:after="80" w:line="250" w:lineRule="auto"/>
      </w:pPr>
      <w:r>
        <w:rPr>
          <w:rFonts w:eastAsia="Arial" w:cs="Arial"/>
          <w:color w:val="596C7B"/>
          <w:sz w:val="18"/>
        </w:rPr>
        <w:t>Model-aware assistance, forecasting, agents and MCP integration.</w:t>
      </w:r>
    </w:p>
    <w:p w14:paraId="2E432E0F" w14:textId="77777777" w:rsidR="00EB0B6B" w:rsidRDefault="00000000">
      <w:pPr>
        <w:keepNext/>
        <w:spacing w:before="100" w:after="40" w:line="252" w:lineRule="auto"/>
      </w:pPr>
      <w:bookmarkStart w:id="124" w:name="ref_85"/>
      <w:bookmarkEnd w:id="124"/>
      <w:r>
        <w:rPr>
          <w:rFonts w:eastAsia="Arial" w:cs="Arial"/>
          <w:b/>
          <w:color w:val="007D79"/>
          <w:sz w:val="20"/>
        </w:rPr>
        <w:t xml:space="preserve">[R85] </w:t>
      </w:r>
      <w:hyperlink r:id="rId185" w:history="1">
        <w:r>
          <w:rPr>
            <w:b/>
            <w:color w:val="16324F"/>
            <w:sz w:val="20"/>
            <w:szCs w:val="20"/>
          </w:rPr>
          <w:t>Planning Analytics Connector for SAP</w:t>
        </w:r>
      </w:hyperlink>
    </w:p>
    <w:p w14:paraId="624AC94B" w14:textId="77777777" w:rsidR="00EB0B6B" w:rsidRDefault="00000000">
      <w:pPr>
        <w:keepNext/>
        <w:spacing w:after="40" w:line="240" w:lineRule="auto"/>
      </w:pPr>
      <w:hyperlink r:id="rId186" w:history="1">
        <w:r>
          <w:rPr>
            <w:color w:val="145EA8"/>
            <w:sz w:val="17"/>
            <w:szCs w:val="17"/>
          </w:rPr>
          <w:t>https:/​/​www.ibm.com/​docs/​en/​planning-​analytics/​2.1.0?​topic=​analytics-​planning-​connector-​sap</w:t>
        </w:r>
      </w:hyperlink>
    </w:p>
    <w:p w14:paraId="6A1925E6" w14:textId="77777777" w:rsidR="00EB0B6B" w:rsidRDefault="00000000">
      <w:pPr>
        <w:spacing w:after="80" w:line="250" w:lineRule="auto"/>
      </w:pPr>
      <w:r>
        <w:rPr>
          <w:rFonts w:eastAsia="Arial" w:cs="Arial"/>
          <w:color w:val="596C7B"/>
          <w:sz w:val="18"/>
        </w:rPr>
        <w:t>Official SAP connector manual. Linked from product page; automated retrieval restricted.</w:t>
      </w:r>
    </w:p>
    <w:p w14:paraId="61CFD8B8" w14:textId="77777777" w:rsidR="00EB0B6B" w:rsidRDefault="00000000">
      <w:pPr>
        <w:keepNext/>
        <w:spacing w:before="100" w:after="40" w:line="252" w:lineRule="auto"/>
      </w:pPr>
      <w:bookmarkStart w:id="125" w:name="ref_86"/>
      <w:bookmarkEnd w:id="125"/>
      <w:r>
        <w:rPr>
          <w:rFonts w:eastAsia="Arial" w:cs="Arial"/>
          <w:b/>
          <w:color w:val="007D79"/>
          <w:sz w:val="20"/>
        </w:rPr>
        <w:t xml:space="preserve">[R86] </w:t>
      </w:r>
      <w:hyperlink r:id="rId187" w:history="1">
        <w:r>
          <w:rPr>
            <w:b/>
            <w:color w:val="16324F"/>
            <w:sz w:val="20"/>
            <w:szCs w:val="20"/>
          </w:rPr>
          <w:t>Planning Analytics AI forecasting</w:t>
        </w:r>
      </w:hyperlink>
    </w:p>
    <w:p w14:paraId="7DBA07D2" w14:textId="77777777" w:rsidR="00EB0B6B" w:rsidRDefault="00000000">
      <w:pPr>
        <w:keepNext/>
        <w:spacing w:after="40" w:line="240" w:lineRule="auto"/>
      </w:pPr>
      <w:hyperlink r:id="rId188" w:history="1">
        <w:r>
          <w:rPr>
            <w:color w:val="145EA8"/>
            <w:sz w:val="17"/>
            <w:szCs w:val="17"/>
          </w:rPr>
          <w:t>https:/​/​www.ibm.com/​products/​planning-​analytics/​ai-​forecasting</w:t>
        </w:r>
      </w:hyperlink>
    </w:p>
    <w:p w14:paraId="64CB0297" w14:textId="77777777" w:rsidR="00EB0B6B" w:rsidRDefault="00000000">
      <w:pPr>
        <w:spacing w:after="80" w:line="250" w:lineRule="auto"/>
      </w:pPr>
      <w:r>
        <w:rPr>
          <w:rFonts w:eastAsia="Arial" w:cs="Arial"/>
          <w:color w:val="596C7B"/>
          <w:sz w:val="18"/>
        </w:rPr>
        <w:t>Baseline, on-demand forecasting, spreading and statistical details.</w:t>
      </w:r>
    </w:p>
    <w:p w14:paraId="5B2F4C12" w14:textId="77777777" w:rsidR="00EB0B6B" w:rsidRDefault="00000000">
      <w:pPr>
        <w:keepNext/>
        <w:spacing w:before="100" w:after="40" w:line="252" w:lineRule="auto"/>
      </w:pPr>
      <w:bookmarkStart w:id="126" w:name="ref_87"/>
      <w:bookmarkEnd w:id="126"/>
      <w:r>
        <w:rPr>
          <w:rFonts w:eastAsia="Arial" w:cs="Arial"/>
          <w:b/>
          <w:color w:val="007D79"/>
          <w:sz w:val="20"/>
        </w:rPr>
        <w:t xml:space="preserve">[R87] </w:t>
      </w:r>
      <w:hyperlink r:id="rId189" w:history="1">
        <w:r>
          <w:rPr>
            <w:b/>
            <w:color w:val="16324F"/>
            <w:sz w:val="20"/>
            <w:szCs w:val="20"/>
          </w:rPr>
          <w:t>Planning Analytics resources, demos and case studies</w:t>
        </w:r>
      </w:hyperlink>
    </w:p>
    <w:p w14:paraId="408639FD" w14:textId="77777777" w:rsidR="00EB0B6B" w:rsidRDefault="00000000">
      <w:pPr>
        <w:keepNext/>
        <w:spacing w:after="40" w:line="240" w:lineRule="auto"/>
      </w:pPr>
      <w:hyperlink r:id="rId190" w:history="1">
        <w:r>
          <w:rPr>
            <w:color w:val="145EA8"/>
            <w:sz w:val="17"/>
            <w:szCs w:val="17"/>
          </w:rPr>
          <w:t>https:/​/​www.ibm.com/​products/​planning-​analytics/​resources</w:t>
        </w:r>
      </w:hyperlink>
    </w:p>
    <w:p w14:paraId="786B6484" w14:textId="77777777" w:rsidR="00EB0B6B" w:rsidRDefault="00000000">
      <w:pPr>
        <w:spacing w:after="80" w:line="250" w:lineRule="auto"/>
      </w:pPr>
      <w:r>
        <w:rPr>
          <w:rFonts w:eastAsia="Arial" w:cs="Arial"/>
          <w:color w:val="596C7B"/>
          <w:sz w:val="18"/>
        </w:rPr>
        <w:t>Business demonstrations, solution brief, trials and customer examples.</w:t>
      </w:r>
    </w:p>
    <w:p w14:paraId="4AFC1257" w14:textId="77777777" w:rsidR="00EB0B6B" w:rsidRDefault="00000000">
      <w:pPr>
        <w:keepNext/>
        <w:spacing w:before="100" w:after="40" w:line="252" w:lineRule="auto"/>
      </w:pPr>
      <w:bookmarkStart w:id="127" w:name="ref_88"/>
      <w:bookmarkEnd w:id="127"/>
      <w:r>
        <w:rPr>
          <w:rFonts w:eastAsia="Arial" w:cs="Arial"/>
          <w:b/>
          <w:color w:val="007D79"/>
          <w:sz w:val="20"/>
        </w:rPr>
        <w:t xml:space="preserve">[R88] </w:t>
      </w:r>
      <w:hyperlink r:id="rId191" w:history="1">
        <w:r>
          <w:rPr>
            <w:b/>
            <w:color w:val="16324F"/>
            <w:sz w:val="20"/>
            <w:szCs w:val="20"/>
          </w:rPr>
          <w:t>Planning Analytics pricing and deployment options</w:t>
        </w:r>
      </w:hyperlink>
    </w:p>
    <w:p w14:paraId="43586D25" w14:textId="77777777" w:rsidR="00EB0B6B" w:rsidRDefault="00000000">
      <w:pPr>
        <w:keepNext/>
        <w:spacing w:after="40" w:line="240" w:lineRule="auto"/>
      </w:pPr>
      <w:hyperlink r:id="rId192" w:history="1">
        <w:r>
          <w:rPr>
            <w:color w:val="145EA8"/>
            <w:sz w:val="17"/>
            <w:szCs w:val="17"/>
          </w:rPr>
          <w:t>https:/​/​www.ibm.com/​products/​planning-​analytics/​pricing</w:t>
        </w:r>
      </w:hyperlink>
    </w:p>
    <w:p w14:paraId="3260009B" w14:textId="77777777" w:rsidR="00EB0B6B" w:rsidRDefault="00000000">
      <w:pPr>
        <w:spacing w:after="80" w:line="250" w:lineRule="auto"/>
      </w:pPr>
      <w:r>
        <w:rPr>
          <w:rFonts w:eastAsia="Arial" w:cs="Arial"/>
          <w:color w:val="596C7B"/>
          <w:sz w:val="18"/>
        </w:rPr>
        <w:t>Offering comparison and estimator; obtain a current entitlement-specific quote.</w:t>
      </w:r>
    </w:p>
    <w:p w14:paraId="2803FDD2" w14:textId="77777777" w:rsidR="00EB0B6B" w:rsidRDefault="00000000">
      <w:pPr>
        <w:keepNext/>
        <w:spacing w:before="100" w:after="40" w:line="252" w:lineRule="auto"/>
      </w:pPr>
      <w:bookmarkStart w:id="128" w:name="ref_89"/>
      <w:bookmarkEnd w:id="128"/>
      <w:r>
        <w:rPr>
          <w:rFonts w:eastAsia="Arial" w:cs="Arial"/>
          <w:b/>
          <w:color w:val="007D79"/>
          <w:sz w:val="20"/>
        </w:rPr>
        <w:t xml:space="preserve">[R89] </w:t>
      </w:r>
      <w:hyperlink r:id="rId193" w:history="1">
        <w:r>
          <w:rPr>
            <w:b/>
            <w:color w:val="16324F"/>
            <w:sz w:val="20"/>
            <w:szCs w:val="20"/>
          </w:rPr>
          <w:t>Excel Universal Reports and EvaluationService dependencies</w:t>
        </w:r>
      </w:hyperlink>
    </w:p>
    <w:p w14:paraId="3C2D2E04" w14:textId="77777777" w:rsidR="00EB0B6B" w:rsidRDefault="00000000">
      <w:pPr>
        <w:keepNext/>
        <w:spacing w:after="40" w:line="240" w:lineRule="auto"/>
      </w:pPr>
      <w:hyperlink r:id="rId194" w:history="1">
        <w:r>
          <w:rPr>
            <w:color w:val="145EA8"/>
            <w:sz w:val="17"/>
            <w:szCs w:val="17"/>
          </w:rPr>
          <w:t>https:/​/​www.ibm.com/​support/​pages/​ibm-​planning-​analytics-​v20-​planning-​analytics-​microsoft-​excel-​release-​100-​now-​available-​download-​planning-​analytics-​administration</w:t>
        </w:r>
      </w:hyperlink>
    </w:p>
    <w:p w14:paraId="2C4B294B" w14:textId="77777777" w:rsidR="00EB0B6B" w:rsidRDefault="00000000">
      <w:pPr>
        <w:spacing w:after="80" w:line="250" w:lineRule="auto"/>
      </w:pPr>
      <w:r>
        <w:rPr>
          <w:rFonts w:eastAsia="Arial" w:cs="Arial"/>
          <w:color w:val="596C7B"/>
          <w:sz w:val="18"/>
        </w:rPr>
        <w:t>Documents Spreadsheet Services and EvaluationService dependencies for Universal Reports.</w:t>
      </w:r>
    </w:p>
    <w:p w14:paraId="5A7BF3EB" w14:textId="77777777" w:rsidR="00EB0B6B" w:rsidRDefault="00000000">
      <w:pPr>
        <w:keepNext/>
        <w:spacing w:before="100" w:after="40" w:line="252" w:lineRule="auto"/>
      </w:pPr>
      <w:bookmarkStart w:id="129" w:name="ref_90"/>
      <w:bookmarkEnd w:id="129"/>
      <w:r>
        <w:rPr>
          <w:rFonts w:eastAsia="Arial" w:cs="Arial"/>
          <w:b/>
          <w:color w:val="007D79"/>
          <w:sz w:val="20"/>
        </w:rPr>
        <w:t xml:space="preserve">[R90] </w:t>
      </w:r>
      <w:hyperlink r:id="rId195" w:history="1">
        <w:r>
          <w:rPr>
            <w:b/>
            <w:color w:val="16324F"/>
            <w:sz w:val="20"/>
            <w:szCs w:val="20"/>
          </w:rPr>
          <w:t>Deprecation notices for Planning Analytics 2.0</w:t>
        </w:r>
      </w:hyperlink>
    </w:p>
    <w:p w14:paraId="604957C2" w14:textId="77777777" w:rsidR="00EB0B6B" w:rsidRDefault="00000000">
      <w:pPr>
        <w:keepNext/>
        <w:spacing w:after="40" w:line="240" w:lineRule="auto"/>
      </w:pPr>
      <w:hyperlink r:id="rId196" w:history="1">
        <w:r>
          <w:rPr>
            <w:color w:val="145EA8"/>
            <w:sz w:val="17"/>
            <w:szCs w:val="17"/>
          </w:rPr>
          <w:t>https:/​/​www.ibm.com/​support/​pages/​deprecation-​notices-​ibm-​planning-​analytics-​20</w:t>
        </w:r>
      </w:hyperlink>
    </w:p>
    <w:p w14:paraId="78B8A210" w14:textId="77777777" w:rsidR="00EB0B6B" w:rsidRDefault="00000000">
      <w:pPr>
        <w:spacing w:after="80" w:line="250" w:lineRule="auto"/>
      </w:pPr>
      <w:r>
        <w:rPr>
          <w:rFonts w:eastAsia="Arial" w:cs="Arial"/>
          <w:color w:val="596C7B"/>
          <w:sz w:val="18"/>
        </w:rPr>
        <w:t>Historical removals including Operations Console and PMHub; avoid obsolete runbooks.</w:t>
      </w:r>
    </w:p>
    <w:sectPr w:rsidR="00EB0B6B" w:rsidSect="00034616">
      <w:headerReference w:type="default" r:id="rId197"/>
      <w:footerReference w:type="default" r:id="rId198"/>
      <w:pgSz w:w="12240" w:h="15840"/>
      <w:pgMar w:top="979" w:right="1152" w:bottom="936" w:left="1152" w:header="403"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4A63" w14:textId="77777777" w:rsidR="006E7DF9" w:rsidRDefault="006E7DF9">
      <w:pPr>
        <w:spacing w:after="0" w:line="240" w:lineRule="auto"/>
      </w:pPr>
      <w:r>
        <w:separator/>
      </w:r>
    </w:p>
  </w:endnote>
  <w:endnote w:type="continuationSeparator" w:id="0">
    <w:p w14:paraId="01A83E8C" w14:textId="77777777" w:rsidR="006E7DF9" w:rsidRDefault="006E7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C14A" w14:textId="77777777" w:rsidR="00EB0B6B" w:rsidRDefault="00000000">
    <w:pPr>
      <w:pStyle w:val="Footer"/>
      <w:jc w:val="right"/>
    </w:pPr>
    <w:r>
      <w:rPr>
        <w:rFonts w:eastAsia="Arial" w:cs="Arial"/>
        <w:color w:val="596C7B"/>
        <w:sz w:val="17"/>
      </w:rPr>
      <w:t xml:space="preserve">October 2026  |  </w:t>
    </w:r>
    <w:r>
      <w:rPr>
        <w:rFonts w:eastAsia="Arial" w:cs="Arial"/>
        <w:color w:val="596C7B"/>
        <w:sz w:val="17"/>
      </w:rPr>
      <w:fldChar w:fldCharType="begin"/>
    </w:r>
    <w:r>
      <w:rPr>
        <w:rFonts w:eastAsia="Arial" w:cs="Arial"/>
        <w:color w:val="596C7B"/>
        <w:sz w:val="17"/>
      </w:rPr>
      <w:instrText xml:space="preserve"> PAGE </w:instrText>
    </w:r>
    <w:r w:rsidR="00E41DD8">
      <w:rPr>
        <w:rFonts w:eastAsia="Arial" w:cs="Arial"/>
        <w:color w:val="596C7B"/>
        <w:sz w:val="17"/>
      </w:rPr>
      <w:fldChar w:fldCharType="separate"/>
    </w:r>
    <w:r w:rsidR="00E41DD8">
      <w:rPr>
        <w:rFonts w:eastAsia="Arial" w:cs="Arial"/>
        <w:noProof/>
        <w:color w:val="596C7B"/>
        <w:sz w:val="17"/>
      </w:rPr>
      <w:t>1</w:t>
    </w:r>
    <w:r>
      <w:rPr>
        <w:rFonts w:eastAsia="Arial" w:cs="Arial"/>
        <w:color w:val="596C7B"/>
        <w:sz w:val="17"/>
      </w:rPr>
      <w:fldChar w:fldCharType="end"/>
    </w:r>
    <w:r>
      <w:rPr>
        <w:rFonts w:eastAsia="Arial" w:cs="Arial"/>
        <w:color w:val="596C7B"/>
        <w:sz w:val="17"/>
      </w:rPr>
      <w:t xml:space="preserve"> / </w:t>
    </w:r>
    <w:r>
      <w:rPr>
        <w:rFonts w:eastAsia="Arial" w:cs="Arial"/>
        <w:color w:val="596C7B"/>
        <w:sz w:val="17"/>
      </w:rPr>
      <w:fldChar w:fldCharType="begin"/>
    </w:r>
    <w:r>
      <w:rPr>
        <w:rFonts w:eastAsia="Arial" w:cs="Arial"/>
        <w:color w:val="596C7B"/>
        <w:sz w:val="17"/>
      </w:rPr>
      <w:instrText xml:space="preserve"> NUMPAGES </w:instrText>
    </w:r>
    <w:r w:rsidR="00E41DD8">
      <w:rPr>
        <w:rFonts w:eastAsia="Arial" w:cs="Arial"/>
        <w:color w:val="596C7B"/>
        <w:sz w:val="17"/>
      </w:rPr>
      <w:fldChar w:fldCharType="separate"/>
    </w:r>
    <w:r w:rsidR="00E41DD8">
      <w:rPr>
        <w:rFonts w:eastAsia="Arial" w:cs="Arial"/>
        <w:noProof/>
        <w:color w:val="596C7B"/>
        <w:sz w:val="17"/>
      </w:rPr>
      <w:t>1</w:t>
    </w:r>
    <w:r>
      <w:rPr>
        <w:rFonts w:eastAsia="Arial" w:cs="Arial"/>
        <w:color w:val="596C7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B1D96" w14:textId="77777777" w:rsidR="006E7DF9" w:rsidRDefault="006E7DF9">
      <w:pPr>
        <w:spacing w:after="0" w:line="240" w:lineRule="auto"/>
      </w:pPr>
      <w:r>
        <w:separator/>
      </w:r>
    </w:p>
  </w:footnote>
  <w:footnote w:type="continuationSeparator" w:id="0">
    <w:p w14:paraId="1A509C5B" w14:textId="77777777" w:rsidR="006E7DF9" w:rsidRDefault="006E7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B30E" w14:textId="77777777" w:rsidR="00EB0B6B" w:rsidRDefault="00000000">
    <w:pPr>
      <w:pStyle w:val="Header"/>
      <w:tabs>
        <w:tab w:val="right" w:pos="9936"/>
      </w:tabs>
    </w:pPr>
    <w:r>
      <w:rPr>
        <w:rFonts w:eastAsia="Arial" w:cs="Arial"/>
        <w:b/>
        <w:color w:val="596C7B"/>
        <w:sz w:val="16"/>
      </w:rPr>
      <w:t>IBM PLANNING ANALYTICS</w:t>
    </w:r>
    <w:r>
      <w:rPr>
        <w:rFonts w:eastAsia="Arial" w:cs="Arial"/>
        <w:color w:val="596C7B"/>
        <w:sz w:val="16"/>
      </w:rPr>
      <w:tab/>
      <w:t>IMPLEMENTATION &amp;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940710">
    <w:abstractNumId w:val="8"/>
  </w:num>
  <w:num w:numId="2" w16cid:durableId="1570532517">
    <w:abstractNumId w:val="6"/>
  </w:num>
  <w:num w:numId="3" w16cid:durableId="548340898">
    <w:abstractNumId w:val="5"/>
  </w:num>
  <w:num w:numId="4" w16cid:durableId="414088589">
    <w:abstractNumId w:val="4"/>
  </w:num>
  <w:num w:numId="5" w16cid:durableId="1671444665">
    <w:abstractNumId w:val="7"/>
  </w:num>
  <w:num w:numId="6" w16cid:durableId="296111624">
    <w:abstractNumId w:val="3"/>
  </w:num>
  <w:num w:numId="7" w16cid:durableId="1208570847">
    <w:abstractNumId w:val="2"/>
  </w:num>
  <w:num w:numId="8" w16cid:durableId="246576386">
    <w:abstractNumId w:val="1"/>
  </w:num>
  <w:num w:numId="9" w16cid:durableId="101472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0EC"/>
    <w:rsid w:val="0029639D"/>
    <w:rsid w:val="00326F90"/>
    <w:rsid w:val="006E7DF9"/>
    <w:rsid w:val="00AA1D8D"/>
    <w:rsid w:val="00B47730"/>
    <w:rsid w:val="00CB0664"/>
    <w:rsid w:val="00E41DD8"/>
    <w:rsid w:val="00EB0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6EB4A"/>
  <w14:defaultImageDpi w14:val="300"/>
  <w15:docId w15:val="{3826BFFF-47FF-4586-8D9B-F36742D82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243746"/>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mmunity.ibm.com/community/user/blogs/yin-chu/2023/05/26/paoc-getting-started-checklist" TargetMode="External"/><Relationship Id="rId21" Type="http://schemas.openxmlformats.org/officeDocument/2006/relationships/hyperlink" Target="https://www.ibm.com/docs/en/SSD29G_2.0.0/com.ibm.swg.ba.cognos.tm1_cloud_mg.2.0.0.doc/pa_cloud.html" TargetMode="External"/><Relationship Id="rId42" Type="http://schemas.openxmlformats.org/officeDocument/2006/relationships/hyperlink" Target="https://www.ibm.com/community/101/ibm-planning-analytics/" TargetMode="External"/><Relationship Id="rId63" Type="http://schemas.openxmlformats.org/officeDocument/2006/relationships/hyperlink" Target="https://community.ibm.com/community/user/blogs/stuart-king1/2025/02/03/new-installation-program-for-tm1-server" TargetMode="External"/><Relationship Id="rId84" Type="http://schemas.openxmlformats.org/officeDocument/2006/relationships/hyperlink" Target="https://www.ibm.com/docs/en/planning-analytics/2.1.0?topic=mad-install-configure-planning-analytics-administration-agent-local-only" TargetMode="External"/><Relationship Id="rId138" Type="http://schemas.openxmlformats.org/officeDocument/2006/relationships/hyperlink" Target="https://community.ibm.com/community/user/businessanalytics/blogs/sami-el-cheikh1/2024/08/07/satellite-connector-licensing-for-planning-analyti" TargetMode="External"/><Relationship Id="rId159" Type="http://schemas.openxmlformats.org/officeDocument/2006/relationships/hyperlink" Target="https://community.ibm.com/community/user/blogs/sami-el-cheikh1/2026/09/25/richer-reports-more-flexible-agents-whats-new-in-i" TargetMode="External"/><Relationship Id="rId170" Type="http://schemas.openxmlformats.org/officeDocument/2006/relationships/hyperlink" Target="https://www.ibm.com/docs/en/planning-analytics/3.1.0?topic=new-whats-in-planning-analytics-microsoft-excel" TargetMode="External"/><Relationship Id="rId191" Type="http://schemas.openxmlformats.org/officeDocument/2006/relationships/hyperlink" Target="https://www.ibm.com/products/planning-analytics/pricing" TargetMode="External"/><Relationship Id="rId107" Type="http://schemas.openxmlformats.org/officeDocument/2006/relationships/hyperlink" Target="https://community.ibm.com/community/user/blogs/paul-hart-prieto/2024/02/26/planning-analytics-on-cloud" TargetMode="External"/><Relationship Id="rId11" Type="http://schemas.openxmlformats.org/officeDocument/2006/relationships/hyperlink" Target="https://www.ibm.com/docs/en/SSD29G_2.0.0/main/pdf_link.html" TargetMode="External"/><Relationship Id="rId32" Type="http://schemas.openxmlformats.org/officeDocument/2006/relationships/hyperlink" Target="https://www.ibm.com/docs/en/SSD29G_2.0.0/main/supported_languages.html" TargetMode="External"/><Relationship Id="rId53" Type="http://schemas.openxmlformats.org/officeDocument/2006/relationships/hyperlink" Target="https://www.ibm.com/support/pages/node/7145856" TargetMode="External"/><Relationship Id="rId74" Type="http://schemas.openxmlformats.org/officeDocument/2006/relationships/hyperlink" Target="https://www.ibm.com/support/pages/node/6223948" TargetMode="External"/><Relationship Id="rId128" Type="http://schemas.openxmlformats.org/officeDocument/2006/relationships/hyperlink" Target="https://www.ibm.com/docs/en/saas-console?topic=getting-started-saas-console" TargetMode="External"/><Relationship Id="rId149" Type="http://schemas.openxmlformats.org/officeDocument/2006/relationships/hyperlink" Target="https://www.ibm.com/docs/en/ief?topic=welcome-introduction" TargetMode="External"/><Relationship Id="rId5" Type="http://schemas.openxmlformats.org/officeDocument/2006/relationships/webSettings" Target="webSettings.xml"/><Relationship Id="rId95" Type="http://schemas.openxmlformats.org/officeDocument/2006/relationships/hyperlink" Target="https://www.ibm.com/docs/SSD29G_2.0.0/com.ibm.swg.ba.cognos.tm1_turb.2.0.0.doc/t_tm1_turbo_editing_procedures.html" TargetMode="External"/><Relationship Id="rId160" Type="http://schemas.openxmlformats.org/officeDocument/2006/relationships/hyperlink" Target="https://community.ibm.com/community/user/blogs/sami-el-cheikh1/2026/09/25/richer-reports-more-flexible-agents-whats-new-in-i" TargetMode="External"/><Relationship Id="rId181" Type="http://schemas.openxmlformats.org/officeDocument/2006/relationships/hyperlink" Target="https://www.ibm.com/products/planning-analytics/excel" TargetMode="External"/><Relationship Id="rId22" Type="http://schemas.openxmlformats.org/officeDocument/2006/relationships/hyperlink" Target="https://www.ibm.com/docs/en/SSD29G_2.0.0/com.ibm.swg.ba.cognos.tm1_cloud_mg.2.0.0.doc/pa_cloud.html" TargetMode="External"/><Relationship Id="rId43" Type="http://schemas.openxmlformats.org/officeDocument/2006/relationships/hyperlink" Target="https://www.ibm.com/community/101/ibm-planning-analytics/planning-analytics-on-cloud/" TargetMode="External"/><Relationship Id="rId64" Type="http://schemas.openxmlformats.org/officeDocument/2006/relationships/hyperlink" Target="https://community.ibm.com/community/user/blogs/stuart-king1/2025/02/03/new-installation-program-for-tm1-server" TargetMode="External"/><Relationship Id="rId118" Type="http://schemas.openxmlformats.org/officeDocument/2006/relationships/hyperlink" Target="https://community.ibm.com/community/user/blogs/yin-chu/2023/05/26/paoc-getting-started-checklist" TargetMode="External"/><Relationship Id="rId139" Type="http://schemas.openxmlformats.org/officeDocument/2006/relationships/hyperlink" Target="https://www.ibm.com/support/pages/unable-select-database-connection-ti-process-error-failed-get-database-connections-odbcis-connection-reset" TargetMode="External"/><Relationship Id="rId85" Type="http://schemas.openxmlformats.org/officeDocument/2006/relationships/hyperlink" Target="https://www.ibm.com/docs/SSD29G_2.0.0/com.ibm.swg.ba.cognos.tm1_nfg.2.0.0.doc/c_paw_nf_paa_local.html" TargetMode="External"/><Relationship Id="rId150" Type="http://schemas.openxmlformats.org/officeDocument/2006/relationships/hyperlink" Target="https://www.ibm.com/docs/en/ief?topic=welcome-introduction" TargetMode="External"/><Relationship Id="rId171" Type="http://schemas.openxmlformats.org/officeDocument/2006/relationships/hyperlink" Target="https://www.ibm.com/docs/en/planning-analytics/2.1.0?topic=workspace-supported-languages" TargetMode="External"/><Relationship Id="rId192" Type="http://schemas.openxmlformats.org/officeDocument/2006/relationships/hyperlink" Target="https://www.ibm.com/products/planning-analytics/pricing" TargetMode="External"/><Relationship Id="rId12" Type="http://schemas.openxmlformats.org/officeDocument/2006/relationships/hyperlink" Target="https://www.ibm.com/docs/en/SSD29G_2.0.0/main/pdf_link.html" TargetMode="External"/><Relationship Id="rId33" Type="http://schemas.openxmlformats.org/officeDocument/2006/relationships/hyperlink" Target="https://www.ibm.com/docs/en/SSD29G_2.0.0/gdpr/doc.pdf" TargetMode="External"/><Relationship Id="rId108" Type="http://schemas.openxmlformats.org/officeDocument/2006/relationships/hyperlink" Target="https://community.ibm.com/community/user/blogs/paul-hart-prieto/2024/02/26/planning-analytics-on-cloud" TargetMode="External"/><Relationship Id="rId129" Type="http://schemas.openxmlformats.org/officeDocument/2006/relationships/hyperlink" Target="https://www.ibm.com/support/pages/how-do-i-create-noninteractive-account-planning-analytics-service" TargetMode="External"/><Relationship Id="rId54" Type="http://schemas.openxmlformats.org/officeDocument/2006/relationships/hyperlink" Target="https://www.ibm.com/support/pages/node/7145856" TargetMode="External"/><Relationship Id="rId75" Type="http://schemas.openxmlformats.org/officeDocument/2006/relationships/hyperlink" Target="https://www.ibm.com/docs/en/planning-analytics/2.1.0?topic=configuration-installing-planning-analytics-spreadsheet-services-tm1-web" TargetMode="External"/><Relationship Id="rId96" Type="http://schemas.openxmlformats.org/officeDocument/2006/relationships/hyperlink" Target="https://www.ibm.com/docs/SSD29G_2.0.0/com.ibm.swg.ba.cognos.tm1_turb.2.0.0.doc/t_tm1_turbo_editing_procedures.html" TargetMode="External"/><Relationship Id="rId140" Type="http://schemas.openxmlformats.org/officeDocument/2006/relationships/hyperlink" Target="https://www.ibm.com/support/pages/unable-select-database-connection-ti-process-error-failed-get-database-connections-odbcis-connection-reset" TargetMode="External"/><Relationship Id="rId161" Type="http://schemas.openxmlformats.org/officeDocument/2006/relationships/hyperlink" Target="https://community.ibm.com/community/user/blogs/stuart-king1/2025/09/16/change-to-version-numbers-in-planning-analytics-on" TargetMode="External"/><Relationship Id="rId182" Type="http://schemas.openxmlformats.org/officeDocument/2006/relationships/hyperlink" Target="https://www.ibm.com/products/planning-analytics/excel" TargetMode="External"/><Relationship Id="rId6" Type="http://schemas.openxmlformats.org/officeDocument/2006/relationships/footnotes" Target="footnotes.xml"/><Relationship Id="rId23" Type="http://schemas.openxmlformats.org/officeDocument/2006/relationships/hyperlink" Target="https://www.ibm.com/docs/en/SSD29G_2.0.0/com.ibm.swg.ba.cognos.tm1_inst.2.0.0.doc/pa_install.html" TargetMode="External"/><Relationship Id="rId119" Type="http://schemas.openxmlformats.org/officeDocument/2006/relationships/hyperlink" Target="https://community.ibm.com/community/user/blogs/yin-chu/2024/03/18/paaas-getting-started-checklist" TargetMode="External"/><Relationship Id="rId44" Type="http://schemas.openxmlformats.org/officeDocument/2006/relationships/hyperlink" Target="https://www.ibm.com/community/101/ibm-planning-analytics/planning-analytics-on-cloud/" TargetMode="External"/><Relationship Id="rId65" Type="http://schemas.openxmlformats.org/officeDocument/2006/relationships/hyperlink" Target="https://www.ibm.com/docs/en/planning-analytics/2.0.0?topic=configuration-planning-your-installation" TargetMode="External"/><Relationship Id="rId86" Type="http://schemas.openxmlformats.org/officeDocument/2006/relationships/hyperlink" Target="https://www.ibm.com/docs/SSD29G_2.0.0/com.ibm.swg.ba.cognos.tm1_nfg.2.0.0.doc/c_paw_nf_paa_local.html" TargetMode="External"/><Relationship Id="rId130" Type="http://schemas.openxmlformats.org/officeDocument/2006/relationships/hyperlink" Target="https://www.ibm.com/support/pages/how-do-i-create-noninteractive-account-planning-analytics-service" TargetMode="External"/><Relationship Id="rId151" Type="http://schemas.openxmlformats.org/officeDocument/2006/relationships/hyperlink" Target="https://www.ibm.com/support/pages/what-my-ibm-customer-number-icn" TargetMode="External"/><Relationship Id="rId172" Type="http://schemas.openxmlformats.org/officeDocument/2006/relationships/hyperlink" Target="https://www.ibm.com/docs/en/planning-analytics/2.1.0?topic=workspace-supported-languages" TargetMode="External"/><Relationship Id="rId193" Type="http://schemas.openxmlformats.org/officeDocument/2006/relationships/hyperlink" Target="https://www.ibm.com/support/pages/ibm-planning-analytics-v20-planning-analytics-microsoft-excel-release-100-now-available-download-planning-analytics-administration" TargetMode="External"/><Relationship Id="rId13" Type="http://schemas.openxmlformats.org/officeDocument/2006/relationships/hyperlink" Target="https://www.ibm.com/docs/en/SSD29G_2.0.0/main/pdf_link.html" TargetMode="External"/><Relationship Id="rId109" Type="http://schemas.openxmlformats.org/officeDocument/2006/relationships/hyperlink" Target="https://www.ibm.com/support/pages/troubleshooting-tm1-data-encryption-tm1crypt-tool" TargetMode="External"/><Relationship Id="rId34" Type="http://schemas.openxmlformats.org/officeDocument/2006/relationships/hyperlink" Target="https://www.ibm.com/docs/en/SSD29G_2.0.0/gdpr/doc.pdf" TargetMode="External"/><Relationship Id="rId55" Type="http://schemas.openxmlformats.org/officeDocument/2006/relationships/hyperlink" Target="https://www.ibm.com/support/pages/planning-analytics-local-lifecycle" TargetMode="External"/><Relationship Id="rId76" Type="http://schemas.openxmlformats.org/officeDocument/2006/relationships/hyperlink" Target="https://www.ibm.com/docs/en/planning-analytics/2.1.0?topic=configuration-installing-planning-analytics-spreadsheet-services-tm1-web" TargetMode="External"/><Relationship Id="rId97" Type="http://schemas.openxmlformats.org/officeDocument/2006/relationships/hyperlink" Target="https://www.ibm.com/docs/en/planning-analytics/2.0.0?topic=functions-feeders" TargetMode="External"/><Relationship Id="rId120" Type="http://schemas.openxmlformats.org/officeDocument/2006/relationships/hyperlink" Target="https://community.ibm.com/community/user/blogs/yin-chu/2024/03/18/paaas-getting-started-checklist" TargetMode="External"/><Relationship Id="rId141" Type="http://schemas.openxmlformats.org/officeDocument/2006/relationships/hyperlink" Target="https://www.ibm.com/support/pages/odbcis-connector-returns-504-timeout-error-large-queries-exceeding-2-minutes" TargetMode="External"/><Relationship Id="rId7" Type="http://schemas.openxmlformats.org/officeDocument/2006/relationships/endnotes" Target="endnotes.xml"/><Relationship Id="rId71" Type="http://schemas.openxmlformats.org/officeDocument/2006/relationships/hyperlink" Target="https://www.ibm.com/docs/en/planning-analytics/2.1.0?topic=21-deprecated-features-in-planning-analytics-local" TargetMode="External"/><Relationship Id="rId92" Type="http://schemas.openxmlformats.org/officeDocument/2006/relationships/hyperlink" Target="https://www.ibm.com/docs/en/planning-analytics/2.0.0?topic=api-installation-configuration" TargetMode="External"/><Relationship Id="rId162" Type="http://schemas.openxmlformats.org/officeDocument/2006/relationships/hyperlink" Target="https://community.ibm.com/community/user/blogs/stuart-king1/2025/09/16/change-to-version-numbers-in-planning-analytics-on" TargetMode="External"/><Relationship Id="rId183" Type="http://schemas.openxmlformats.org/officeDocument/2006/relationships/hyperlink" Target="https://www.ibm.com/products/planning-analytics/ai" TargetMode="External"/><Relationship Id="rId2" Type="http://schemas.openxmlformats.org/officeDocument/2006/relationships/numbering" Target="numbering.xml"/><Relationship Id="rId29" Type="http://schemas.openxmlformats.org/officeDocument/2006/relationships/hyperlink" Target="https://www.ibm.com/software/reports/compatibility/clarity/index.html" TargetMode="External"/><Relationship Id="rId24" Type="http://schemas.openxmlformats.org/officeDocument/2006/relationships/hyperlink" Target="https://www.ibm.com/docs/en/SSD29G_2.0.0/com.ibm.swg.ba.cognos.tm1_inst.2.0.0.doc/pa_install.html" TargetMode="External"/><Relationship Id="rId40" Type="http://schemas.openxmlformats.org/officeDocument/2006/relationships/hyperlink" Target="https://www.ibm.com/mysupport/s/topic/0TO500000002PWWGA2/planning-analytics-local?language=en_US&amp;productId=01t50000004XdynAAC" TargetMode="External"/><Relationship Id="rId45" Type="http://schemas.openxmlformats.org/officeDocument/2006/relationships/hyperlink" Target="https://www.ibm.com/community/101/ibm-planning-analytics/ibm-planning-analytics-local/" TargetMode="External"/><Relationship Id="rId66" Type="http://schemas.openxmlformats.org/officeDocument/2006/relationships/hyperlink" Target="https://www.ibm.com/docs/en/planning-analytics/2.0.0?topic=configuration-planning-your-installation" TargetMode="External"/><Relationship Id="rId87" Type="http://schemas.openxmlformats.org/officeDocument/2006/relationships/hyperlink" Target="https://www.ibm.com/docs/SSD29G_2.0.0/com.ibm.swg.ba.cognos.tm1_rest_api.2.0.0.doc/tm1_rest_api.html" TargetMode="External"/><Relationship Id="rId110" Type="http://schemas.openxmlformats.org/officeDocument/2006/relationships/hyperlink" Target="https://www.ibm.com/support/pages/troubleshooting-tm1-data-encryption-tm1crypt-tool" TargetMode="External"/><Relationship Id="rId115" Type="http://schemas.openxmlformats.org/officeDocument/2006/relationships/hyperlink" Target="https://www.ibm.com/support/pages/node/6982083" TargetMode="External"/><Relationship Id="rId131" Type="http://schemas.openxmlformats.org/officeDocument/2006/relationships/hyperlink" Target="https://community.ibm.com/community/user/blogs/jessica-nicholls/2025/02/03/managing-paaas-with-apis" TargetMode="External"/><Relationship Id="rId136" Type="http://schemas.openxmlformats.org/officeDocument/2006/relationships/hyperlink" Target="https://www.ibm.com/support/pages/must-gather-troubleshoot-planning-analytics-satellite-connector" TargetMode="External"/><Relationship Id="rId157" Type="http://schemas.openxmlformats.org/officeDocument/2006/relationships/hyperlink" Target="https://community.ibm.com/community/user/blogs/svetlana-pestsova/2026/09/30/the-future-of-planning-is-here-ibm-planning-analytics-launches-the-extended-forecasting-engine" TargetMode="External"/><Relationship Id="rId178" Type="http://schemas.openxmlformats.org/officeDocument/2006/relationships/hyperlink" Target="https://www.ibm.com/think/topics/tm1" TargetMode="External"/><Relationship Id="rId61" Type="http://schemas.openxmlformats.org/officeDocument/2006/relationships/hyperlink" Target="https://www.ibm.com/docs/en/planning-analytics/2.0.0?topic=local-installing-data-tier-planning-analytics-20921-later" TargetMode="External"/><Relationship Id="rId82" Type="http://schemas.openxmlformats.org/officeDocument/2006/relationships/hyperlink" Target="https://www.ibm.com/docs/en/planning-analytics/2.0.0?topic=excel-installation-tasks" TargetMode="External"/><Relationship Id="rId152" Type="http://schemas.openxmlformats.org/officeDocument/2006/relationships/hyperlink" Target="https://www.ibm.com/support/pages/what-my-ibm-customer-number-icn" TargetMode="External"/><Relationship Id="rId173" Type="http://schemas.openxmlformats.org/officeDocument/2006/relationships/hyperlink" Target="https://www.ibm.com/docs/SSD29G_2.0.0/com.ibm.swg.ba.cognos.ug_cxr.2.0.0.doc/c_pax_languages.html" TargetMode="External"/><Relationship Id="rId194" Type="http://schemas.openxmlformats.org/officeDocument/2006/relationships/hyperlink" Target="https://www.ibm.com/support/pages/ibm-planning-analytics-v20-planning-analytics-microsoft-excel-release-100-now-available-download-planning-analytics-administration" TargetMode="External"/><Relationship Id="rId199" Type="http://schemas.openxmlformats.org/officeDocument/2006/relationships/fontTable" Target="fontTable.xml"/><Relationship Id="rId19" Type="http://schemas.openxmlformats.org/officeDocument/2006/relationships/hyperlink" Target="https://www.ibm.com/docs/en/planning-analytics/2.0.0?topic=SSD29G_2.0.0/main/welcome.htm" TargetMode="External"/><Relationship Id="rId14" Type="http://schemas.openxmlformats.org/officeDocument/2006/relationships/hyperlink" Target="https://www.ibm.com/docs/en/SSD29G_2.0.0/main/pdf_link.html" TargetMode="External"/><Relationship Id="rId30" Type="http://schemas.openxmlformats.org/officeDocument/2006/relationships/hyperlink" Target="https://www.ibm.com/software/reports/compatibility/clarity/index.html" TargetMode="External"/><Relationship Id="rId35" Type="http://schemas.openxmlformats.org/officeDocument/2006/relationships/hyperlink" Target="https://community.ibm.com/community/user/businessanalytics/communities/community-home?communitykey=8fde0600-e22b-4178-acf5-bf4eda43146b" TargetMode="External"/><Relationship Id="rId56" Type="http://schemas.openxmlformats.org/officeDocument/2006/relationships/hyperlink" Target="https://www.ibm.com/support/pages/planning-analytics-local-lifecycle" TargetMode="External"/><Relationship Id="rId77" Type="http://schemas.openxmlformats.org/officeDocument/2006/relationships/hyperlink" Target="https://www.ibm.com/support/pages/ibm-planning-analytics-microsoft-excel-conformance-requirements" TargetMode="External"/><Relationship Id="rId100" Type="http://schemas.openxmlformats.org/officeDocument/2006/relationships/hyperlink" Target="https://www.ibm.com/docs/SSD29G_2.0.0/com.ibm.swg.ba.cognos.ug_cxr.2.0.0.doc/t_cxr_cubev_sandboxes.html" TargetMode="External"/><Relationship Id="rId105" Type="http://schemas.openxmlformats.org/officeDocument/2006/relationships/hyperlink" Target="https://www.ibm.com/docs/SSD29G_2.0.0/com.ibm.swg.ba.cognos.tm1_dg_dvlpr.2.0.0.doc/c_allowingprocessestomodifysecuritydata_n608df.html" TargetMode="External"/><Relationship Id="rId126" Type="http://schemas.openxmlformats.org/officeDocument/2006/relationships/hyperlink" Target="https://www.ibm.com/docs/en/paww/2.0.0?topic=cloud-add-invite-user-only" TargetMode="External"/><Relationship Id="rId147" Type="http://schemas.openxmlformats.org/officeDocument/2006/relationships/hyperlink" Target="https://www.ibm.com/docs/en/planning-analytics/2.0.0?topic=analytics-maintenance" TargetMode="External"/><Relationship Id="rId168" Type="http://schemas.openxmlformats.org/officeDocument/2006/relationships/hyperlink" Target="https://www.ibm.com/docs/en/planning-analytics/2.1.0?topic=features-whats-new-in-planning-analytics-workspace" TargetMode="External"/><Relationship Id="rId8" Type="http://schemas.openxmlformats.org/officeDocument/2006/relationships/hyperlink" Target="https://www.ibm.com/docs/en/SSD29G_2.0.0/main/pdf_link.html" TargetMode="External"/><Relationship Id="rId51" Type="http://schemas.openxmlformats.org/officeDocument/2006/relationships/hyperlink" Target="https://www.ibm.com/support/pages/ibm-planning-analytics-local-technical-preview-3111-available-download-fix-central" TargetMode="External"/><Relationship Id="rId72" Type="http://schemas.openxmlformats.org/officeDocument/2006/relationships/hyperlink" Target="https://www.ibm.com/docs/en/planning-analytics/2.1.0?topic=21-deprecated-features-in-planning-analytics-local" TargetMode="External"/><Relationship Id="rId93" Type="http://schemas.openxmlformats.org/officeDocument/2006/relationships/hyperlink" Target="https://www.ibm.com/docs/SSD29G_2.0.0/com.ibm.swg.ba.cognos.tm1_rest_api.2.0.0.doc/t_tm1_rest_api_cubes_and_native_views.html" TargetMode="External"/><Relationship Id="rId98" Type="http://schemas.openxmlformats.org/officeDocument/2006/relationships/hyperlink" Target="https://www.ibm.com/docs/en/planning-analytics/2.0.0?topic=functions-feeders" TargetMode="External"/><Relationship Id="rId121" Type="http://schemas.openxmlformats.org/officeDocument/2006/relationships/hyperlink" Target="https://community.ibm.com/community/user/blogs/paul-hart-prieto/2024/07/08/ibm-planning-analytics-as-a-service-support" TargetMode="External"/><Relationship Id="rId142" Type="http://schemas.openxmlformats.org/officeDocument/2006/relationships/hyperlink" Target="https://www.ibm.com/support/pages/odbcis-connector-returns-504-timeout-error-large-queries-exceeding-2-minutes" TargetMode="External"/><Relationship Id="rId163" Type="http://schemas.openxmlformats.org/officeDocument/2006/relationships/hyperlink" Target="https://community.ibm.com/community/user/blogs/stuart-king1/2025/09/17/change-to-version-numbers-in-planning-analytics-sa" TargetMode="External"/><Relationship Id="rId184" Type="http://schemas.openxmlformats.org/officeDocument/2006/relationships/hyperlink" Target="https://www.ibm.com/products/planning-analytics/ai" TargetMode="External"/><Relationship Id="rId189" Type="http://schemas.openxmlformats.org/officeDocument/2006/relationships/hyperlink" Target="https://www.ibm.com/products/planning-analytics/resources" TargetMode="External"/><Relationship Id="rId3" Type="http://schemas.openxmlformats.org/officeDocument/2006/relationships/styles" Target="styles.xml"/><Relationship Id="rId25" Type="http://schemas.openxmlformats.org/officeDocument/2006/relationships/hyperlink" Target="https://www.ibm.com/docs/en/SSD29G_2.0.0/com.ibm.swg.ba.cognos.tm1_nfg.2.0.0.doc/pa_nfg.html" TargetMode="External"/><Relationship Id="rId46" Type="http://schemas.openxmlformats.org/officeDocument/2006/relationships/hyperlink" Target="https://www.ibm.com/community/101/ibm-planning-analytics/ibm-planning-analytics-local/" TargetMode="External"/><Relationship Id="rId67" Type="http://schemas.openxmlformats.org/officeDocument/2006/relationships/hyperlink" Target="https://www.ibm.com/docs/ro/SSD29G_2.0.0/com.ibm.swg.ba.cognos.tm1_inst.2.0.0.doc/t_paw_install_on_linux_sc45_and_later.html" TargetMode="External"/><Relationship Id="rId116" Type="http://schemas.openxmlformats.org/officeDocument/2006/relationships/hyperlink" Target="https://www.ibm.com/support/pages/node/6982083" TargetMode="External"/><Relationship Id="rId137" Type="http://schemas.openxmlformats.org/officeDocument/2006/relationships/hyperlink" Target="https://community.ibm.com/community/user/businessanalytics/blogs/sami-el-cheikh1/2024/08/07/satellite-connector-licensing-for-planning-analyti" TargetMode="External"/><Relationship Id="rId158" Type="http://schemas.openxmlformats.org/officeDocument/2006/relationships/hyperlink" Target="https://community.ibm.com/community/user/blogs/svetlana-pestsova/2026/09/30/the-future-of-planning-is-here-ibm-planning-analytics-launches-the-extended-forecasting-engine" TargetMode="External"/><Relationship Id="rId20" Type="http://schemas.openxmlformats.org/officeDocument/2006/relationships/hyperlink" Target="https://www.ibm.com/docs/en/planning-analytics/2.0.0?topic=SSD29G_2.0.0/main/welcome.htm" TargetMode="External"/><Relationship Id="rId41" Type="http://schemas.openxmlformats.org/officeDocument/2006/relationships/hyperlink" Target="https://www.ibm.com/community/101/ibm-planning-analytics/" TargetMode="External"/><Relationship Id="rId62" Type="http://schemas.openxmlformats.org/officeDocument/2006/relationships/hyperlink" Target="https://www.ibm.com/docs/en/planning-analytics/2.0.0?topic=local-installing-data-tier-planning-analytics-20921-later" TargetMode="External"/><Relationship Id="rId83" Type="http://schemas.openxmlformats.org/officeDocument/2006/relationships/hyperlink" Target="https://www.ibm.com/docs/en/planning-analytics/2.1.0?topic=mad-install-configure-planning-analytics-administration-agent-local-only" TargetMode="External"/><Relationship Id="rId88" Type="http://schemas.openxmlformats.org/officeDocument/2006/relationships/hyperlink" Target="https://www.ibm.com/docs/SSD29G_2.0.0/com.ibm.swg.ba.cognos.tm1_rest_api.2.0.0.doc/tm1_rest_api.html" TargetMode="External"/><Relationship Id="rId111" Type="http://schemas.openxmlformats.org/officeDocument/2006/relationships/hyperlink" Target="https://www.ibm.com/docs/en/planning-analytics/2.1.0?topic=resources-tm1-operations" TargetMode="External"/><Relationship Id="rId132" Type="http://schemas.openxmlformats.org/officeDocument/2006/relationships/hyperlink" Target="https://community.ibm.com/community/user/blogs/jessica-nicholls/2025/02/03/managing-paaas-with-apis" TargetMode="External"/><Relationship Id="rId153" Type="http://schemas.openxmlformats.org/officeDocument/2006/relationships/hyperlink" Target="https://www.ibm.com/support/pages/whats-coming-next-ibm-planning-analytics-service-3111" TargetMode="External"/><Relationship Id="rId174" Type="http://schemas.openxmlformats.org/officeDocument/2006/relationships/hyperlink" Target="https://www.ibm.com/docs/SSD29G_2.0.0/com.ibm.swg.ba.cognos.ug_cxr.2.0.0.doc/c_pax_languages.html" TargetMode="External"/><Relationship Id="rId179" Type="http://schemas.openxmlformats.org/officeDocument/2006/relationships/hyperlink" Target="https://www.ibm.com/products/planning-analytics/workspace" TargetMode="External"/><Relationship Id="rId195" Type="http://schemas.openxmlformats.org/officeDocument/2006/relationships/hyperlink" Target="https://www.ibm.com/support/pages/deprecation-notices-ibm-planning-analytics-20" TargetMode="External"/><Relationship Id="rId190" Type="http://schemas.openxmlformats.org/officeDocument/2006/relationships/hyperlink" Target="https://www.ibm.com/products/planning-analytics/resources" TargetMode="External"/><Relationship Id="rId15" Type="http://schemas.openxmlformats.org/officeDocument/2006/relationships/hyperlink" Target="https://www.ibm.com/docs/en/SSD29G_2.0.0/main/pdf_link.html" TargetMode="External"/><Relationship Id="rId36" Type="http://schemas.openxmlformats.org/officeDocument/2006/relationships/hyperlink" Target="https://community.ibm.com/community/user/businessanalytics/communities/community-home?communitykey=8fde0600-e22b-4178-acf5-bf4eda43146b" TargetMode="External"/><Relationship Id="rId57" Type="http://schemas.openxmlformats.org/officeDocument/2006/relationships/hyperlink" Target="https://www.ibm.com/docs/en/planning-analytics/2.1.0?topic=configuration-installing-planning-analytics-workspace-local" TargetMode="External"/><Relationship Id="rId106" Type="http://schemas.openxmlformats.org/officeDocument/2006/relationships/hyperlink" Target="https://www.ibm.com/docs/SSD29G_2.0.0/com.ibm.swg.ba.cognos.tm1_dg_dvlpr.2.0.0.doc/c_allowingprocessestomodifysecuritydata_n608df.html" TargetMode="External"/><Relationship Id="rId127" Type="http://schemas.openxmlformats.org/officeDocument/2006/relationships/hyperlink" Target="https://www.ibm.com/docs/en/saas-console?topic=getting-started-saas-console" TargetMode="External"/><Relationship Id="rId10" Type="http://schemas.openxmlformats.org/officeDocument/2006/relationships/hyperlink" Target="https://www.ibm.com/docs/en/SSD29G_2.0.0/main/pdf_link.html" TargetMode="External"/><Relationship Id="rId31" Type="http://schemas.openxmlformats.org/officeDocument/2006/relationships/hyperlink" Target="https://www.ibm.com/docs/en/SSD29G_2.0.0/main/supported_languages.html" TargetMode="External"/><Relationship Id="rId52" Type="http://schemas.openxmlformats.org/officeDocument/2006/relationships/hyperlink" Target="https://www.ibm.com/support/pages/ibm-planning-analytics-local-technical-preview-3111-available-download-fix-central" TargetMode="External"/><Relationship Id="rId73" Type="http://schemas.openxmlformats.org/officeDocument/2006/relationships/hyperlink" Target="https://www.ibm.com/support/pages/node/6223948" TargetMode="External"/><Relationship Id="rId78" Type="http://schemas.openxmlformats.org/officeDocument/2006/relationships/hyperlink" Target="https://www.ibm.com/support/pages/ibm-planning-analytics-microsoft-excel-conformance-requirements" TargetMode="External"/><Relationship Id="rId94" Type="http://schemas.openxmlformats.org/officeDocument/2006/relationships/hyperlink" Target="https://www.ibm.com/docs/SSD29G_2.0.0/com.ibm.swg.ba.cognos.tm1_rest_api.2.0.0.doc/t_tm1_rest_api_cubes_and_native_views.html" TargetMode="External"/><Relationship Id="rId99" Type="http://schemas.openxmlformats.org/officeDocument/2006/relationships/hyperlink" Target="https://www.ibm.com/docs/SSD29G_2.0.0/com.ibm.swg.ba.cognos.ug_cxr.2.0.0.doc/t_cxr_cubev_sandboxes.html" TargetMode="External"/><Relationship Id="rId101" Type="http://schemas.openxmlformats.org/officeDocument/2006/relationships/hyperlink" Target="https://www.ibm.com/docs/SSD29G_2.0.0/com.ibm.swg.ba.cognos.tm1_dg_dvlpr.2.0.0.doc/t_tm1_dev_acc_securing_dimensions.html" TargetMode="External"/><Relationship Id="rId122" Type="http://schemas.openxmlformats.org/officeDocument/2006/relationships/hyperlink" Target="https://community.ibm.com/community/user/blogs/paul-hart-prieto/2024/07/08/ibm-planning-analytics-as-a-service-support" TargetMode="External"/><Relationship Id="rId143" Type="http://schemas.openxmlformats.org/officeDocument/2006/relationships/hyperlink" Target="https://www.ibm.com/support/pages/ti-process-error-unable-open-data-source-failed-send-http-post-request" TargetMode="External"/><Relationship Id="rId148" Type="http://schemas.openxmlformats.org/officeDocument/2006/relationships/hyperlink" Target="https://www.ibm.com/docs/en/planning-analytics/2.0.0?topic=analytics-maintenance" TargetMode="External"/><Relationship Id="rId164" Type="http://schemas.openxmlformats.org/officeDocument/2006/relationships/hyperlink" Target="https://community.ibm.com/community/user/blogs/stuart-king1/2025/09/17/change-to-version-numbers-in-planning-analytics-sa" TargetMode="External"/><Relationship Id="rId169" Type="http://schemas.openxmlformats.org/officeDocument/2006/relationships/hyperlink" Target="https://www.ibm.com/docs/en/planning-analytics/3.1.0?topic=new-whats-in-planning-analytics-microsoft-excel" TargetMode="External"/><Relationship Id="rId185" Type="http://schemas.openxmlformats.org/officeDocument/2006/relationships/hyperlink" Target="https://www.ibm.com/docs/en/planning-analytics/2.1.0?topic=analytics-planning-connector-sap" TargetMode="External"/><Relationship Id="rId4" Type="http://schemas.openxmlformats.org/officeDocument/2006/relationships/settings" Target="settings.xml"/><Relationship Id="rId9" Type="http://schemas.openxmlformats.org/officeDocument/2006/relationships/hyperlink" Target="https://www.ibm.com/docs/en/SSD29G_2.0.0/main/pdf_link.html" TargetMode="External"/><Relationship Id="rId180" Type="http://schemas.openxmlformats.org/officeDocument/2006/relationships/hyperlink" Target="https://www.ibm.com/products/planning-analytics/workspace" TargetMode="External"/><Relationship Id="rId26" Type="http://schemas.openxmlformats.org/officeDocument/2006/relationships/hyperlink" Target="https://www.ibm.com/docs/en/SSD29G_2.0.0/com.ibm.swg.ba.cognos.tm1_nfg.2.0.0.doc/pa_nfg.html" TargetMode="External"/><Relationship Id="rId47" Type="http://schemas.openxmlformats.org/officeDocument/2006/relationships/hyperlink" Target="https://www.ibm.com/community/101/ibm-planning-analytics/planning-analytics-as-a-service/" TargetMode="External"/><Relationship Id="rId68" Type="http://schemas.openxmlformats.org/officeDocument/2006/relationships/hyperlink" Target="https://www.ibm.com/docs/ro/SSD29G_2.0.0/com.ibm.swg.ba.cognos.tm1_inst.2.0.0.doc/t_paw_install_on_linux_sc45_and_later.html" TargetMode="External"/><Relationship Id="rId89" Type="http://schemas.openxmlformats.org/officeDocument/2006/relationships/hyperlink" Target="https://www.ibm.com/docs/en/planning-analytics/2.0.0?topic=api-metadata" TargetMode="External"/><Relationship Id="rId112" Type="http://schemas.openxmlformats.org/officeDocument/2006/relationships/hyperlink" Target="https://www.ibm.com/docs/en/planning-analytics/2.1.0?topic=resources-tm1-operations" TargetMode="External"/><Relationship Id="rId133" Type="http://schemas.openxmlformats.org/officeDocument/2006/relationships/hyperlink" Target="https://www.ibm.com/support/pages/node/7277204" TargetMode="External"/><Relationship Id="rId154" Type="http://schemas.openxmlformats.org/officeDocument/2006/relationships/hyperlink" Target="https://www.ibm.com/support/pages/whats-coming-next-ibm-planning-analytics-service-3111" TargetMode="External"/><Relationship Id="rId175" Type="http://schemas.openxmlformats.org/officeDocument/2006/relationships/hyperlink" Target="https://www.ibm.com/docs/en/planning-analytics/2.1.0?topic=workspace-get-started-planning-analytics" TargetMode="External"/><Relationship Id="rId196" Type="http://schemas.openxmlformats.org/officeDocument/2006/relationships/hyperlink" Target="https://www.ibm.com/support/pages/deprecation-notices-ibm-planning-analytics-20" TargetMode="External"/><Relationship Id="rId200" Type="http://schemas.openxmlformats.org/officeDocument/2006/relationships/theme" Target="theme/theme1.xml"/><Relationship Id="rId16" Type="http://schemas.openxmlformats.org/officeDocument/2006/relationships/hyperlink" Target="https://www.ibm.com/docs/en/SSD29G_2.0.0/main/pdf_link.html" TargetMode="External"/><Relationship Id="rId37" Type="http://schemas.openxmlformats.org/officeDocument/2006/relationships/hyperlink" Target="https://www.ibm.com/mysupport/s/topic/0TO500000002PWQGA2/planning-analytics-on-cloud?language=en_US&amp;productId=01t50000004XdyhAAC" TargetMode="External"/><Relationship Id="rId58" Type="http://schemas.openxmlformats.org/officeDocument/2006/relationships/hyperlink" Target="https://www.ibm.com/docs/en/planning-analytics/2.1.0?topic=configuration-installing-planning-analytics-workspace-local" TargetMode="External"/><Relationship Id="rId79" Type="http://schemas.openxmlformats.org/officeDocument/2006/relationships/hyperlink" Target="https://www.ibm.com/docs/en/paww/2.0.0?topic=icpame-downloading-upgrading-planning-analytics-microsoft-excel-single-xll-add-in-versions-2065-later" TargetMode="External"/><Relationship Id="rId102" Type="http://schemas.openxmlformats.org/officeDocument/2006/relationships/hyperlink" Target="https://www.ibm.com/docs/SSD29G_2.0.0/com.ibm.swg.ba.cognos.tm1_dg_dvlpr.2.0.0.doc/t_tm1_dev_acc_securing_dimensions.html" TargetMode="External"/><Relationship Id="rId123" Type="http://schemas.openxmlformats.org/officeDocument/2006/relationships/hyperlink" Target="https://community.ibm.com/community/user/blogs/paul-hart-prieto/2024/05/01/ibm-paoc-support" TargetMode="External"/><Relationship Id="rId144" Type="http://schemas.openxmlformats.org/officeDocument/2006/relationships/hyperlink" Target="https://www.ibm.com/support/pages/ti-process-error-unable-open-data-source-failed-send-http-post-request" TargetMode="External"/><Relationship Id="rId90" Type="http://schemas.openxmlformats.org/officeDocument/2006/relationships/hyperlink" Target="https://www.ibm.com/docs/en/planning-analytics/2.0.0?topic=api-metadata" TargetMode="External"/><Relationship Id="rId165" Type="http://schemas.openxmlformats.org/officeDocument/2006/relationships/hyperlink" Target="https://www.ibm.com/docs/en/planning-analytics/3.1.0?topic=12-whats-new-in-tm1-database" TargetMode="External"/><Relationship Id="rId186" Type="http://schemas.openxmlformats.org/officeDocument/2006/relationships/hyperlink" Target="https://www.ibm.com/docs/en/planning-analytics/2.1.0?topic=analytics-planning-connector-sap" TargetMode="External"/><Relationship Id="rId27" Type="http://schemas.openxmlformats.org/officeDocument/2006/relationships/hyperlink" Target="https://www.ibm.com/docs/en/SSD29G_2.0.0/main/pdf_link.html" TargetMode="External"/><Relationship Id="rId48" Type="http://schemas.openxmlformats.org/officeDocument/2006/relationships/hyperlink" Target="https://www.ibm.com/community/101/ibm-planning-analytics/planning-analytics-as-a-service/" TargetMode="External"/><Relationship Id="rId69" Type="http://schemas.openxmlformats.org/officeDocument/2006/relationships/hyperlink" Target="https://www.ibm.com/docs/en/planning-analytics/2.1.0?topic=configuration-upgrading-planning-analytics-local-21" TargetMode="External"/><Relationship Id="rId113" Type="http://schemas.openxmlformats.org/officeDocument/2006/relationships/hyperlink" Target="https://www.ibm.com/support/pages/important-upgrade-requirement-planning-analytics-workspace-local-20100-and-217" TargetMode="External"/><Relationship Id="rId134" Type="http://schemas.openxmlformats.org/officeDocument/2006/relationships/hyperlink" Target="https://www.ibm.com/support/pages/node/7277204" TargetMode="External"/><Relationship Id="rId80" Type="http://schemas.openxmlformats.org/officeDocument/2006/relationships/hyperlink" Target="https://www.ibm.com/docs/en/paww/2.0.0?topic=icpame-downloading-upgrading-planning-analytics-microsoft-excel-single-xll-add-in-versions-2065-later" TargetMode="External"/><Relationship Id="rId155" Type="http://schemas.openxmlformats.org/officeDocument/2006/relationships/hyperlink" Target="https://www.ibm.com/support/pages/node/7276340" TargetMode="External"/><Relationship Id="rId176" Type="http://schemas.openxmlformats.org/officeDocument/2006/relationships/hyperlink" Target="https://www.ibm.com/docs/en/planning-analytics/2.1.0?topic=workspace-get-started-planning-analytics" TargetMode="External"/><Relationship Id="rId197" Type="http://schemas.openxmlformats.org/officeDocument/2006/relationships/header" Target="header1.xml"/><Relationship Id="rId17" Type="http://schemas.openxmlformats.org/officeDocument/2006/relationships/hyperlink" Target="https://www.ibm.com/products/planning-analytics" TargetMode="External"/><Relationship Id="rId38" Type="http://schemas.openxmlformats.org/officeDocument/2006/relationships/hyperlink" Target="https://www.ibm.com/mysupport/s/topic/0TO500000002PWQGA2/planning-analytics-on-cloud?language=en_US&amp;productId=01t50000004XdyhAAC" TargetMode="External"/><Relationship Id="rId59" Type="http://schemas.openxmlformats.org/officeDocument/2006/relationships/hyperlink" Target="https://www.ibm.com/docs/en/planning-analytics/2.1.0?topic=configuration-planning-analytics-workspace-distributed" TargetMode="External"/><Relationship Id="rId103" Type="http://schemas.openxmlformats.org/officeDocument/2006/relationships/hyperlink" Target="https://www.ibm.com/docs/en/planning-analytics/2.0.0?topic=concepts-security" TargetMode="External"/><Relationship Id="rId124" Type="http://schemas.openxmlformats.org/officeDocument/2006/relationships/hyperlink" Target="https://community.ibm.com/community/user/blogs/paul-hart-prieto/2024/05/01/ibm-paoc-support" TargetMode="External"/><Relationship Id="rId70" Type="http://schemas.openxmlformats.org/officeDocument/2006/relationships/hyperlink" Target="https://www.ibm.com/docs/en/planning-analytics/2.1.0?topic=configuration-upgrading-planning-analytics-local-21" TargetMode="External"/><Relationship Id="rId91" Type="http://schemas.openxmlformats.org/officeDocument/2006/relationships/hyperlink" Target="https://www.ibm.com/docs/en/planning-analytics/2.0.0?topic=api-installation-configuration" TargetMode="External"/><Relationship Id="rId145" Type="http://schemas.openxmlformats.org/officeDocument/2006/relationships/hyperlink" Target="https://status.planning-analytics.cloud.ibm.com" TargetMode="External"/><Relationship Id="rId166" Type="http://schemas.openxmlformats.org/officeDocument/2006/relationships/hyperlink" Target="https://www.ibm.com/docs/en/planning-analytics/3.1.0?topic=12-whats-new-in-tm1-database" TargetMode="External"/><Relationship Id="rId187" Type="http://schemas.openxmlformats.org/officeDocument/2006/relationships/hyperlink" Target="https://www.ibm.com/products/planning-analytics/ai-forecasting" TargetMode="External"/><Relationship Id="rId1" Type="http://schemas.openxmlformats.org/officeDocument/2006/relationships/customXml" Target="../customXml/item1.xml"/><Relationship Id="rId28" Type="http://schemas.openxmlformats.org/officeDocument/2006/relationships/hyperlink" Target="https://www.ibm.com/docs/en/SSD29G_2.0.0/main/pdf_link.html" TargetMode="External"/><Relationship Id="rId49" Type="http://schemas.openxmlformats.org/officeDocument/2006/relationships/hyperlink" Target="https://www.ibm.com/support/pages/ibm-planning-analytics-local-2124-now-available-download-fix-central" TargetMode="External"/><Relationship Id="rId114" Type="http://schemas.openxmlformats.org/officeDocument/2006/relationships/hyperlink" Target="https://www.ibm.com/support/pages/important-upgrade-requirement-planning-analytics-workspace-local-20100-and-217" TargetMode="External"/><Relationship Id="rId60" Type="http://schemas.openxmlformats.org/officeDocument/2006/relationships/hyperlink" Target="https://www.ibm.com/docs/en/planning-analytics/2.1.0?topic=configuration-planning-analytics-workspace-distributed" TargetMode="External"/><Relationship Id="rId81" Type="http://schemas.openxmlformats.org/officeDocument/2006/relationships/hyperlink" Target="https://www.ibm.com/docs/en/planning-analytics/2.0.0?topic=excel-installation-tasks" TargetMode="External"/><Relationship Id="rId135" Type="http://schemas.openxmlformats.org/officeDocument/2006/relationships/hyperlink" Target="https://www.ibm.com/support/pages/must-gather-troubleshoot-planning-analytics-satellite-connector" TargetMode="External"/><Relationship Id="rId156" Type="http://schemas.openxmlformats.org/officeDocument/2006/relationships/hyperlink" Target="https://www.ibm.com/support/pages/node/7276340" TargetMode="External"/><Relationship Id="rId177" Type="http://schemas.openxmlformats.org/officeDocument/2006/relationships/hyperlink" Target="https://www.ibm.com/think/topics/tm1" TargetMode="External"/><Relationship Id="rId198" Type="http://schemas.openxmlformats.org/officeDocument/2006/relationships/footer" Target="footer1.xml"/><Relationship Id="rId18" Type="http://schemas.openxmlformats.org/officeDocument/2006/relationships/hyperlink" Target="https://www.ibm.com/products/planning-analytics" TargetMode="External"/><Relationship Id="rId39" Type="http://schemas.openxmlformats.org/officeDocument/2006/relationships/hyperlink" Target="https://www.ibm.com/mysupport/s/topic/0TO500000002PWWGA2/planning-analytics-local?language=en_US&amp;productId=01t50000004XdynAAC" TargetMode="External"/><Relationship Id="rId50" Type="http://schemas.openxmlformats.org/officeDocument/2006/relationships/hyperlink" Target="https://www.ibm.com/support/pages/ibm-planning-analytics-local-2124-now-available-download-fix-central" TargetMode="External"/><Relationship Id="rId104" Type="http://schemas.openxmlformats.org/officeDocument/2006/relationships/hyperlink" Target="https://www.ibm.com/docs/en/planning-analytics/2.0.0?topic=concepts-security" TargetMode="External"/><Relationship Id="rId125" Type="http://schemas.openxmlformats.org/officeDocument/2006/relationships/hyperlink" Target="https://www.ibm.com/docs/en/paww/2.0.0?topic=cloud-add-invite-user-only" TargetMode="External"/><Relationship Id="rId146" Type="http://schemas.openxmlformats.org/officeDocument/2006/relationships/hyperlink" Target="https://status.planning-analytics.cloud.ibm.com" TargetMode="External"/><Relationship Id="rId167" Type="http://schemas.openxmlformats.org/officeDocument/2006/relationships/hyperlink" Target="https://www.ibm.com/docs/en/planning-analytics/2.1.0?topic=features-whats-new-in-planning-analytics-workspace" TargetMode="External"/><Relationship Id="rId188" Type="http://schemas.openxmlformats.org/officeDocument/2006/relationships/hyperlink" Target="https://www.ibm.com/products/planning-analytics/ai-for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16880</Words>
  <Characters>95374</Characters>
  <Application>Microsoft Office Word</Application>
  <DocSecurity>0</DocSecurity>
  <Lines>4335</Lines>
  <Paragraphs>4009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Planning Analytics - Comprehensive Implementation, Administration &amp; Knowledge Guide</dc:title>
  <dc:subject>Cloud, SaaS, Local, TM1, Workspace, Excel, integration, operations and official references</dc:subject>
  <dc:creator>DR. JEFFREY</dc:creator>
  <cp:keywords>IBM Planning Analytics, TM1, Workspace, SaaS, Local, installation, knowledge base</cp:keywords>
  <dc:description>Public IBM source-based technical reference. Research edition 8 October 2026.</dc:description>
  <cp:lastModifiedBy>JEFFREY CHIJIOKE-UCHE</cp:lastModifiedBy>
  <cp:revision>2</cp:revision>
  <dcterms:created xsi:type="dcterms:W3CDTF">2026-10-08T21:01:00Z</dcterms:created>
  <dcterms:modified xsi:type="dcterms:W3CDTF">2026-10-08T21:01:00Z</dcterms:modified>
  <cp:category/>
</cp:coreProperties>
</file>