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88038"/>
        </w:rPr>
        <w:t>Как пользоваться пультом РемМонтаж</w:t>
      </w:r>
    </w:p>
    <w:p>
      <w:r>
        <w:t>Это инструкция простыми словами. Здесь написано, куда нажимать, что означают цифры и какие листы можно не открывать.</w:t>
      </w:r>
    </w:p>
    <w:p>
      <w:pPr>
        <w:pStyle w:val="Heading2"/>
      </w:pPr>
      <w:r>
        <w:rPr>
          <w:color w:val="202124"/>
        </w:rPr>
        <w:t>1. С чего начать</w:t>
      </w:r>
    </w:p>
    <w:p>
      <w:r>
        <w:t>Откройте браузер Chrome. Вверху справа должна быть почта alexsklad083@gmail.com. С другой почты пульт не откроется.</w:t>
      </w:r>
    </w:p>
    <w:p>
      <w:r>
        <w:t>Дальше нужны только три ссылки. Их можно сохранить в закладки.</w:t>
      </w:r>
    </w:p>
    <w:p>
      <w:r>
        <w:drawing>
          <wp:inline xmlns:a="http://schemas.openxmlformats.org/drawingml/2006/main" xmlns:pic="http://schemas.openxmlformats.org/drawingml/2006/picture">
            <wp:extent cx="6192000" cy="18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368"/>
          <w:sz w:val="22"/>
        </w:rPr>
        <w:t>Три входа: пульт, таблица и графики</w:t>
      </w:r>
    </w:p>
    <w:p>
      <w:hyperlink r:id="rId10">
        <w:r>
          <w:rPr>
            <w:color w:val="0B57D0"/>
            <w:u w:val="single"/>
            <w:sz w:val="28"/>
          </w:rPr>
          <w:t xml:space="preserve">Открыть пульт</w:t>
        </w:r>
      </w:hyperlink>
    </w:p>
    <w:p>
      <w:hyperlink r:id="rId11">
        <w:r>
          <w:rPr>
            <w:color w:val="0B57D0"/>
            <w:u w:val="single"/>
            <w:sz w:val="28"/>
          </w:rPr>
          <w:t xml:space="preserve">Открыть таблицу «Мастер-реестр РемМонтаж»</w:t>
        </w:r>
      </w:hyperlink>
    </w:p>
    <w:p>
      <w:hyperlink r:id="rId12">
        <w:r>
          <w:rPr>
            <w:color w:val="0B57D0"/>
            <w:u w:val="single"/>
            <w:sz w:val="28"/>
          </w:rPr>
          <w:t xml:space="preserve">Открыть лист «Графики»</w:t>
        </w:r>
      </w:hyperlink>
    </w:p>
    <w:p>
      <w:r>
        <w:t>Сверху на пульте может быть голубая полоска: приложение создано пользователем Google. Это обычное предупреждение Google. Крестик справа её закрывает.</w:t>
      </w:r>
    </w:p>
    <w:p>
      <w:pPr>
        <w:pStyle w:val="Heading2"/>
      </w:pPr>
      <w:r>
        <w:rPr>
          <w:color w:val="202124"/>
        </w:rPr>
        <w:t>2. Откуда берётся цифра</w:t>
      </w:r>
    </w:p>
    <w:p>
      <w:r>
        <w:drawing>
          <wp:inline xmlns:a="http://schemas.openxmlformats.org/drawingml/2006/main" xmlns:pic="http://schemas.openxmlformats.org/drawingml/2006/picture">
            <wp:extent cx="6192000" cy="2299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29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368"/>
          <w:sz w:val="22"/>
        </w:rPr>
        <w:t>Путь строки: таблицы и МойСклад, робот, витрина, пульт</w:t>
      </w:r>
    </w:p>
    <w:p>
      <w:r>
        <w:t>Сотрудники ведут свои таблицы. Складская программа МойСклад хранит карточки фирм и людей. Робот раз в день, около 07:00 по Москве, читает включённые листы и складывает строки в лист «Витрина». Пульт и графики показывают уже эту витрину.</w:t>
      </w:r>
    </w:p>
    <w:p>
      <w:r>
        <w:t>Сейчас фирма в реестре одна: ООО РемМонтаж, код FR-001. Статус франшизы: ОТКЛЮЧЕН. Пока статус такой, утренний робот делает копию книги и новые строки не забирает. Учебный образец на пульте при этом виден.</w:t>
      </w:r>
    </w:p>
    <w:p>
      <w:pPr>
        <w:pStyle w:val="Heading2"/>
      </w:pPr>
      <w:r>
        <w:rPr>
          <w:color w:val="202124"/>
        </w:rPr>
        <w:t>3. Что видно на пульте</w:t>
      </w:r>
    </w:p>
    <w:p>
      <w:r>
        <w:drawing>
          <wp:inline xmlns:a="http://schemas.openxmlformats.org/drawingml/2006/main" xmlns:pic="http://schemas.openxmlformats.org/drawingml/2006/picture">
            <wp:extent cx="6192000" cy="20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368"/>
          <w:sz w:val="22"/>
        </w:rPr>
        <w:t>Пульт: пять карточек, список слева пустой</w:t>
      </w:r>
    </w:p>
    <w:p>
      <w:r>
        <w:t>Слева пусто. Так и задумано, пока франшиза выключена. Справа пять карточек. Сейчас на них учебные числа:</w:t>
      </w:r>
    </w:p>
    <w:p>
      <w:pPr>
        <w:pStyle w:val="ListBullet"/>
      </w:pPr>
      <w:r>
        <w:t>Строк в своде — 2. Это две учебные оплаты с пометкой ТЕСТ.</w:t>
      </w:r>
    </w:p>
    <w:p>
      <w:pPr>
        <w:pStyle w:val="ListBullet"/>
      </w:pPr>
      <w:r>
        <w:t>Поступления — 15 000,00. Деньги, которые пришли.</w:t>
      </w:r>
    </w:p>
    <w:p>
      <w:pPr>
        <w:pStyle w:val="ListBullet"/>
      </w:pPr>
      <w:r>
        <w:t>Списания — 2 600,00. Деньги, которые ушли.</w:t>
      </w:r>
    </w:p>
    <w:p>
      <w:pPr>
        <w:pStyle w:val="ListBullet"/>
      </w:pPr>
      <w:r>
        <w:t>Расход Google Ads — 0,00. Рекламный кабинет есть, кампании и карты нет, выгрузка расхода не сохранена.</w:t>
      </w:r>
    </w:p>
    <w:p>
      <w:pPr>
        <w:pStyle w:val="ListBullet"/>
      </w:pPr>
      <w:r>
        <w:t>Прибыль до себестоимости — 15 000,00.</w:t>
      </w:r>
    </w:p>
    <w:p>
      <w:r>
        <w:drawing>
          <wp:inline xmlns:a="http://schemas.openxmlformats.org/drawingml/2006/main" xmlns:pic="http://schemas.openxmlformats.org/drawingml/2006/picture">
            <wp:extent cx="6192000" cy="18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368"/>
          <w:sz w:val="22"/>
        </w:rPr>
        <w:t>Прибыль равна поступлениям минус реклама. Списание стоит отдельно.</w:t>
      </w:r>
    </w:p>
    <w:p>
      <w:r>
        <w:t>Себестоимость товаров из прибыли не вычитается. Поэтому карточка так и называется: прибыль до себестоимости.</w:t>
      </w:r>
    </w:p>
    <w:p>
      <w:r>
        <w:t>Под карточками написано про рекламный кабинет 868-944-6535. Валюта там доллар, пояс Минск. Менять это самими руками не нужно.</w:t>
      </w:r>
    </w:p>
    <w:p>
      <w:pPr>
        <w:pStyle w:val="Heading2"/>
      </w:pPr>
      <w:r>
        <w:rPr>
          <w:color w:val="202124"/>
        </w:rPr>
        <w:t>4. Что делать утром</w:t>
      </w:r>
    </w:p>
    <w:p>
      <w:r>
        <w:drawing>
          <wp:inline xmlns:a="http://schemas.openxmlformats.org/drawingml/2006/main" xmlns:pic="http://schemas.openxmlformats.org/drawingml/2006/picture">
            <wp:extent cx="6192000" cy="15037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503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368"/>
          <w:sz w:val="22"/>
        </w:rPr>
        <w:t>Четыре утренних шага</w:t>
      </w:r>
    </w:p>
    <w:p>
      <w:pPr>
        <w:pStyle w:val="ListNumber"/>
      </w:pPr>
      <w:r>
        <w:t>Откройте пульт по ссылке из первого раздела.</w:t>
      </w:r>
    </w:p>
    <w:p>
      <w:pPr>
        <w:pStyle w:val="ListNumber"/>
      </w:pPr>
      <w:r>
        <w:t>Прочитайте пять карточек. Запомните поступления, списание и прибыль.</w:t>
      </w:r>
    </w:p>
    <w:p>
      <w:pPr>
        <w:pStyle w:val="ListNumber"/>
      </w:pPr>
      <w:r>
        <w:t>Откройте лист «Графики». Столбики должны совпасть с карточками.</w:t>
      </w:r>
    </w:p>
    <w:p>
      <w:pPr>
        <w:pStyle w:val="ListNumber"/>
      </w:pPr>
      <w:r>
        <w:t>Если число выглядит странно, откройте лист «Журнал» и читайте нижние строки.</w:t>
      </w:r>
    </w:p>
    <w:p>
      <w:r>
        <w:t>Пока франшиза выключена, слева на пульте имён нет. Это не поломка. Большие цифры сверху всё равно живые: в них входит учебный образец.</w:t>
      </w:r>
    </w:p>
    <w:p>
      <w:pPr>
        <w:pStyle w:val="Heading2"/>
      </w:pPr>
      <w:r>
        <w:rPr>
          <w:color w:val="202124"/>
        </w:rPr>
        <w:t>5. Цвета вкладок</w:t>
      </w:r>
    </w:p>
    <w:p>
      <w:r>
        <w:t>Внизу таблицы у каждого листа свой цвет. Цвет подсказывает, открывать лист сегодня или нет.</w:t>
      </w:r>
    </w:p>
    <w:p>
      <w:r>
        <w:drawing>
          <wp:inline xmlns:a="http://schemas.openxmlformats.org/drawingml/2006/main" xmlns:pic="http://schemas.openxmlformats.org/drawingml/2006/picture">
            <wp:extent cx="6192000" cy="20345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034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368"/>
          <w:sz w:val="22"/>
        </w:rPr>
        <w:t>Зелёный каждый день, жёлтый при странной цифре, синий для следа, серый не для смены</w:t>
      </w:r>
    </w:p>
    <w:p>
      <w:r>
        <w:t>Порядок листов слева направо: Памятка, Образец, Управление Франшизами, Источники, Витрина, Графики, Правки, Журнал, Бланки, Сырьё, Вход 1С, Словарь полей, Служебное.</w:t>
      </w:r>
    </w:p>
    <w:p>
      <w:pPr>
        <w:pStyle w:val="Heading2"/>
      </w:pPr>
      <w:r>
        <w:rPr>
          <w:color w:val="202124"/>
        </w:rPr>
        <w:t>6. Лист «Памятка»</w:t>
      </w:r>
    </w:p>
    <w:p>
      <w:r>
        <w:t>Это короткая шпаргалка внутри самой таблицы. Зелёные строки — ежедневные листы. Жёлтые — когда сбор выглядит странно. Синие — технический след. Серые в смену не открывают.</w:t>
      </w:r>
    </w:p>
    <w:p>
      <w:r>
        <w:drawing>
          <wp:inline xmlns:a="http://schemas.openxmlformats.org/drawingml/2006/main" xmlns:pic="http://schemas.openxmlformats.org/drawingml/2006/picture">
            <wp:extent cx="6192000" cy="39603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96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368"/>
          <w:sz w:val="22"/>
        </w:rPr>
        <w:t>Лист Памятка</w:t>
      </w:r>
    </w:p>
    <w:p>
      <w:hyperlink r:id="rId19">
        <w:r>
          <w:rPr>
            <w:color w:val="0B57D0"/>
            <w:u w:val="single"/>
            <w:sz w:val="28"/>
          </w:rPr>
          <w:t xml:space="preserve">Открыть «Памятку»</w:t>
        </w:r>
      </w:hyperlink>
    </w:p>
    <w:p>
      <w:pPr>
        <w:pStyle w:val="Heading2"/>
      </w:pPr>
      <w:r>
        <w:rPr>
          <w:color w:val="202124"/>
        </w:rPr>
        <w:t>7. Лист «Образец»</w:t>
      </w:r>
    </w:p>
    <w:p>
      <w:r>
        <w:t>Две жёлтые строки. На них написано ТЕСТ. Первая: 1 октября 2026, поступление 15 000. Вторая: 2 октября 2026, списание 2 500. Это пример для глаза. В кассе таких денег нет.</w:t>
      </w:r>
    </w:p>
    <w:p>
      <w:r>
        <w:drawing>
          <wp:inline xmlns:a="http://schemas.openxmlformats.org/drawingml/2006/main" xmlns:pic="http://schemas.openxmlformats.org/drawingml/2006/picture">
            <wp:extent cx="6192000" cy="15659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565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368"/>
          <w:sz w:val="22"/>
        </w:rPr>
        <w:t>Две учебные строки на листе Образец</w:t>
      </w:r>
    </w:p>
    <w:p>
      <w:hyperlink r:id="rId21">
        <w:r>
          <w:rPr>
            <w:color w:val="0B57D0"/>
            <w:u w:val="single"/>
            <w:sz w:val="28"/>
          </w:rPr>
          <w:t xml:space="preserve">Открыть «Образец»</w:t>
        </w:r>
      </w:hyperlink>
    </w:p>
    <w:p>
      <w:pPr>
        <w:pStyle w:val="Heading2"/>
      </w:pPr>
      <w:r>
        <w:rPr>
          <w:color w:val="202124"/>
        </w:rPr>
        <w:t>8. Лист «Витрина»</w:t>
      </w:r>
    </w:p>
    <w:p>
      <w:r>
        <w:t>Сюда робот складывает все строки. Смотреть нужно жёлтые столбцы: поступление и списание. Внизу листа лежат учебные строки. У оплаты заказчика в поступлении 15 000. У оплаты поставщику в списании 2 600. Пять строк «ИМИТАЦИЯ» денег не несут: это пример товаров, не склад.</w:t>
      </w:r>
    </w:p>
    <w:p>
      <w:r>
        <w:drawing>
          <wp:inline xmlns:a="http://schemas.openxmlformats.org/drawingml/2006/main" xmlns:pic="http://schemas.openxmlformats.org/drawingml/2006/picture">
            <wp:extent cx="6192000" cy="17335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trin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733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368"/>
          <w:sz w:val="22"/>
        </w:rPr>
        <w:t>Внизу витрины учебные имена</w:t>
      </w:r>
    </w:p>
    <w:p>
      <w:r>
        <w:drawing>
          <wp:inline xmlns:a="http://schemas.openxmlformats.org/drawingml/2006/main" xmlns:pic="http://schemas.openxmlformats.org/drawingml/2006/picture">
            <wp:extent cx="6192000" cy="18963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e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96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368"/>
          <w:sz w:val="22"/>
        </w:rPr>
        <w:t>Жёлтые столбцы: поступление 15 000 и списание 2 600</w:t>
      </w:r>
    </w:p>
    <w:p>
      <w:r>
        <w:t>Выше этих строк много настоящих имён контрагентов и сотрудников. Денег в тех строках нет. Пульт их в сумму 15 000 не кладёт, потому что франшиза выключена, а образец в сумму входит всегда.</w:t>
      </w:r>
    </w:p>
    <w:p>
      <w:r>
        <w:t>Цифру в витрине насовсем не правят. Следующий сбор запишет лист заново. Постоянная замена живёт на листе «Правки».</w:t>
      </w:r>
    </w:p>
    <w:p>
      <w:hyperlink r:id="rId24">
        <w:r>
          <w:rPr>
            <w:color w:val="0B57D0"/>
            <w:u w:val="single"/>
            <w:sz w:val="28"/>
          </w:rPr>
          <w:t xml:space="preserve">Открыть «Витрину»</w:t>
        </w:r>
      </w:hyperlink>
    </w:p>
    <w:p>
      <w:pPr>
        <w:pStyle w:val="Heading2"/>
      </w:pPr>
      <w:r>
        <w:rPr>
          <w:color w:val="202124"/>
        </w:rPr>
        <w:t>9. Лист «Графики»</w:t>
      </w:r>
    </w:p>
    <w:p>
      <w:r>
        <w:t>Те же пять чисел, что на пульте, плюс два рисунка. Левый столбик и правый столбик высокие: это 15 000. Средний низкий: это списание 2 600. Нижний рисунок показывает две учебные строки по именам. Синий цвет — поступление, красный — списание.</w:t>
      </w:r>
    </w:p>
    <w:p>
      <w:r>
        <w:drawing>
          <wp:inline xmlns:a="http://schemas.openxmlformats.org/drawingml/2006/main" xmlns:pic="http://schemas.openxmlformats.org/drawingml/2006/picture">
            <wp:extent cx="6192000" cy="39603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96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368"/>
          <w:sz w:val="22"/>
        </w:rPr>
        <w:t>Лист Графики: числа и столбики. Синий — поступление, красный — списание.</w:t>
      </w:r>
    </w:p>
    <w:p>
      <w:r>
        <w:t>Жёлтая записка на листе говорит то же самое: это не факт оплаты. Когда в витрине появятся новые деньги включённой франшизы, графики пересчитаются сами.</w:t>
      </w:r>
    </w:p>
    <w:p>
      <w:hyperlink r:id="rId12">
        <w:r>
          <w:rPr>
            <w:color w:val="0B57D0"/>
            <w:u w:val="single"/>
            <w:sz w:val="28"/>
          </w:rPr>
          <w:t xml:space="preserve">Открыть «Графики»</w:t>
        </w:r>
      </w:hyperlink>
    </w:p>
    <w:p>
      <w:pPr>
        <w:pStyle w:val="Heading2"/>
      </w:pPr>
      <w:r>
        <w:rPr>
          <w:color w:val="202124"/>
        </w:rPr>
        <w:t>10. Лист «Правки»</w:t>
      </w:r>
    </w:p>
    <w:p>
      <w:r>
        <w:t>Здесь одна учебная замена. В источнике списание поставщику равно 2 500. На витрине и на пульте оно равно 2 600. Разницу держит этот лист. Робот при каждом сборе снова подставляет 2 600.</w:t>
      </w:r>
    </w:p>
    <w:p>
      <w:r>
        <w:drawing>
          <wp:inline xmlns:a="http://schemas.openxmlformats.org/drawingml/2006/main" xmlns:pic="http://schemas.openxmlformats.org/drawingml/2006/picture">
            <wp:extent cx="6192000" cy="16473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-shee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647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368"/>
          <w:sz w:val="22"/>
        </w:rPr>
        <w:t>Лист Правки: списание 2 600 от 23 октября 2026</w:t>
      </w:r>
    </w:p>
    <w:p>
      <w:r>
        <w:drawing>
          <wp:inline xmlns:a="http://schemas.openxmlformats.org/drawingml/2006/main" xmlns:pic="http://schemas.openxmlformats.org/drawingml/2006/picture">
            <wp:extent cx="6192000" cy="15922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592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368"/>
          <w:sz w:val="22"/>
        </w:rPr>
        <w:t>Четыре шага, чтобы сохранить свою сумму</w:t>
      </w:r>
    </w:p>
    <w:p>
      <w:r>
        <w:t>Свой двойной щелчок на пульте получится тогда, когда слева появится имя источника. Пока франшиза выключена, список пустой, и новую правку с пульта не из чего выбрать. Уже записанная строка на листе «Правки» при этом работает.</w:t>
      </w:r>
    </w:p>
    <w:p>
      <w:r>
        <w:t>Таблица сотрудника от правки не меняется. Меняется только число в своде.</w:t>
      </w:r>
    </w:p>
    <w:p>
      <w:hyperlink r:id="rId28">
        <w:r>
          <w:rPr>
            <w:color w:val="0B57D0"/>
            <w:u w:val="single"/>
            <w:sz w:val="28"/>
          </w:rPr>
          <w:t xml:space="preserve">Открыть «Правки»</w:t>
        </w:r>
      </w:hyperlink>
    </w:p>
    <w:p>
      <w:pPr>
        <w:pStyle w:val="Heading2"/>
      </w:pPr>
      <w:r>
        <w:rPr>
          <w:color w:val="202124"/>
        </w:rPr>
        <w:t>11. Лист «Журнал»</w:t>
      </w:r>
    </w:p>
    <w:p>
      <w:r>
        <w:t>Это дневник робота. Новые строки снизу. Цвет строки важнее длинного текста.</w:t>
      </w:r>
    </w:p>
    <w:p>
      <w:pPr>
        <w:pStyle w:val="ListBullet"/>
      </w:pPr>
      <w:r>
        <w:t>Зелёная, уровень «ок» — шаг записан.</w:t>
      </w:r>
    </w:p>
    <w:p>
      <w:pPr>
        <w:pStyle w:val="ListBullet"/>
      </w:pPr>
      <w:r>
        <w:t>Жёлтая, уровень «предупреждение» — сбор жив, кусок пропущен. Часто это незнакомый столбец. Его пропустили, остальное записали.</w:t>
      </w:r>
    </w:p>
    <w:p>
      <w:pPr>
        <w:pStyle w:val="ListBullet"/>
      </w:pPr>
      <w:r>
        <w:t>Синяя, уровень «заметка» — это не поломка. Робот объясняет, почему шаг тихий.</w:t>
      </w:r>
    </w:p>
    <w:p>
      <w:pPr>
        <w:pStyle w:val="ListBullet"/>
      </w:pPr>
      <w:r>
        <w:t>Красная, уровень «ошибка» — шаг не записан. Такую строку не стирают, пока причина не закрыта.</w:t>
      </w:r>
    </w:p>
    <w:p>
      <w:r>
        <w:drawing>
          <wp:inline xmlns:a="http://schemas.openxmlformats.org/drawingml/2006/main" xmlns:pic="http://schemas.openxmlformats.org/drawingml/2006/picture">
            <wp:extent cx="6192000" cy="23896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389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368"/>
          <w:sz w:val="22"/>
        </w:rPr>
        <w:t>Журнал: зелёные и жёлтые строки утра 22 октября</w:t>
      </w:r>
    </w:p>
    <w:p>
      <w:r>
        <w:t>На снимке нижняя синяя строка от 22 октября говорит, что проект Google Cloud не задан. Это старая запись. Сейчас проект задан, а живые цифры смотрят на пульте и на листе «Графики».</w:t>
      </w:r>
    </w:p>
    <w:p>
      <w:r>
        <w:t>Строка «0 строк. Файл карточек ещё не передан» значит: настоящего файла товаров ещё нет. Пять жёлтых строк «ИМИТАЦИЯ» — только пример.</w:t>
      </w:r>
    </w:p>
    <w:p>
      <w:hyperlink r:id="rId30">
        <w:r>
          <w:rPr>
            <w:color w:val="0B57D0"/>
            <w:u w:val="single"/>
            <w:sz w:val="28"/>
          </w:rPr>
          <w:t xml:space="preserve">Открыть «Журнал»</w:t>
        </w:r>
      </w:hyperlink>
    </w:p>
    <w:p>
      <w:pPr>
        <w:pStyle w:val="Heading2"/>
      </w:pPr>
      <w:r>
        <w:rPr>
          <w:color w:val="202124"/>
        </w:rPr>
        <w:t>12. Остальные листы короткими словами</w:t>
      </w:r>
    </w:p>
    <w:p>
      <w:pPr>
        <w:pStyle w:val="ListBullet"/>
      </w:pPr>
      <w:r>
        <w:t>Управление Франшизами. Одна рабочая строка: FR-001, ООО РемМонтаж, статус ОТКЛЮЧЕН. Короткое имя организации МойСклад: ooorusuglneftgaz. Длинный номер рядом — не пароль и не ключ. Столбец с ключом не стирать и никому в письме не пересылать.</w:t>
      </w:r>
    </w:p>
    <w:p>
      <w:pPr>
        <w:pStyle w:val="ListBullet"/>
      </w:pPr>
      <w:r>
        <w:t>Источники. Список таблиц, которые робот умеет читать. Статус «Включать» значит «эта таблица нужна». Пока франшиза выключена, утро всё равно их пропускает. Подпись FR-002 сбор не запускает: отдельной рабочей франшизы с таким кодом нет.</w:t>
      </w:r>
    </w:p>
    <w:p>
      <w:pPr>
        <w:pStyle w:val="ListBullet"/>
      </w:pPr>
      <w:r>
        <w:t>Бланки. Проверка, есть ли в чужой таблице нужный столбец. Сюда не кладут сканы и договоры.</w:t>
      </w:r>
    </w:p>
    <w:p>
      <w:pPr>
        <w:pStyle w:val="ListBullet"/>
      </w:pPr>
      <w:r>
        <w:t>Сырьё. Черновик до витрины. Открывать, только если цифра спорит с источником. Руками не править.</w:t>
      </w:r>
    </w:p>
    <w:p>
      <w:pPr>
        <w:pStyle w:val="ListBullet"/>
      </w:pPr>
      <w:r>
        <w:t>Вход 1С. Архив посылок для робота. Сами в витрину они не попадают.</w:t>
      </w:r>
    </w:p>
    <w:p>
      <w:pPr>
        <w:pStyle w:val="ListBullet"/>
      </w:pPr>
      <w:r>
        <w:t>Словарь полей. Перевод заголовков. В смену не открывать и имена полей не переименовывать.</w:t>
      </w:r>
    </w:p>
    <w:p>
      <w:pPr>
        <w:pStyle w:val="ListBullet"/>
      </w:pPr>
      <w:r>
        <w:t>Служебное. Настройки проекта. В смену не открывать. Регион EU не менять. Оплату Google не включать.</w:t>
      </w:r>
    </w:p>
    <w:p>
      <w:pPr>
        <w:pStyle w:val="Heading2"/>
      </w:pPr>
      <w:r>
        <w:rPr>
          <w:color w:val="202124"/>
        </w:rPr>
        <w:t>13. Если картина странная</w:t>
      </w:r>
    </w:p>
    <w:p>
      <w:pPr>
        <w:pStyle w:val="ListBullet"/>
      </w:pPr>
      <w:r>
        <w:t>На пульте ноль строк, хотя образец на месте. Обновите страницу. Образец должен давать 2 строки, 15 000 и 2 600.</w:t>
      </w:r>
    </w:p>
    <w:p>
      <w:pPr>
        <w:pStyle w:val="ListBullet"/>
      </w:pPr>
      <w:r>
        <w:t>На графике другие числа, чем на пульте. Подождите минуту: таблица пересчитывает формулы. Потом обновите оба окна.</w:t>
      </w:r>
    </w:p>
    <w:p>
      <w:pPr>
        <w:pStyle w:val="ListBullet"/>
      </w:pPr>
      <w:r>
        <w:t>В журнале жёлтая строка про незнакомый столбец. Сбор при этом жив. Лишние столбцы робот пропускает.</w:t>
      </w:r>
    </w:p>
    <w:p>
      <w:pPr>
        <w:pStyle w:val="ListBullet"/>
      </w:pPr>
      <w:r>
        <w:t>В журнале красная строка. Её не удаляют. Смотрят текст и лист, который в ней назван.</w:t>
      </w:r>
    </w:p>
    <w:p>
      <w:pPr>
        <w:pStyle w:val="ListBullet"/>
      </w:pPr>
      <w:r>
        <w:t>Статус франшизы стал «ОШИБКА ТОКЕНА». Сбор склада остановился. Ключ в таблице не переписывают от руки.</w:t>
      </w:r>
    </w:p>
    <w:p>
      <w:pPr>
        <w:pStyle w:val="ListBullet"/>
      </w:pPr>
      <w:r>
        <w:t>Слева на пульте пусто. При статусе ОТКЛЮЧЕН так и должно быть.</w:t>
      </w:r>
    </w:p>
    <w:p>
      <w:pPr>
        <w:pStyle w:val="Heading2"/>
      </w:pPr>
      <w:r>
        <w:rPr>
          <w:color w:val="202124"/>
        </w:rPr>
        <w:t>14. В обычный день эти места не трогать</w:t>
      </w:r>
    </w:p>
    <w:p>
      <w:pPr>
        <w:pStyle w:val="ListBullet"/>
      </w:pPr>
      <w:r>
        <w:t>Ключ в листе «Управление Франшизами».</w:t>
      </w:r>
    </w:p>
    <w:p>
      <w:pPr>
        <w:pStyle w:val="ListBullet"/>
      </w:pPr>
      <w:r>
        <w:t>Серые листы «Словарь полей» и «Служебное».</w:t>
      </w:r>
    </w:p>
    <w:p>
      <w:pPr>
        <w:pStyle w:val="ListBullet"/>
      </w:pPr>
      <w:r>
        <w:t>Кнопка смены тарифа в МойСклад и любая оплата Google.</w:t>
      </w:r>
    </w:p>
    <w:p>
      <w:pPr>
        <w:pStyle w:val="ListBullet"/>
      </w:pPr>
      <w:r>
        <w:t>Кнопка новой рекламной кампании.</w:t>
      </w:r>
    </w:p>
    <w:p>
      <w:pPr>
        <w:pStyle w:val="ListBullet"/>
      </w:pPr>
      <w:r>
        <w:t>Чужие таблицы сотрудников: робот их читает и сам туда новые суммы не пишет.</w:t>
      </w:r>
    </w:p>
    <w:p>
      <w:pPr>
        <w:pStyle w:val="ListBullet"/>
      </w:pPr>
      <w:r>
        <w:t>Жёлтые строки ТЕСТ и ИМИТАЦИЯ. Их не принимают за кассу и за склад. Перед настоящим файлом товаров пять жёлтых строк «ИМИТАЦИЯ» сначала убирают.</w:t>
      </w:r>
    </w:p>
    <w:p>
      <w:pPr>
        <w:pStyle w:val="Heading2"/>
      </w:pPr>
      <w:r>
        <w:rPr>
          <w:color w:val="202124"/>
        </w:rPr>
        <w:t>15. Все ссылки</w:t>
      </w:r>
    </w:p>
    <w:p>
      <w:hyperlink r:id="rId10">
        <w:r>
          <w:rPr>
            <w:color w:val="0B57D0"/>
            <w:u w:val="single"/>
            <w:sz w:val="28"/>
          </w:rPr>
          <w:t xml:space="preserve">Пульт</w:t>
        </w:r>
      </w:hyperlink>
    </w:p>
    <w:p>
      <w:hyperlink r:id="rId11">
        <w:r>
          <w:rPr>
            <w:color w:val="0B57D0"/>
            <w:u w:val="single"/>
            <w:sz w:val="28"/>
          </w:rPr>
          <w:t xml:space="preserve">Мастер-реестр</w:t>
        </w:r>
      </w:hyperlink>
    </w:p>
    <w:p>
      <w:hyperlink r:id="rId19">
        <w:r>
          <w:rPr>
            <w:color w:val="0B57D0"/>
            <w:u w:val="single"/>
            <w:sz w:val="28"/>
          </w:rPr>
          <w:t xml:space="preserve">Памятка</w:t>
        </w:r>
      </w:hyperlink>
    </w:p>
    <w:p>
      <w:hyperlink r:id="rId21">
        <w:r>
          <w:rPr>
            <w:color w:val="0B57D0"/>
            <w:u w:val="single"/>
            <w:sz w:val="28"/>
          </w:rPr>
          <w:t xml:space="preserve">Образец</w:t>
        </w:r>
      </w:hyperlink>
    </w:p>
    <w:p>
      <w:hyperlink r:id="rId24">
        <w:r>
          <w:rPr>
            <w:color w:val="0B57D0"/>
            <w:u w:val="single"/>
            <w:sz w:val="28"/>
          </w:rPr>
          <w:t xml:space="preserve">Витрина</w:t>
        </w:r>
      </w:hyperlink>
    </w:p>
    <w:p>
      <w:hyperlink r:id="rId12">
        <w:r>
          <w:rPr>
            <w:color w:val="0B57D0"/>
            <w:u w:val="single"/>
            <w:sz w:val="28"/>
          </w:rPr>
          <w:t xml:space="preserve">Графики</w:t>
        </w:r>
      </w:hyperlink>
    </w:p>
    <w:p>
      <w:hyperlink r:id="rId28">
        <w:r>
          <w:rPr>
            <w:color w:val="0B57D0"/>
            <w:u w:val="single"/>
            <w:sz w:val="28"/>
          </w:rPr>
          <w:t xml:space="preserve">Правки</w:t>
        </w:r>
      </w:hyperlink>
    </w:p>
    <w:p>
      <w:hyperlink r:id="rId30">
        <w:r>
          <w:rPr>
            <w:color w:val="0B57D0"/>
            <w:u w:val="single"/>
            <w:sz w:val="28"/>
          </w:rPr>
          <w:t xml:space="preserve">Журнал</w:t>
        </w:r>
      </w:hyperlink>
    </w:p>
    <w:p>
      <w:hyperlink r:id="rId31">
        <w:r>
          <w:rPr>
            <w:color w:val="0B57D0"/>
            <w:u w:val="single"/>
            <w:sz w:val="28"/>
          </w:rPr>
          <w:t xml:space="preserve">Товары, пять жёлтых строк-примеров</w:t>
        </w:r>
      </w:hyperlink>
    </w:p>
    <w:p>
      <w:hyperlink r:id="rId32">
        <w:r>
          <w:rPr>
            <w:color w:val="0B57D0"/>
            <w:u w:val="single"/>
            <w:sz w:val="28"/>
          </w:rPr>
          <w:t xml:space="preserve">Движение денег, месяц пока пустой</w:t>
        </w:r>
      </w:hyperlink>
    </w:p>
    <w:p>
      <w:hyperlink r:id="rId33">
        <w:r>
          <w:rPr>
            <w:color w:val="0B57D0"/>
            <w:u w:val="single"/>
            <w:sz w:val="28"/>
          </w:rPr>
          <w:t xml:space="preserve">МойСклад</w:t>
        </w:r>
      </w:hyperlink>
    </w:p>
    <w:p>
      <w:r>
        <w:t>В МойСклад заходят под своей учётной записью фирмы. Организация там называется «РУСУГЛЕНЕФТЕГАЗ О.». На экране кассы и франшизы имя остаётся «ООО РемМонтаж». Пробный срок МойСклад заканчивается 2 ноября 2026 в 12:32. Продлевать его или нет, решает заказчик. Кнопку выбора тарифа сами не нажимают.</w:t>
      </w:r>
    </w:p>
    <w:p>
      <w:pPr>
        <w:pStyle w:val="Heading2"/>
      </w:pPr>
      <w:r>
        <w:rPr>
          <w:color w:val="202124"/>
        </w:rPr>
        <w:t>16. Что на экране учебное, а что ещё впереди</w:t>
      </w:r>
    </w:p>
    <w:p>
      <w:r>
        <w:t>Уже можно открывать пульт, реестр и графики. Ночная копия книги пишется сама, в папку Диска «Бэкапы РемМонтаж». Хранятся 14 последних копий.</w:t>
      </w:r>
    </w:p>
    <w:p>
      <w:r>
        <w:t>Числа 15 000 и 2 600 — учебные. Настоящий файл товаров ещё не положен. Настоящих платежей в МойСклад нет. Расход рекламы равен нулю. Отдельный красивый отчёт Google из этой страны не открывается: его заменяет лист «Графики» и пульт.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12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script.google.com/macros/s/AKfycbyrI9lD_y0La2LAlkWhrR0cra0V4yZSG6zeRDK72NFLlQYRrtsirsUhARjVqVBQTDDscw/exec" TargetMode="External"/><Relationship Id="rId11" Type="http://schemas.openxmlformats.org/officeDocument/2006/relationships/hyperlink" Target="https://docs.google.com/spreadsheets/d/1sjnqaU4-uJD_kjFwZWjnofPd25vQjtCqstktGWhXbe8/edit" TargetMode="External"/><Relationship Id="rId12" Type="http://schemas.openxmlformats.org/officeDocument/2006/relationships/hyperlink" Target="https://docs.google.com/spreadsheets/d/1sjnqaU4-uJD_kjFwZWjnofPd25vQjtCqstktGWhXbe8/edit?gid=390188976#gid=390188976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hyperlink" Target="https://docs.google.com/spreadsheets/d/1sjnqaU4-uJD_kjFwZWjnofPd25vQjtCqstktGWhXbe8/edit?gid=311012353#gid=311012353" TargetMode="External"/><Relationship Id="rId20" Type="http://schemas.openxmlformats.org/officeDocument/2006/relationships/image" Target="media/image8.png"/><Relationship Id="rId21" Type="http://schemas.openxmlformats.org/officeDocument/2006/relationships/hyperlink" Target="https://docs.google.com/spreadsheets/d/1sjnqaU4-uJD_kjFwZWjnofPd25vQjtCqstktGWhXbe8/edit?gid=959991302#gid=959991302" TargetMode="External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hyperlink" Target="https://docs.google.com/spreadsheets/d/1sjnqaU4-uJD_kjFwZWjnofPd25vQjtCqstktGWhXbe8/edit?gid=30284276#gid=30284276" TargetMode="External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hyperlink" Target="https://docs.google.com/spreadsheets/d/1sjnqaU4-uJD_kjFwZWjnofPd25vQjtCqstktGWhXbe8/edit?gid=1074985368#gid=1074985368" TargetMode="External"/><Relationship Id="rId29" Type="http://schemas.openxmlformats.org/officeDocument/2006/relationships/image" Target="media/image14.png"/><Relationship Id="rId30" Type="http://schemas.openxmlformats.org/officeDocument/2006/relationships/hyperlink" Target="https://docs.google.com/spreadsheets/d/1sjnqaU4-uJD_kjFwZWjnofPd25vQjtCqstktGWhXbe8/edit?gid=89825155#gid=89825155" TargetMode="External"/><Relationship Id="rId31" Type="http://schemas.openxmlformats.org/officeDocument/2006/relationships/hyperlink" Target="https://docs.google.com/spreadsheets/d/1mMZlLOu9XP2BTzs_frWq6uAKzoqC_TC3bBJ1JmWzlyY/edit" TargetMode="External"/><Relationship Id="rId32" Type="http://schemas.openxmlformats.org/officeDocument/2006/relationships/hyperlink" Target="https://docs.google.com/spreadsheets/d/1SlIUkncDyrhpvs7FPmtWY6zvX684nbiO-s0bVrzFOGQ/edit" TargetMode="External"/><Relationship Id="rId33" Type="http://schemas.openxmlformats.org/officeDocument/2006/relationships/hyperlink" Target="https://online.moysklad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