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01" w:rsidRPr="0025142B" w:rsidRDefault="004D5001" w:rsidP="004D5001">
      <w:pPr>
        <w:keepNext/>
        <w:rPr>
          <w:b/>
          <w:i/>
          <w:sz w:val="32"/>
          <w:u w:val="single"/>
          <w:lang w:val="en-US"/>
        </w:rPr>
      </w:pPr>
      <w:r w:rsidRPr="0025142B">
        <w:rPr>
          <w:b/>
          <w:i/>
          <w:sz w:val="32"/>
          <w:u w:val="single"/>
          <w:lang w:val="en-US"/>
        </w:rPr>
        <w:t>Sequence of the fusion protein</w:t>
      </w:r>
      <w:r w:rsidR="00664DB3" w:rsidRPr="0025142B">
        <w:rPr>
          <w:b/>
          <w:i/>
          <w:sz w:val="32"/>
          <w:u w:val="single"/>
          <w:lang w:val="en-US"/>
        </w:rPr>
        <w:t xml:space="preserve"> </w:t>
      </w:r>
      <w:proofErr w:type="spellStart"/>
      <w:r w:rsidR="00664DB3" w:rsidRPr="0025142B">
        <w:rPr>
          <w:b/>
          <w:i/>
          <w:sz w:val="32"/>
          <w:u w:val="single"/>
          <w:lang w:val="en-US"/>
        </w:rPr>
        <w:t>CitA</w:t>
      </w:r>
      <w:proofErr w:type="spellEnd"/>
      <w:r w:rsidR="00664DB3" w:rsidRPr="0025142B">
        <w:rPr>
          <w:b/>
          <w:i/>
          <w:sz w:val="32"/>
          <w:u w:val="single"/>
          <w:lang w:val="en-US"/>
        </w:rPr>
        <w:t>-</w:t>
      </w:r>
      <w:proofErr w:type="spellStart"/>
      <w:r w:rsidR="00664DB3" w:rsidRPr="0025142B">
        <w:rPr>
          <w:b/>
          <w:i/>
          <w:sz w:val="32"/>
          <w:u w:val="single"/>
          <w:lang w:val="en-US"/>
        </w:rPr>
        <w:t>Xa</w:t>
      </w:r>
      <w:proofErr w:type="spellEnd"/>
      <w:r w:rsidR="00664DB3" w:rsidRPr="0025142B">
        <w:rPr>
          <w:b/>
          <w:i/>
          <w:sz w:val="32"/>
          <w:u w:val="single"/>
          <w:lang w:val="en-US"/>
        </w:rPr>
        <w:t>-BSLA</w:t>
      </w:r>
    </w:p>
    <w:p w:rsidR="00357B6B" w:rsidRDefault="00357B6B" w:rsidP="004D5001">
      <w:pPr>
        <w:pStyle w:val="Beschriftung"/>
        <w:rPr>
          <w:rFonts w:ascii="Courier New" w:eastAsia="Times New Roman" w:hAnsi="Courier New" w:cs="Courier New"/>
          <w:b w:val="0"/>
          <w:color w:val="FFFFFF" w:themeColor="background1"/>
          <w:szCs w:val="20"/>
          <w:highlight w:val="blue"/>
          <w:lang w:eastAsia="de-DE"/>
        </w:rPr>
      </w:pPr>
    </w:p>
    <w:p w:rsidR="004D5001" w:rsidRPr="00310271" w:rsidRDefault="004D5001" w:rsidP="004D5001">
      <w:pPr>
        <w:pStyle w:val="Beschriftung"/>
        <w:rPr>
          <w:rFonts w:ascii="Courier New" w:hAnsi="Courier New" w:cs="Courier New"/>
          <w:b w:val="0"/>
          <w:color w:val="000000" w:themeColor="text1"/>
          <w:szCs w:val="20"/>
        </w:rPr>
      </w:pPr>
      <w:r w:rsidRPr="00310271">
        <w:rPr>
          <w:rFonts w:ascii="Courier New" w:eastAsia="Times New Roman" w:hAnsi="Courier New" w:cs="Courier New"/>
          <w:b w:val="0"/>
          <w:color w:val="FFFFFF" w:themeColor="background1"/>
          <w:szCs w:val="20"/>
          <w:highlight w:val="blue"/>
          <w:lang w:eastAsia="de-DE"/>
        </w:rPr>
        <w:t>MGSSHHHHHHSSGLVPRGSHM</w:t>
      </w:r>
      <w:r w:rsidRPr="00310271">
        <w:rPr>
          <w:rFonts w:ascii="Courier New" w:eastAsia="Times New Roman" w:hAnsi="Courier New" w:cs="Courier New"/>
          <w:b w:val="0"/>
          <w:color w:val="000000" w:themeColor="text1"/>
          <w:szCs w:val="20"/>
          <w:highlight w:val="yellow"/>
          <w:lang w:eastAsia="de-DE"/>
        </w:rPr>
        <w:t>DI</w:t>
      </w:r>
      <w:r w:rsidRPr="005F31BB">
        <w:rPr>
          <w:rFonts w:ascii="Courier New" w:eastAsia="Times New Roman" w:hAnsi="Courier New" w:cs="Courier New"/>
          <w:color w:val="000000" w:themeColor="text1"/>
          <w:sz w:val="32"/>
          <w:szCs w:val="20"/>
          <w:highlight w:val="yellow"/>
          <w:u w:val="single"/>
          <w:lang w:eastAsia="de-DE"/>
        </w:rPr>
        <w:t>TEERLHYQVGQRALIQAMQISAMPELVEAVQKRDLARIKALIDPMRSFSDATYITVGDASGQRLYHVNPDEIGKSMEGGDSDEALINAKSYVSVRKGSLGSSLRGKSPIQDATGKVIGIVSVGYTIEQL</w:t>
      </w:r>
      <w:r w:rsidRPr="00310271">
        <w:rPr>
          <w:rFonts w:ascii="Courier New" w:eastAsia="Times New Roman" w:hAnsi="Courier New" w:cs="Courier New"/>
          <w:b w:val="0"/>
          <w:color w:val="000000" w:themeColor="text1"/>
          <w:szCs w:val="20"/>
          <w:highlight w:val="yellow"/>
          <w:lang w:eastAsia="de-DE"/>
        </w:rPr>
        <w:t>EN</w:t>
      </w:r>
      <w:r w:rsidRPr="005F31BB">
        <w:rPr>
          <w:rFonts w:ascii="Courier New" w:eastAsia="Times New Roman" w:hAnsi="Courier New" w:cs="Courier New"/>
          <w:color w:val="000000" w:themeColor="text1"/>
          <w:sz w:val="32"/>
          <w:szCs w:val="20"/>
          <w:highlight w:val="green"/>
          <w:u w:val="single"/>
          <w:lang w:eastAsia="de-DE"/>
        </w:rPr>
        <w:t>YEKLLEDSLTEITALS</w:t>
      </w:r>
      <w:r w:rsidRPr="00310271">
        <w:rPr>
          <w:rFonts w:ascii="Courier New" w:hAnsi="Courier New" w:cs="Courier New"/>
          <w:b w:val="0"/>
          <w:color w:val="000000" w:themeColor="text1"/>
          <w:szCs w:val="20"/>
          <w:highlight w:val="magenta"/>
        </w:rPr>
        <w:t>IEGRE</w:t>
      </w:r>
      <w:r w:rsidRPr="00310271">
        <w:rPr>
          <w:rFonts w:ascii="Courier New" w:hAnsi="Courier New" w:cs="Courier New"/>
          <w:b w:val="0"/>
          <w:color w:val="000000" w:themeColor="text1"/>
          <w:szCs w:val="20"/>
          <w:highlight w:val="cyan"/>
        </w:rPr>
        <w:t>A</w:t>
      </w:r>
      <w:r w:rsidRPr="005F31BB">
        <w:rPr>
          <w:rFonts w:ascii="Courier New" w:hAnsi="Courier New" w:cs="Courier New"/>
          <w:color w:val="000000" w:themeColor="text1"/>
          <w:sz w:val="32"/>
          <w:szCs w:val="20"/>
          <w:highlight w:val="cyan"/>
          <w:u w:val="single"/>
        </w:rPr>
        <w:t>EHNPVVMVHGIGGASFNFAGIKSYLVSQGWSRDKLYAVDFWDKTGTNYNNGPVLSRFVQKVLDETGAKKVDIVAHSMGGANTLYYIKNLDGGNKVANVVTLGGANRLTTGKALPGTDPNQKILYTSIYSSADMIVMNYLSRLDGARNVQIHGVGHIGLLYSSQVNSLIKEGLNGGGQNTN</w:t>
      </w:r>
    </w:p>
    <w:p w:rsidR="007E2CCF" w:rsidRDefault="007E2CCF">
      <w:pPr>
        <w:rPr>
          <w:lang w:val="en-US"/>
        </w:rPr>
      </w:pPr>
    </w:p>
    <w:p w:rsidR="004D5001" w:rsidRPr="004D5001" w:rsidRDefault="004D5001">
      <w:pPr>
        <w:rPr>
          <w:u w:val="single"/>
          <w:lang w:val="en-US"/>
        </w:rPr>
      </w:pPr>
      <w:r w:rsidRPr="004D5001">
        <w:rPr>
          <w:u w:val="single"/>
          <w:lang w:val="en-US"/>
        </w:rPr>
        <w:t>Col</w:t>
      </w:r>
      <w:r w:rsidR="00310271">
        <w:rPr>
          <w:u w:val="single"/>
          <w:lang w:val="en-US"/>
        </w:rPr>
        <w:t>or</w:t>
      </w:r>
      <w:r w:rsidRPr="004D5001">
        <w:rPr>
          <w:u w:val="single"/>
          <w:lang w:val="en-US"/>
        </w:rPr>
        <w:t xml:space="preserve"> code:</w:t>
      </w:r>
    </w:p>
    <w:p w:rsidR="004D5001" w:rsidRDefault="004D5001">
      <w:pPr>
        <w:rPr>
          <w:lang w:val="en-US"/>
        </w:rPr>
      </w:pPr>
      <w:proofErr w:type="gramStart"/>
      <w:r w:rsidRPr="00357B6B">
        <w:rPr>
          <w:b/>
          <w:color w:val="EEECE1" w:themeColor="background2"/>
          <w:highlight w:val="blue"/>
          <w:lang w:val="en-US"/>
        </w:rPr>
        <w:t>blue</w:t>
      </w:r>
      <w:proofErr w:type="gramEnd"/>
      <w:r>
        <w:rPr>
          <w:lang w:val="en-US"/>
        </w:rPr>
        <w:tab/>
      </w:r>
      <w:r w:rsidRPr="004D5001">
        <w:rPr>
          <w:lang w:val="en-US"/>
        </w:rPr>
        <w:sym w:font="Wingdings" w:char="F0E0"/>
      </w:r>
      <w:r w:rsidRPr="003453D7">
        <w:rPr>
          <w:b/>
          <w:lang w:val="en-US"/>
        </w:rPr>
        <w:t>His-Tag</w:t>
      </w:r>
    </w:p>
    <w:p w:rsidR="004D5001" w:rsidRPr="003453D7" w:rsidRDefault="004D5001">
      <w:pPr>
        <w:rPr>
          <w:b/>
          <w:lang w:val="en-US"/>
        </w:rPr>
      </w:pPr>
      <w:proofErr w:type="gramStart"/>
      <w:r w:rsidRPr="00357B6B">
        <w:rPr>
          <w:b/>
          <w:highlight w:val="yellow"/>
          <w:lang w:val="en-US"/>
        </w:rPr>
        <w:t>yellow</w:t>
      </w:r>
      <w:proofErr w:type="gramEnd"/>
      <w:r w:rsidRPr="00357B6B">
        <w:rPr>
          <w:lang w:val="en-US"/>
        </w:rPr>
        <w:tab/>
      </w:r>
      <w:r w:rsidRPr="004D5001">
        <w:rPr>
          <w:lang w:val="en-US"/>
        </w:rPr>
        <w:sym w:font="Wingdings" w:char="F0E0"/>
      </w:r>
      <w:r>
        <w:rPr>
          <w:lang w:val="en-US"/>
        </w:rPr>
        <w:t>citrate binding sensor domain</w:t>
      </w:r>
      <w:r w:rsidRPr="004D5001">
        <w:rPr>
          <w:lang w:val="en-US"/>
        </w:rPr>
        <w:t xml:space="preserve"> </w:t>
      </w:r>
      <w:proofErr w:type="spellStart"/>
      <w:r w:rsidRPr="004D5001">
        <w:rPr>
          <w:b/>
          <w:lang w:val="en-US"/>
        </w:rPr>
        <w:t>CitA</w:t>
      </w:r>
      <w:proofErr w:type="spellEnd"/>
      <w:r w:rsidR="003453D7">
        <w:rPr>
          <w:b/>
          <w:lang w:val="en-US"/>
        </w:rPr>
        <w:t xml:space="preserve"> </w:t>
      </w:r>
      <w:r w:rsidR="003453D7">
        <w:rPr>
          <w:lang w:val="en-US"/>
        </w:rPr>
        <w:t>(</w:t>
      </w:r>
      <w:proofErr w:type="spellStart"/>
      <w:r w:rsidR="003453D7" w:rsidRPr="00310271">
        <w:rPr>
          <w:i/>
          <w:iCs/>
          <w:lang w:val="en-US"/>
        </w:rPr>
        <w:t>Klebsiella</w:t>
      </w:r>
      <w:proofErr w:type="spellEnd"/>
      <w:r w:rsidR="003453D7" w:rsidRPr="00310271">
        <w:rPr>
          <w:i/>
          <w:iCs/>
          <w:lang w:val="en-US"/>
        </w:rPr>
        <w:t xml:space="preserve"> </w:t>
      </w:r>
      <w:proofErr w:type="spellStart"/>
      <w:r w:rsidR="003453D7" w:rsidRPr="00310271">
        <w:rPr>
          <w:i/>
          <w:iCs/>
          <w:lang w:val="en-US"/>
        </w:rPr>
        <w:t>pneumoniae</w:t>
      </w:r>
      <w:proofErr w:type="spellEnd"/>
      <w:r w:rsidR="003453D7" w:rsidRPr="00310271">
        <w:rPr>
          <w:iCs/>
          <w:lang w:val="en-US"/>
        </w:rPr>
        <w:t>)</w:t>
      </w:r>
      <w:r w:rsidR="00357B6B">
        <w:rPr>
          <w:iCs/>
          <w:lang w:val="en-US"/>
        </w:rPr>
        <w:t xml:space="preserve"> (</w:t>
      </w:r>
      <w:r w:rsidR="0025142B">
        <w:rPr>
          <w:iCs/>
          <w:lang w:val="en-US"/>
        </w:rPr>
        <w:t xml:space="preserve">PDB: </w:t>
      </w:r>
      <w:r w:rsidR="00357B6B">
        <w:rPr>
          <w:iCs/>
          <w:lang w:val="en-US"/>
        </w:rPr>
        <w:t>2J80)</w:t>
      </w:r>
    </w:p>
    <w:p w:rsidR="004D5001" w:rsidRPr="004D5001" w:rsidRDefault="004D5001">
      <w:pPr>
        <w:rPr>
          <w:lang w:val="en-US"/>
        </w:rPr>
      </w:pPr>
      <w:proofErr w:type="gramStart"/>
      <w:r w:rsidRPr="00357B6B">
        <w:rPr>
          <w:b/>
          <w:highlight w:val="green"/>
          <w:lang w:val="en-US"/>
        </w:rPr>
        <w:t>green</w:t>
      </w:r>
      <w:proofErr w:type="gramEnd"/>
      <w:r w:rsidRPr="004D5001">
        <w:rPr>
          <w:lang w:val="en-US"/>
        </w:rPr>
        <w:tab/>
      </w:r>
      <w:r w:rsidRPr="004D5001">
        <w:rPr>
          <w:lang w:val="en-US"/>
        </w:rPr>
        <w:sym w:font="Wingdings" w:char="F0E0"/>
      </w:r>
      <w:r>
        <w:rPr>
          <w:lang w:val="en-US"/>
        </w:rPr>
        <w:t xml:space="preserve">linker helix from blue light sensor </w:t>
      </w:r>
      <w:proofErr w:type="spellStart"/>
      <w:r w:rsidRPr="003453D7">
        <w:rPr>
          <w:b/>
          <w:lang w:val="en-US"/>
        </w:rPr>
        <w:t>YtvA</w:t>
      </w:r>
      <w:proofErr w:type="spellEnd"/>
      <w:r>
        <w:rPr>
          <w:lang w:val="en-US"/>
        </w:rPr>
        <w:t xml:space="preserve"> (</w:t>
      </w:r>
      <w:r w:rsidR="003453D7" w:rsidRPr="00310271">
        <w:rPr>
          <w:i/>
          <w:iCs/>
          <w:lang w:val="en-US"/>
        </w:rPr>
        <w:t xml:space="preserve">Bacillus </w:t>
      </w:r>
      <w:proofErr w:type="spellStart"/>
      <w:r w:rsidR="003453D7" w:rsidRPr="00310271">
        <w:rPr>
          <w:i/>
          <w:iCs/>
          <w:lang w:val="en-US"/>
        </w:rPr>
        <w:t>subtilis</w:t>
      </w:r>
      <w:proofErr w:type="spellEnd"/>
      <w:r w:rsidR="003453D7" w:rsidRPr="00310271">
        <w:rPr>
          <w:iCs/>
          <w:lang w:val="en-US"/>
        </w:rPr>
        <w:t>)</w:t>
      </w:r>
      <w:r w:rsidR="00357B6B">
        <w:rPr>
          <w:iCs/>
          <w:lang w:val="en-US"/>
        </w:rPr>
        <w:t xml:space="preserve"> (</w:t>
      </w:r>
      <w:r w:rsidR="0025142B">
        <w:rPr>
          <w:iCs/>
          <w:lang w:val="en-US"/>
        </w:rPr>
        <w:t xml:space="preserve">PDB: </w:t>
      </w:r>
      <w:r w:rsidR="00357B6B">
        <w:rPr>
          <w:iCs/>
          <w:lang w:val="en-US"/>
        </w:rPr>
        <w:t>2PR5)</w:t>
      </w:r>
    </w:p>
    <w:p w:rsidR="004D5001" w:rsidRDefault="004D5001">
      <w:pPr>
        <w:rPr>
          <w:lang w:val="en-US"/>
        </w:rPr>
      </w:pPr>
      <w:proofErr w:type="gramStart"/>
      <w:r w:rsidRPr="00357B6B">
        <w:rPr>
          <w:b/>
          <w:highlight w:val="magenta"/>
          <w:lang w:val="en-US"/>
        </w:rPr>
        <w:t>purple</w:t>
      </w:r>
      <w:proofErr w:type="gramEnd"/>
      <w:r>
        <w:rPr>
          <w:lang w:val="en-US"/>
        </w:rPr>
        <w:tab/>
      </w:r>
      <w:r w:rsidRPr="004D5001">
        <w:rPr>
          <w:lang w:val="en-US"/>
        </w:rPr>
        <w:sym w:font="Wingdings" w:char="F0E0"/>
      </w:r>
      <w:proofErr w:type="spellStart"/>
      <w:r w:rsidRPr="003453D7">
        <w:rPr>
          <w:b/>
          <w:lang w:val="en-US"/>
        </w:rPr>
        <w:t>Xa</w:t>
      </w:r>
      <w:proofErr w:type="spellEnd"/>
      <w:r>
        <w:rPr>
          <w:lang w:val="en-US"/>
        </w:rPr>
        <w:t xml:space="preserve"> protease site</w:t>
      </w:r>
    </w:p>
    <w:p w:rsidR="003453D7" w:rsidRPr="00310271" w:rsidRDefault="003453D7">
      <w:pPr>
        <w:rPr>
          <w:iCs/>
          <w:lang w:val="en-US"/>
        </w:rPr>
      </w:pPr>
      <w:proofErr w:type="gramStart"/>
      <w:r w:rsidRPr="00357B6B">
        <w:rPr>
          <w:b/>
          <w:highlight w:val="cyan"/>
          <w:lang w:val="en-US"/>
        </w:rPr>
        <w:t>cyan</w:t>
      </w:r>
      <w:proofErr w:type="gramEnd"/>
      <w:r>
        <w:rPr>
          <w:lang w:val="en-US"/>
        </w:rPr>
        <w:tab/>
      </w:r>
      <w:r w:rsidRPr="003453D7">
        <w:rPr>
          <w:lang w:val="en-US"/>
        </w:rPr>
        <w:sym w:font="Wingdings" w:char="F0E0"/>
      </w:r>
      <w:r>
        <w:rPr>
          <w:lang w:val="en-US"/>
        </w:rPr>
        <w:t xml:space="preserve">Lipase </w:t>
      </w:r>
      <w:proofErr w:type="spellStart"/>
      <w:r w:rsidRPr="003453D7">
        <w:rPr>
          <w:b/>
          <w:lang w:val="en-US"/>
        </w:rPr>
        <w:t>BsLA</w:t>
      </w:r>
      <w:proofErr w:type="spellEnd"/>
      <w:r>
        <w:rPr>
          <w:lang w:val="en-US"/>
        </w:rPr>
        <w:t xml:space="preserve"> (</w:t>
      </w:r>
      <w:r w:rsidRPr="00310271">
        <w:rPr>
          <w:i/>
          <w:iCs/>
          <w:lang w:val="en-US"/>
        </w:rPr>
        <w:t xml:space="preserve">Bacillus </w:t>
      </w:r>
      <w:proofErr w:type="spellStart"/>
      <w:r w:rsidRPr="00310271">
        <w:rPr>
          <w:i/>
          <w:iCs/>
          <w:lang w:val="en-US"/>
        </w:rPr>
        <w:t>subtilis</w:t>
      </w:r>
      <w:proofErr w:type="spellEnd"/>
      <w:r w:rsidRPr="00310271">
        <w:rPr>
          <w:iCs/>
          <w:lang w:val="en-US"/>
        </w:rPr>
        <w:t>)</w:t>
      </w:r>
      <w:r w:rsidR="00310271">
        <w:rPr>
          <w:iCs/>
          <w:lang w:val="en-US"/>
        </w:rPr>
        <w:t xml:space="preserve"> (</w:t>
      </w:r>
      <w:r w:rsidR="0025142B">
        <w:rPr>
          <w:iCs/>
          <w:lang w:val="en-US"/>
        </w:rPr>
        <w:t xml:space="preserve">PDB: </w:t>
      </w:r>
      <w:r w:rsidR="00310271">
        <w:rPr>
          <w:iCs/>
          <w:lang w:val="en-US"/>
        </w:rPr>
        <w:t>1I6W)</w:t>
      </w:r>
    </w:p>
    <w:p w:rsidR="003453D7" w:rsidRDefault="003453D7">
      <w:pPr>
        <w:rPr>
          <w:lang w:val="en-US"/>
        </w:rPr>
      </w:pPr>
    </w:p>
    <w:p w:rsidR="00310271" w:rsidRDefault="00310271">
      <w:pPr>
        <w:rPr>
          <w:lang w:val="en-US"/>
        </w:rPr>
      </w:pPr>
      <w:r w:rsidRPr="00357B6B">
        <w:rPr>
          <w:sz w:val="28"/>
          <w:lang w:val="en-US"/>
        </w:rPr>
        <w:t xml:space="preserve">Amino acids present in the respective </w:t>
      </w:r>
      <w:proofErr w:type="spellStart"/>
      <w:r w:rsidRPr="00357B6B">
        <w:rPr>
          <w:sz w:val="28"/>
          <w:lang w:val="en-US"/>
        </w:rPr>
        <w:t>pdb</w:t>
      </w:r>
      <w:proofErr w:type="spellEnd"/>
      <w:r w:rsidRPr="00357B6B">
        <w:rPr>
          <w:sz w:val="28"/>
          <w:lang w:val="en-US"/>
        </w:rPr>
        <w:t xml:space="preserve"> coordinates are shown </w:t>
      </w:r>
      <w:r w:rsidRPr="00357B6B">
        <w:rPr>
          <w:rFonts w:ascii="Courier New" w:hAnsi="Courier New" w:cs="Courier New"/>
          <w:b/>
          <w:sz w:val="32"/>
          <w:u w:val="single"/>
          <w:lang w:val="en-US"/>
        </w:rPr>
        <w:t>in bold</w:t>
      </w:r>
      <w:r w:rsidR="005F31BB" w:rsidRPr="00357B6B">
        <w:rPr>
          <w:rFonts w:ascii="Courier New" w:hAnsi="Courier New" w:cs="Courier New"/>
          <w:b/>
          <w:sz w:val="32"/>
          <w:u w:val="single"/>
          <w:lang w:val="en-US"/>
        </w:rPr>
        <w:t xml:space="preserve"> underlined</w:t>
      </w:r>
      <w:r>
        <w:rPr>
          <w:lang w:val="en-US"/>
        </w:rPr>
        <w:t xml:space="preserve"> </w:t>
      </w:r>
      <w:r w:rsidRPr="00357B6B">
        <w:rPr>
          <w:sz w:val="28"/>
          <w:lang w:val="en-US"/>
        </w:rPr>
        <w:t>with a bigger font.</w:t>
      </w:r>
    </w:p>
    <w:p w:rsidR="00310271" w:rsidRDefault="00310271">
      <w:pPr>
        <w:rPr>
          <w:lang w:val="en-US"/>
        </w:rPr>
      </w:pPr>
    </w:p>
    <w:p w:rsidR="00664DB3" w:rsidRDefault="00357B6B" w:rsidP="00664DB3">
      <w:pPr>
        <w:rPr>
          <w:rFonts w:ascii="Courier New" w:hAnsi="Courier New" w:cs="Courier New"/>
          <w:sz w:val="22"/>
          <w:lang w:val="en-US"/>
        </w:rPr>
      </w:pPr>
      <w:r w:rsidRPr="00357B6B">
        <w:rPr>
          <w:sz w:val="28"/>
          <w:lang w:val="en-US"/>
        </w:rPr>
        <w:t xml:space="preserve">Amino acids not represented in the coordinate file but present in the construct are color coded </w:t>
      </w:r>
      <w:r>
        <w:rPr>
          <w:sz w:val="28"/>
          <w:lang w:val="en-US"/>
        </w:rPr>
        <w:t xml:space="preserve">and shown </w:t>
      </w:r>
      <w:r>
        <w:rPr>
          <w:rFonts w:ascii="Courier New" w:hAnsi="Courier New" w:cs="Courier New"/>
          <w:sz w:val="22"/>
          <w:lang w:val="en-US"/>
        </w:rPr>
        <w:t>in</w:t>
      </w:r>
      <w:r w:rsidRPr="00357B6B">
        <w:rPr>
          <w:rFonts w:ascii="Courier New" w:hAnsi="Courier New" w:cs="Courier New"/>
          <w:sz w:val="22"/>
          <w:lang w:val="en-US"/>
        </w:rPr>
        <w:t xml:space="preserve"> smaller letters</w:t>
      </w:r>
    </w:p>
    <w:p w:rsidR="00982F75" w:rsidRDefault="00982F75" w:rsidP="00664DB3">
      <w:pPr>
        <w:rPr>
          <w:rFonts w:ascii="Courier New" w:hAnsi="Courier New" w:cs="Courier New"/>
          <w:sz w:val="22"/>
          <w:lang w:val="en-US"/>
        </w:rPr>
      </w:pPr>
    </w:p>
    <w:p w:rsidR="00982F75" w:rsidRPr="00982F75" w:rsidRDefault="00982F75" w:rsidP="00664DB3">
      <w:pPr>
        <w:rPr>
          <w:rFonts w:cs="Courier New"/>
          <w:b/>
          <w:sz w:val="22"/>
          <w:u w:val="single"/>
          <w:lang w:val="en-US"/>
        </w:rPr>
      </w:pPr>
      <w:r w:rsidRPr="00982F75">
        <w:rPr>
          <w:rFonts w:cs="Courier New"/>
          <w:b/>
          <w:sz w:val="22"/>
          <w:u w:val="single"/>
          <w:lang w:val="en-US"/>
        </w:rPr>
        <w:t xml:space="preserve">Available </w:t>
      </w:r>
      <w:proofErr w:type="spellStart"/>
      <w:r w:rsidRPr="00982F75">
        <w:rPr>
          <w:rFonts w:cs="Courier New"/>
          <w:b/>
          <w:sz w:val="22"/>
          <w:u w:val="single"/>
          <w:lang w:val="en-US"/>
        </w:rPr>
        <w:t>pdb</w:t>
      </w:r>
      <w:proofErr w:type="spellEnd"/>
      <w:r w:rsidRPr="00982F75">
        <w:rPr>
          <w:rFonts w:cs="Courier New"/>
          <w:b/>
          <w:sz w:val="22"/>
          <w:u w:val="single"/>
          <w:lang w:val="en-US"/>
        </w:rPr>
        <w:t xml:space="preserve"> coordinates:</w:t>
      </w:r>
    </w:p>
    <w:p w:rsidR="00982F75" w:rsidRPr="00982F75" w:rsidRDefault="00982F75" w:rsidP="00664DB3">
      <w:pPr>
        <w:rPr>
          <w:rFonts w:cs="Courier New"/>
          <w:sz w:val="22"/>
          <w:lang w:val="en-US"/>
        </w:rPr>
      </w:pPr>
    </w:p>
    <w:p w:rsidR="00982F75" w:rsidRPr="00982F75" w:rsidRDefault="00982F75" w:rsidP="00664DB3">
      <w:pPr>
        <w:rPr>
          <w:rFonts w:cs="Courier New"/>
          <w:sz w:val="22"/>
          <w:lang w:val="en-US"/>
        </w:rPr>
      </w:pPr>
      <w:r w:rsidRPr="00982F75">
        <w:rPr>
          <w:rFonts w:cs="Courier New"/>
          <w:sz w:val="22"/>
          <w:lang w:val="en-US"/>
        </w:rPr>
        <w:t>2J80 (citrate sensor-domain with bound citrate)</w:t>
      </w:r>
    </w:p>
    <w:p w:rsidR="00982F75" w:rsidRPr="00982F75" w:rsidRDefault="00982F75" w:rsidP="00664DB3">
      <w:pPr>
        <w:rPr>
          <w:rFonts w:cs="Courier New"/>
          <w:sz w:val="22"/>
          <w:lang w:val="en-US"/>
        </w:rPr>
      </w:pPr>
      <w:r w:rsidRPr="00982F75">
        <w:rPr>
          <w:rFonts w:cs="Courier New"/>
          <w:sz w:val="22"/>
          <w:lang w:val="en-US"/>
        </w:rPr>
        <w:t>2PR5 (</w:t>
      </w:r>
      <w:proofErr w:type="spellStart"/>
      <w:r w:rsidRPr="00982F75">
        <w:rPr>
          <w:rFonts w:cs="Courier New"/>
          <w:sz w:val="22"/>
          <w:lang w:val="en-US"/>
        </w:rPr>
        <w:t>YtvA</w:t>
      </w:r>
      <w:proofErr w:type="spellEnd"/>
      <w:r w:rsidRPr="00982F75">
        <w:rPr>
          <w:rFonts w:cs="Courier New"/>
          <w:sz w:val="22"/>
          <w:lang w:val="en-US"/>
        </w:rPr>
        <w:t>-LOV in dark state (including linker helix))</w:t>
      </w:r>
    </w:p>
    <w:p w:rsidR="00982F75" w:rsidRPr="00982F75" w:rsidRDefault="00982F75" w:rsidP="00664DB3">
      <w:pPr>
        <w:rPr>
          <w:rFonts w:cs="Courier New"/>
          <w:sz w:val="22"/>
          <w:lang w:val="en-US"/>
        </w:rPr>
      </w:pPr>
      <w:r w:rsidRPr="00982F75">
        <w:rPr>
          <w:rFonts w:cs="Courier New"/>
          <w:sz w:val="22"/>
          <w:lang w:val="en-US"/>
        </w:rPr>
        <w:t>1I6W (Lipase)</w:t>
      </w:r>
    </w:p>
    <w:p w:rsidR="00982F75" w:rsidRPr="00982F75" w:rsidRDefault="00982F75" w:rsidP="00664DB3">
      <w:pPr>
        <w:rPr>
          <w:rFonts w:cs="Courier New"/>
          <w:sz w:val="22"/>
          <w:lang w:val="en-US"/>
        </w:rPr>
      </w:pPr>
    </w:p>
    <w:p w:rsidR="00982F75" w:rsidRPr="00982F75" w:rsidRDefault="00982F75" w:rsidP="00664DB3">
      <w:pPr>
        <w:rPr>
          <w:rFonts w:cs="Courier New"/>
          <w:b/>
          <w:sz w:val="22"/>
          <w:lang w:val="en-US"/>
        </w:rPr>
      </w:pPr>
      <w:r w:rsidRPr="00982F75">
        <w:rPr>
          <w:rFonts w:cs="Courier New"/>
          <w:b/>
          <w:sz w:val="22"/>
          <w:lang w:val="en-US"/>
        </w:rPr>
        <w:t>Quaternary Structure:</w:t>
      </w:r>
    </w:p>
    <w:p w:rsidR="00982F75" w:rsidRPr="00982F75" w:rsidRDefault="00982F75" w:rsidP="00664DB3">
      <w:pPr>
        <w:rPr>
          <w:rFonts w:cs="Courier New"/>
          <w:sz w:val="22"/>
          <w:lang w:val="en-US"/>
        </w:rPr>
      </w:pPr>
    </w:p>
    <w:p w:rsidR="00982F75" w:rsidRPr="00982F75" w:rsidRDefault="00982F75" w:rsidP="00664DB3">
      <w:pPr>
        <w:rPr>
          <w:lang w:val="en-US"/>
        </w:rPr>
      </w:pPr>
      <w:r w:rsidRPr="00982F75">
        <w:rPr>
          <w:rFonts w:cs="Courier New"/>
          <w:sz w:val="22"/>
          <w:lang w:val="en-US"/>
        </w:rPr>
        <w:t>According to Sedimentation Velocity Analytical Ultracentrifugation fusion protein is a monomer with spherical shape.</w:t>
      </w:r>
    </w:p>
    <w:sectPr w:rsidR="00982F75" w:rsidRPr="00982F75" w:rsidSect="007E2C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001"/>
    <w:rsid w:val="002036A4"/>
    <w:rsid w:val="0025142B"/>
    <w:rsid w:val="00310271"/>
    <w:rsid w:val="003453D7"/>
    <w:rsid w:val="00357B6B"/>
    <w:rsid w:val="004D5001"/>
    <w:rsid w:val="005F31BB"/>
    <w:rsid w:val="00664DB3"/>
    <w:rsid w:val="007E2CCF"/>
    <w:rsid w:val="00982F75"/>
    <w:rsid w:val="00E12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001"/>
    <w:pPr>
      <w:spacing w:after="0" w:line="360" w:lineRule="auto"/>
      <w:jc w:val="both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4D5001"/>
    <w:pPr>
      <w:spacing w:line="240" w:lineRule="auto"/>
    </w:pPr>
    <w:rPr>
      <w:b/>
      <w:bCs/>
      <w:sz w:val="20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B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664DB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664DB3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664DB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664DB3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Forschungszentrum Jülich GmbH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Kaschner</dc:creator>
  <cp:keywords/>
  <dc:description/>
  <cp:lastModifiedBy>ulrich krauss</cp:lastModifiedBy>
  <cp:revision>5</cp:revision>
  <dcterms:created xsi:type="dcterms:W3CDTF">2012-09-05T08:14:00Z</dcterms:created>
  <dcterms:modified xsi:type="dcterms:W3CDTF">2012-09-06T10:54:00Z</dcterms:modified>
</cp:coreProperties>
</file>