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160"/>
        <w:jc w:val="center"/>
      </w:pPr>
      <w:r>
        <w:drawing>
          <wp:inline xmlns:a="http://schemas.openxmlformats.org/drawingml/2006/main" xmlns:pic="http://schemas.openxmlformats.org/drawingml/2006/picture">
            <wp:extent cx="3200400" cy="890027"/>
            <wp:docPr id="1" name="Picture 1"/>
            <wp:cNvGraphicFramePr>
              <a:graphicFrameLocks noChangeAspect="1"/>
            </wp:cNvGraphicFramePr>
            <a:graphic>
              <a:graphicData uri="http://schemas.openxmlformats.org/drawingml/2006/picture">
                <pic:pic>
                  <pic:nvPicPr>
                    <pic:cNvPr id="0" name="Ichita_Logo-05.png"/>
                    <pic:cNvPicPr/>
                  </pic:nvPicPr>
                  <pic:blipFill>
                    <a:blip r:embed="rId11"/>
                    <a:stretch>
                      <a:fillRect/>
                    </a:stretch>
                  </pic:blipFill>
                  <pic:spPr>
                    <a:xfrm>
                      <a:off x="0" y="0"/>
                      <a:ext cx="3200400" cy="890027"/>
                    </a:xfrm>
                    <a:prstGeom prst="rect"/>
                  </pic:spPr>
                </pic:pic>
              </a:graphicData>
            </a:graphic>
          </wp:inline>
        </w:drawing>
      </w:r>
    </w:p>
    <w:p>
      <w:pPr>
        <w:spacing w:before="0" w:after="240"/>
        <w:pBdr>
          <w:bottom w:val="single" w:sz="24" w:space="1" w:color="2978FF"/>
        </w:pBdr>
      </w:pPr>
    </w:p>
    <w:p>
      <w:pPr>
        <w:pStyle w:val="Heading2"/>
        <w:pBdr>
          <w:left w:val="single" w:sz="24" w:space="6" w:color="2978FF"/>
        </w:pBdr>
      </w:pPr>
      <w:r>
        <w:rPr>
          <w:rFonts w:ascii="Aeonik" w:hAnsi="Aeonik"/>
          <w:b/>
          <w:color w:val="263338"/>
          <w:sz w:val="30"/>
        </w:rPr>
        <w:t>Company Profile</w:t>
      </w:r>
    </w:p>
    <w:p>
      <w:pPr>
        <w:pStyle w:val="Heading3"/>
      </w:pPr>
      <w:r>
        <w:rPr>
          <w:rFonts w:ascii="Aeonik" w:hAnsi="Aeonik"/>
          <w:b/>
          <w:color w:val="2978FF"/>
          <w:sz w:val="24"/>
        </w:rPr>
        <w:t>Liquid Separation and Biorefinery Process Technologies</w:t>
      </w:r>
    </w:p>
    <w:p>
      <w:pPr>
        <w:spacing w:before="120" w:after="120"/>
        <w:pBdr>
          <w:bottom w:val="single" w:sz="6" w:space="1" w:color="2978FF"/>
        </w:pBdr>
      </w:pPr>
    </w:p>
    <w:p>
      <w:pPr>
        <w:pStyle w:val="Heading2"/>
        <w:pBdr>
          <w:left w:val="single" w:sz="24" w:space="6" w:color="2978FF"/>
        </w:pBdr>
      </w:pPr>
      <w:r>
        <w:rPr>
          <w:rFonts w:ascii="Aeonik" w:hAnsi="Aeonik"/>
          <w:b/>
          <w:color w:val="263338"/>
          <w:sz w:val="30"/>
        </w:rPr>
        <w:t>About Us</w:t>
      </w:r>
    </w:p>
    <w:p>
      <w:pPr>
        <w:spacing w:before="40" w:after="100"/>
      </w:pPr>
      <w:r>
        <w:rPr>
          <w:rFonts w:ascii="Aeonik" w:hAnsi="Aeonik"/>
          <w:color w:val="263338"/>
          <w:sz w:val="20"/>
        </w:rPr>
        <w:t>ICHITA Co., Ltd. was established in 2002 as an Engineering, Procurement, and Construction (EPC) company specializing in liquid separation and biorefinery process technologies for sugar refineries. Over two decades of continuous innovation, ICHITA has grown into a trusted provider of advanced liquid separation and biorefinery process solutions across the food, beverage, and bioindustry sectors.</w:t>
      </w:r>
    </w:p>
    <w:p>
      <w:pPr>
        <w:spacing w:before="40" w:after="100"/>
      </w:pPr>
      <w:r>
        <w:rPr>
          <w:rFonts w:ascii="Aeonik" w:hAnsi="Aeonik"/>
          <w:color w:val="263338"/>
          <w:sz w:val="20"/>
        </w:rPr>
        <w:t>As the demands of the sugar refinery industry became increasingly sophisticated — with clients seeking greater product diversification — ICHITA was called upon to deliver total turnkey package solutions that ensure final product quality from end to end.</w:t>
      </w:r>
    </w:p>
    <w:p>
      <w:pPr>
        <w:spacing w:before="40" w:after="100"/>
      </w:pPr>
      <w:r>
        <w:rPr>
          <w:rFonts w:ascii="Aeonik" w:hAnsi="Aeonik"/>
          <w:color w:val="263338"/>
          <w:sz w:val="20"/>
        </w:rPr>
        <w:t xml:space="preserve">ICHITA is an affiliate company with </w:t>
      </w:r>
      <w:r>
        <w:rPr>
          <w:rFonts w:ascii="Aeonik" w:hAnsi="Aeonik"/>
          <w:b/>
          <w:color w:val="263338"/>
          <w:sz w:val="20"/>
        </w:rPr>
        <w:t>SRYA (Sriarayathep)</w:t>
      </w:r>
      <w:r>
        <w:rPr>
          <w:rFonts w:ascii="Aeonik" w:hAnsi="Aeonik"/>
          <w:color w:val="263338"/>
          <w:sz w:val="20"/>
        </w:rPr>
        <w:t>, which distributes advanced industrial technologies including ion exchange resin, membranes, and adsorbent solutions across Thailand, focusing on liquid separation, biorefinery processes, and environmental sustainability.</w:t>
      </w:r>
    </w:p>
    <w:p>
      <w:pPr>
        <w:spacing w:before="40" w:after="100"/>
      </w:pPr>
      <w:r>
        <w:rPr>
          <w:rFonts w:ascii="Aeonik" w:hAnsi="Aeonik"/>
          <w:color w:val="263338"/>
          <w:sz w:val="20"/>
        </w:rPr>
        <w:t>Today, ICHITA serves as a partner to manufacturers in sugar, sweetener, beverage, and food ingredient industries, delivering advanced liquid separation and biorefinery process technologies that drive efficiency, quality, and sustainability.</w:t>
      </w:r>
    </w:p>
    <w:p>
      <w:pPr>
        <w:spacing w:before="120" w:after="120"/>
        <w:pBdr>
          <w:bottom w:val="single" w:sz="6" w:space="1" w:color="2978FF"/>
        </w:pBdr>
      </w:pPr>
    </w:p>
    <w:p>
      <w:pPr>
        <w:pStyle w:val="Heading2"/>
        <w:pBdr>
          <w:left w:val="single" w:sz="24" w:space="6" w:color="2978FF"/>
        </w:pBdr>
      </w:pPr>
      <w:r>
        <w:rPr>
          <w:rFonts w:ascii="Aeonik" w:hAnsi="Aeonik"/>
          <w:b/>
          <w:color w:val="263338"/>
          <w:sz w:val="30"/>
        </w:rPr>
        <w:t>Our History</w:t>
      </w:r>
    </w:p>
    <w:tbl>
      <w:tblPr>
        <w:tblW w:type="auto" w:w="0"/>
        <w:jc w:val="center"/>
        <w:tblLayout w:type="autofit"/>
        <w:tblLook w:firstColumn="1" w:firstRow="1" w:lastColumn="0" w:lastRow="0" w:noHBand="0" w:noVBand="1" w:val="04A0"/>
        <w:tblBorders>
          <w:top w:val="single" w:sz="4" w:space="0" w:color="A0B0B8"/>
          <w:left w:val="single" w:sz="4" w:space="0" w:color="A0B0B8"/>
          <w:bottom w:val="single" w:sz="4" w:space="0" w:color="A0B0B8"/>
          <w:right w:val="single" w:sz="4" w:space="0" w:color="A0B0B8"/>
          <w:insideH w:val="single" w:sz="4" w:space="0" w:color="A0B0B8"/>
          <w:insideV w:val="single" w:sz="4" w:space="0" w:color="A0B0B8"/>
        </w:tblBorders>
      </w:tblPr>
      <w:tblGrid>
        <w:gridCol w:w="4703"/>
        <w:gridCol w:w="4703"/>
      </w:tblGrid>
      <w:tr>
        <w:trPr>
          <w:cantSplit/>
        </w:trPr>
        <w:tc>
          <w:tcPr>
            <w:tcW w:type="dxa" w:w="4703"/>
            <w:shd w:fill="263338" w:val="clear"/>
          </w:tcPr>
          <w:p>
            <w:pPr>
              <w:keepNext/>
              <w:keepLines/>
              <w:spacing w:before="40" w:after="40"/>
            </w:pPr>
            <w:r>
              <w:rPr>
                <w:rFonts w:ascii="Aeonik" w:hAnsi="Aeonik"/>
                <w:b/>
                <w:color w:val="FFFFFF"/>
                <w:sz w:val="18"/>
              </w:rPr>
              <w:t>Year</w:t>
            </w:r>
          </w:p>
        </w:tc>
        <w:tc>
          <w:tcPr>
            <w:tcW w:type="dxa" w:w="4703"/>
            <w:shd w:fill="263338" w:val="clear"/>
          </w:tcPr>
          <w:p>
            <w:pPr>
              <w:keepNext/>
              <w:keepLines/>
              <w:spacing w:before="40" w:after="40"/>
            </w:pPr>
            <w:r>
              <w:rPr>
                <w:rFonts w:ascii="Aeonik" w:hAnsi="Aeonik"/>
                <w:b/>
                <w:color w:val="FFFFFF"/>
                <w:sz w:val="18"/>
              </w:rPr>
              <w:t>Milestone</w:t>
            </w:r>
          </w:p>
        </w:tc>
      </w:tr>
      <w:tr>
        <w:trPr>
          <w:cantSplit/>
        </w:trPr>
        <w:tc>
          <w:tcPr>
            <w:tcW w:type="dxa" w:w="4703"/>
          </w:tcPr>
          <w:p>
            <w:pPr>
              <w:keepNext/>
              <w:keepLines/>
              <w:spacing w:before="40" w:after="40"/>
            </w:pPr>
            <w:r>
              <w:rPr>
                <w:rFonts w:ascii="Aeonik" w:hAnsi="Aeonik"/>
                <w:color w:val="263338"/>
                <w:sz w:val="18"/>
              </w:rPr>
              <w:t>2002</w:t>
            </w:r>
          </w:p>
        </w:tc>
        <w:tc>
          <w:tcPr>
            <w:tcW w:type="dxa" w:w="4703"/>
          </w:tcPr>
          <w:p>
            <w:pPr>
              <w:keepNext/>
              <w:keepLines/>
              <w:spacing w:before="40" w:after="40"/>
            </w:pPr>
            <w:r>
              <w:rPr>
                <w:rFonts w:ascii="Aeonik" w:hAnsi="Aeonik"/>
                <w:color w:val="263338"/>
                <w:sz w:val="18"/>
              </w:rPr>
              <w:t>Founded as an EPC company for liquid separation and sugar refinery biorefinery process consultation</w:t>
            </w:r>
          </w:p>
        </w:tc>
      </w:tr>
      <w:tr>
        <w:trPr>
          <w:cantSplit/>
        </w:trPr>
        <w:tc>
          <w:tcPr>
            <w:tcW w:type="dxa" w:w="4703"/>
            <w:shd w:fill="EFF2F3" w:val="clear"/>
          </w:tcPr>
          <w:p>
            <w:pPr>
              <w:keepNext/>
              <w:keepLines/>
              <w:spacing w:before="40" w:after="40"/>
            </w:pPr>
            <w:r>
              <w:rPr>
                <w:rFonts w:ascii="Aeonik" w:hAnsi="Aeonik"/>
                <w:color w:val="263338"/>
                <w:sz w:val="18"/>
              </w:rPr>
              <w:t>2000s</w:t>
            </w:r>
          </w:p>
        </w:tc>
        <w:tc>
          <w:tcPr>
            <w:tcW w:type="dxa" w:w="4703"/>
            <w:shd w:fill="EFF2F3" w:val="clear"/>
          </w:tcPr>
          <w:p>
            <w:pPr>
              <w:keepNext/>
              <w:keepLines/>
              <w:spacing w:before="40" w:after="40"/>
            </w:pPr>
            <w:r>
              <w:rPr>
                <w:rFonts w:ascii="Aeonik" w:hAnsi="Aeonik"/>
                <w:color w:val="263338"/>
                <w:sz w:val="18"/>
              </w:rPr>
              <w:t>Expanded into total turnkey solutions for sugar refinery product diversification</w:t>
            </w:r>
          </w:p>
        </w:tc>
      </w:tr>
      <w:tr>
        <w:trPr>
          <w:cantSplit/>
        </w:trPr>
        <w:tc>
          <w:tcPr>
            <w:tcW w:type="dxa" w:w="4703"/>
          </w:tcPr>
          <w:p>
            <w:pPr>
              <w:keepNext/>
              <w:keepLines/>
              <w:spacing w:before="40" w:after="40"/>
            </w:pPr>
            <w:r>
              <w:rPr>
                <w:rFonts w:ascii="Aeonik" w:hAnsi="Aeonik"/>
                <w:color w:val="263338"/>
                <w:sz w:val="18"/>
              </w:rPr>
              <w:t>2010s</w:t>
            </w:r>
          </w:p>
        </w:tc>
        <w:tc>
          <w:tcPr>
            <w:tcW w:type="dxa" w:w="4703"/>
          </w:tcPr>
          <w:p>
            <w:pPr>
              <w:keepNext/>
              <w:keepLines/>
              <w:spacing w:before="40" w:after="40"/>
            </w:pPr>
            <w:r>
              <w:rPr>
                <w:rFonts w:ascii="Aeonik" w:hAnsi="Aeonik"/>
                <w:color w:val="263338"/>
                <w:sz w:val="18"/>
              </w:rPr>
              <w:t>Invested in R&amp;D team and pilot-scale units for advanced separation processes</w:t>
            </w:r>
          </w:p>
        </w:tc>
      </w:tr>
      <w:tr>
        <w:trPr>
          <w:cantSplit/>
        </w:trPr>
        <w:tc>
          <w:tcPr>
            <w:tcW w:type="dxa" w:w="4703"/>
            <w:shd w:fill="EFF2F3" w:val="clear"/>
          </w:tcPr>
          <w:p>
            <w:pPr>
              <w:keepNext w:val="0"/>
              <w:keepLines/>
              <w:spacing w:before="40" w:after="40"/>
            </w:pPr>
            <w:r>
              <w:rPr>
                <w:rFonts w:ascii="Aeonik" w:hAnsi="Aeonik"/>
                <w:color w:val="263338"/>
                <w:sz w:val="18"/>
              </w:rPr>
              <w:t>Present</w:t>
            </w:r>
          </w:p>
        </w:tc>
        <w:tc>
          <w:tcPr>
            <w:tcW w:type="dxa" w:w="4703"/>
            <w:shd w:fill="EFF2F3" w:val="clear"/>
          </w:tcPr>
          <w:p>
            <w:pPr>
              <w:keepNext w:val="0"/>
              <w:keepLines/>
              <w:spacing w:before="40" w:after="40"/>
            </w:pPr>
            <w:r>
              <w:rPr>
                <w:rFonts w:ascii="Aeonik" w:hAnsi="Aeonik"/>
                <w:color w:val="263338"/>
                <w:sz w:val="18"/>
              </w:rPr>
              <w:t>Full-service provider with proprietary technologies and OEM capabilities</w:t>
            </w:r>
          </w:p>
        </w:tc>
      </w:tr>
    </w:tbl>
    <w:p>
      <w:pPr>
        <w:spacing w:before="40" w:after="40"/>
      </w:pPr>
    </w:p>
    <w:p>
      <w:pPr>
        <w:spacing w:before="120" w:after="120"/>
        <w:pBdr>
          <w:bottom w:val="single" w:sz="6" w:space="1" w:color="2978FF"/>
        </w:pBdr>
      </w:pPr>
    </w:p>
    <w:p>
      <w:pPr>
        <w:pStyle w:val="Heading2"/>
        <w:pBdr>
          <w:left w:val="single" w:sz="24" w:space="6" w:color="2978FF"/>
        </w:pBdr>
      </w:pPr>
      <w:r>
        <w:rPr>
          <w:rFonts w:ascii="Aeonik" w:hAnsi="Aeonik"/>
          <w:b/>
          <w:color w:val="263338"/>
          <w:sz w:val="30"/>
        </w:rPr>
        <w:t>Core Services</w:t>
      </w:r>
    </w:p>
    <w:p>
      <w:pPr>
        <w:pStyle w:val="Heading3"/>
      </w:pPr>
      <w:r>
        <w:rPr>
          <w:rFonts w:ascii="Aeonik" w:hAnsi="Aeonik"/>
          <w:b/>
          <w:color w:val="2978FF"/>
          <w:sz w:val="24"/>
        </w:rPr>
        <w:t>Engineering, Procurement &amp; Construction (EPC)</w:t>
      </w:r>
    </w:p>
    <w:p>
      <w:pPr>
        <w:spacing w:before="40" w:after="100"/>
      </w:pPr>
      <w:r>
        <w:rPr>
          <w:rFonts w:ascii="Aeonik" w:hAnsi="Aeonik"/>
          <w:color w:val="263338"/>
          <w:sz w:val="20"/>
        </w:rPr>
        <w:t>ICHITA provides end-to-end EPC services for liquid separation systems and biorefinery process lines. From initial consultation and design through procurement and commissioning, we deliver complete solutions tailored to each client's requirements.</w:t>
      </w:r>
    </w:p>
    <w:p>
      <w:pPr>
        <w:spacing w:before="120" w:after="120"/>
        <w:jc w:val="center"/>
      </w:pPr>
      <w:r>
        <w:rPr>
          <w:rFonts w:ascii="Aeonik" w:hAnsi="Aeonik"/>
          <w:i/>
          <w:color w:val="788F9C"/>
          <w:sz w:val="18"/>
        </w:rPr>
        <w:t>[Image: ICHITA water treatment system]</w:t>
      </w:r>
    </w:p>
    <w:p>
      <w:pPr>
        <w:pStyle w:val="Heading3"/>
      </w:pPr>
      <w:r>
        <w:rPr>
          <w:rFonts w:ascii="Aeonik" w:hAnsi="Aeonik"/>
          <w:b/>
          <w:color w:val="2978FF"/>
          <w:sz w:val="24"/>
        </w:rPr>
        <w:t>OEM Process Solutions</w:t>
      </w:r>
    </w:p>
    <w:p>
      <w:pPr>
        <w:spacing w:before="40" w:after="100"/>
      </w:pPr>
      <w:r>
        <w:rPr>
          <w:rFonts w:ascii="Aeonik" w:hAnsi="Aeonik"/>
          <w:color w:val="263338"/>
          <w:sz w:val="20"/>
        </w:rPr>
        <w:t>Our OEM services cover a comprehensive range of process solutions:</w:t>
      </w:r>
    </w:p>
    <w:p>
      <w:pPr>
        <w:pStyle w:val="ListBullet"/>
        <w:spacing w:before="40" w:after="40"/>
      </w:pPr>
      <w:r>
        <w:rPr>
          <w:rFonts w:ascii="Aeonik" w:hAnsi="Aeonik"/>
          <w:b/>
          <w:color w:val="263338"/>
          <w:sz w:val="20"/>
        </w:rPr>
        <w:t>Sugar Decolorization</w:t>
      </w:r>
      <w:r>
        <w:rPr>
          <w:rFonts w:ascii="Aeonik" w:hAnsi="Aeonik"/>
          <w:color w:val="263338"/>
          <w:sz w:val="20"/>
        </w:rPr>
        <w:t xml:space="preserve"> — advanced separation for crystal-clear refined sugar</w:t>
      </w:r>
    </w:p>
    <w:p>
      <w:pPr>
        <w:pStyle w:val="ListBullet"/>
        <w:spacing w:before="40" w:after="40"/>
      </w:pPr>
      <w:r>
        <w:rPr>
          <w:rFonts w:ascii="Aeonik" w:hAnsi="Aeonik"/>
          <w:b/>
          <w:color w:val="263338"/>
          <w:sz w:val="20"/>
        </w:rPr>
        <w:t>Glucose and Fructose Deashing &amp; Decolorization</w:t>
      </w:r>
      <w:r>
        <w:rPr>
          <w:rFonts w:ascii="Aeonik" w:hAnsi="Aeonik"/>
          <w:color w:val="263338"/>
          <w:sz w:val="20"/>
        </w:rPr>
        <w:t xml:space="preserve"> — precision purification for sweetener production</w:t>
      </w:r>
    </w:p>
    <w:p>
      <w:pPr>
        <w:pStyle w:val="ListBullet"/>
        <w:spacing w:before="40" w:after="40"/>
      </w:pPr>
      <w:r>
        <w:rPr>
          <w:rFonts w:ascii="Aeonik" w:hAnsi="Aeonik"/>
          <w:b/>
          <w:color w:val="263338"/>
          <w:sz w:val="20"/>
        </w:rPr>
        <w:t>Fruit Juice Clarification</w:t>
      </w:r>
      <w:r>
        <w:rPr>
          <w:rFonts w:ascii="Aeonik" w:hAnsi="Aeonik"/>
          <w:color w:val="263338"/>
          <w:sz w:val="20"/>
        </w:rPr>
        <w:t xml:space="preserve"> — membrane-based clarification for beverage manufacturers</w:t>
      </w:r>
    </w:p>
    <w:p>
      <w:pPr>
        <w:pStyle w:val="ListBullet"/>
        <w:spacing w:before="40" w:after="40"/>
      </w:pPr>
      <w:r>
        <w:rPr>
          <w:rFonts w:ascii="Aeonik" w:hAnsi="Aeonik"/>
          <w:b/>
          <w:color w:val="263338"/>
          <w:sz w:val="20"/>
        </w:rPr>
        <w:t>Wastewater Recycling</w:t>
      </w:r>
      <w:r>
        <w:rPr>
          <w:rFonts w:ascii="Aeonik" w:hAnsi="Aeonik"/>
          <w:color w:val="263338"/>
          <w:sz w:val="20"/>
        </w:rPr>
        <w:t xml:space="preserve"> — UF, NF, and RO technologies for sustainable water reuse</w:t>
      </w:r>
    </w:p>
    <w:p>
      <w:pPr>
        <w:pStyle w:val="Heading3"/>
      </w:pPr>
      <w:r>
        <w:rPr>
          <w:rFonts w:ascii="Aeonik" w:hAnsi="Aeonik"/>
          <w:b/>
          <w:color w:val="2978FF"/>
          <w:sz w:val="24"/>
        </w:rPr>
        <w:t>Separation Technologies</w:t>
      </w:r>
    </w:p>
    <w:p>
      <w:pPr>
        <w:spacing w:before="40" w:after="100"/>
      </w:pPr>
      <w:r>
        <w:rPr>
          <w:rFonts w:ascii="Aeonik" w:hAnsi="Aeonik"/>
          <w:color w:val="263338"/>
          <w:sz w:val="20"/>
        </w:rPr>
        <w:t>We utilize industry-leading separation technologies including:</w:t>
      </w:r>
    </w:p>
    <w:p>
      <w:pPr>
        <w:pStyle w:val="ListBullet"/>
        <w:spacing w:before="40" w:after="40"/>
      </w:pPr>
      <w:r>
        <w:rPr>
          <w:rFonts w:ascii="Aeonik" w:hAnsi="Aeonik"/>
          <w:color w:val="263338"/>
          <w:sz w:val="20"/>
        </w:rPr>
        <w:t>Ion exchange resin systems</w:t>
      </w:r>
    </w:p>
    <w:p>
      <w:pPr>
        <w:pStyle w:val="ListBullet"/>
        <w:spacing w:before="40" w:after="40"/>
      </w:pPr>
      <w:r>
        <w:rPr>
          <w:rFonts w:ascii="Aeonik" w:hAnsi="Aeonik"/>
          <w:color w:val="263338"/>
          <w:sz w:val="20"/>
        </w:rPr>
        <w:t>Membrane microfiltration and ultrafiltration</w:t>
      </w:r>
    </w:p>
    <w:p>
      <w:pPr>
        <w:pStyle w:val="ListBullet"/>
        <w:spacing w:before="40" w:after="40"/>
      </w:pPr>
      <w:r>
        <w:rPr>
          <w:rFonts w:ascii="Aeonik" w:hAnsi="Aeonik"/>
          <w:color w:val="263338"/>
          <w:sz w:val="20"/>
        </w:rPr>
        <w:t>Nanofiltration and reverse osmosis (RO)</w:t>
      </w:r>
    </w:p>
    <w:p>
      <w:pPr>
        <w:pStyle w:val="ListBullet"/>
        <w:spacing w:before="40" w:after="40"/>
      </w:pPr>
      <w:r>
        <w:rPr>
          <w:rFonts w:ascii="Aeonik" w:hAnsi="Aeonik"/>
          <w:color w:val="263338"/>
          <w:sz w:val="20"/>
        </w:rPr>
        <w:t>Adsorbent media including activated carbon and Ecosorb technology</w:t>
      </w:r>
    </w:p>
    <w:p>
      <w:pPr>
        <w:pStyle w:val="ListBullet"/>
        <w:spacing w:before="40" w:after="40"/>
      </w:pPr>
      <w:r>
        <w:rPr>
          <w:rFonts w:ascii="Aeonik" w:hAnsi="Aeonik"/>
          <w:color w:val="263338"/>
          <w:sz w:val="20"/>
        </w:rPr>
        <w:t>Chromatography SMB (Simulated Moving Bed) modules</w:t>
      </w:r>
    </w:p>
    <w:p>
      <w:pPr>
        <w:pStyle w:val="Heading3"/>
      </w:pPr>
      <w:r>
        <w:rPr>
          <w:rFonts w:ascii="Aeonik" w:hAnsi="Aeonik"/>
          <w:b/>
          <w:color w:val="2978FF"/>
          <w:sz w:val="24"/>
        </w:rPr>
        <w:t>Ion Exchange Services</w:t>
      </w:r>
    </w:p>
    <w:p>
      <w:pPr>
        <w:spacing w:before="40" w:after="100"/>
      </w:pPr>
      <w:r>
        <w:rPr>
          <w:rFonts w:ascii="Aeonik" w:hAnsi="Aeonik"/>
          <w:color w:val="263338"/>
          <w:sz w:val="20"/>
        </w:rPr>
        <w:t>For customers who purchase resin from ICHITA, we provide professional ion exchange removal and replacement services. Our trained staff manage every transaction with meticulous care to prevent contamination. In ultrapure water systems, our service is guaranteed for zero contamination.</w:t>
      </w:r>
    </w:p>
    <w:p>
      <w:pPr>
        <w:spacing w:before="120" w:after="120"/>
        <w:pBdr>
          <w:bottom w:val="single" w:sz="6" w:space="1" w:color="2978FF"/>
        </w:pBdr>
      </w:pPr>
    </w:p>
    <w:p>
      <w:pPr>
        <w:pStyle w:val="Heading2"/>
        <w:pBdr>
          <w:left w:val="single" w:sz="24" w:space="6" w:color="2978FF"/>
        </w:pBdr>
      </w:pPr>
      <w:r>
        <w:rPr>
          <w:rFonts w:ascii="Aeonik" w:hAnsi="Aeonik"/>
          <w:b/>
          <w:color w:val="263338"/>
          <w:sz w:val="30"/>
        </w:rPr>
        <w:t>Proprietary Technologies</w:t>
      </w:r>
    </w:p>
    <w:p>
      <w:pPr>
        <w:spacing w:before="40" w:after="100"/>
      </w:pPr>
      <w:r>
        <w:rPr>
          <w:rFonts w:ascii="Aeonik" w:hAnsi="Aeonik"/>
          <w:color w:val="263338"/>
          <w:sz w:val="20"/>
        </w:rPr>
        <w:t>ICHITA has invested significantly in research and development, establishing dedicated R&amp;D teams and pilot-scale units for various separation processes. This investment has resulted in a portfolio of proprietary technologies:</w:t>
      </w:r>
    </w:p>
    <w:p>
      <w:pPr>
        <w:pStyle w:val="ListBullet"/>
        <w:spacing w:before="40" w:after="40"/>
      </w:pPr>
      <w:r>
        <w:rPr>
          <w:rFonts w:ascii="Aeonik" w:hAnsi="Aeonik"/>
          <w:b/>
          <w:color w:val="263338"/>
          <w:sz w:val="20"/>
        </w:rPr>
        <w:t>Sweetener from Pineapple Peel System</w:t>
      </w:r>
      <w:r>
        <w:rPr>
          <w:rFonts w:ascii="Aeonik" w:hAnsi="Aeonik"/>
          <w:color w:val="263338"/>
          <w:sz w:val="20"/>
        </w:rPr>
        <w:t xml:space="preserve"> — innovative extraction of value from agricultural waste</w:t>
      </w:r>
    </w:p>
    <w:p>
      <w:pPr>
        <w:pStyle w:val="ListBullet"/>
        <w:spacing w:before="40" w:after="40"/>
      </w:pPr>
      <w:r>
        <w:rPr>
          <w:rFonts w:ascii="Aeonik" w:hAnsi="Aeonik"/>
          <w:b/>
          <w:color w:val="263338"/>
          <w:sz w:val="20"/>
        </w:rPr>
        <w:t>Liquid Sugar System</w:t>
      </w:r>
      <w:r>
        <w:rPr>
          <w:rFonts w:ascii="Aeonik" w:hAnsi="Aeonik"/>
          <w:color w:val="263338"/>
          <w:sz w:val="20"/>
        </w:rPr>
        <w:t xml:space="preserve"> — high-purity liquid sugar production with floc prevention</w:t>
      </w:r>
    </w:p>
    <w:p>
      <w:pPr>
        <w:pStyle w:val="ListBullet"/>
        <w:spacing w:before="40" w:after="40"/>
      </w:pPr>
      <w:r>
        <w:rPr>
          <w:rFonts w:ascii="Aeonik" w:hAnsi="Aeonik"/>
          <w:b/>
          <w:color w:val="263338"/>
          <w:sz w:val="20"/>
        </w:rPr>
        <w:t>Brine Recovery System</w:t>
      </w:r>
      <w:r>
        <w:rPr>
          <w:rFonts w:ascii="Aeonik" w:hAnsi="Aeonik"/>
          <w:color w:val="263338"/>
          <w:sz w:val="20"/>
        </w:rPr>
        <w:t xml:space="preserve"> — efficient recovery and recycling of brine solutions</w:t>
      </w:r>
    </w:p>
    <w:p>
      <w:pPr>
        <w:pStyle w:val="ListBullet"/>
        <w:spacing w:before="40" w:after="40"/>
      </w:pPr>
      <w:r>
        <w:rPr>
          <w:rFonts w:ascii="Aeonik" w:hAnsi="Aeonik"/>
          <w:b/>
          <w:color w:val="263338"/>
          <w:sz w:val="20"/>
        </w:rPr>
        <w:t>Chromatography System</w:t>
      </w:r>
      <w:r>
        <w:rPr>
          <w:rFonts w:ascii="Aeonik" w:hAnsi="Aeonik"/>
          <w:color w:val="263338"/>
          <w:sz w:val="20"/>
        </w:rPr>
        <w:t xml:space="preserve"> — precision separation for high-value compounds</w:t>
      </w:r>
    </w:p>
    <w:p>
      <w:pPr>
        <w:pStyle w:val="ListBullet"/>
        <w:spacing w:before="40" w:after="40"/>
      </w:pPr>
      <w:r>
        <w:rPr>
          <w:rFonts w:ascii="Aeonik" w:hAnsi="Aeonik"/>
          <w:b/>
          <w:color w:val="263338"/>
          <w:sz w:val="20"/>
        </w:rPr>
        <w:t>Gas-Liquid Separator System</w:t>
      </w:r>
      <w:r>
        <w:rPr>
          <w:rFonts w:ascii="Aeonik" w:hAnsi="Aeonik"/>
          <w:color w:val="263338"/>
          <w:sz w:val="20"/>
        </w:rPr>
        <w:t xml:space="preserve"> — advanced degasification technology</w:t>
      </w:r>
    </w:p>
    <w:p>
      <w:pPr>
        <w:pStyle w:val="ListBullet"/>
        <w:spacing w:before="40" w:after="40"/>
      </w:pPr>
      <w:r>
        <w:rPr>
          <w:rFonts w:ascii="Aeonik" w:hAnsi="Aeonik"/>
          <w:b/>
          <w:color w:val="263338"/>
          <w:sz w:val="20"/>
        </w:rPr>
        <w:t>Demineralization Modules</w:t>
      </w:r>
      <w:r>
        <w:rPr>
          <w:rFonts w:ascii="Aeonik" w:hAnsi="Aeonik"/>
          <w:color w:val="263338"/>
          <w:sz w:val="20"/>
        </w:rPr>
        <w:t xml:space="preserve"> — removal of mineral content for ultra-pure applications</w:t>
      </w:r>
    </w:p>
    <w:p>
      <w:pPr>
        <w:pStyle w:val="ListBullet"/>
        <w:spacing w:before="40" w:after="40"/>
      </w:pPr>
      <w:r>
        <w:rPr>
          <w:rFonts w:ascii="Aeonik" w:hAnsi="Aeonik"/>
          <w:b/>
          <w:color w:val="263338"/>
          <w:sz w:val="20"/>
        </w:rPr>
        <w:t>Degasifier Modules</w:t>
      </w:r>
      <w:r>
        <w:rPr>
          <w:rFonts w:ascii="Aeonik" w:hAnsi="Aeonik"/>
          <w:color w:val="263338"/>
          <w:sz w:val="20"/>
        </w:rPr>
        <w:t xml:space="preserve"> — dissolved gas removal systems</w:t>
      </w:r>
    </w:p>
    <w:p>
      <w:pPr>
        <w:spacing w:before="120" w:after="120"/>
        <w:jc w:val="center"/>
      </w:pPr>
      <w:r>
        <w:rPr>
          <w:rFonts w:ascii="Aeonik" w:hAnsi="Aeonik"/>
          <w:i/>
          <w:color w:val="788F9C"/>
          <w:sz w:val="18"/>
        </w:rPr>
        <w:t>[Image: Membrane separation technology]</w:t>
      </w:r>
    </w:p>
    <w:p>
      <w:pPr>
        <w:spacing w:before="120" w:after="120"/>
        <w:pBdr>
          <w:bottom w:val="single" w:sz="6" w:space="1" w:color="2978FF"/>
        </w:pBdr>
      </w:pPr>
    </w:p>
    <w:p>
      <w:pPr>
        <w:pStyle w:val="Heading2"/>
        <w:pBdr>
          <w:left w:val="single" w:sz="24" w:space="6" w:color="2978FF"/>
        </w:pBdr>
      </w:pPr>
      <w:r>
        <w:rPr>
          <w:rFonts w:ascii="Aeonik" w:hAnsi="Aeonik"/>
          <w:b/>
          <w:color w:val="263338"/>
          <w:sz w:val="30"/>
        </w:rPr>
        <w:t>Innovation Highlights</w:t>
      </w:r>
    </w:p>
    <w:p>
      <w:pPr>
        <w:pStyle w:val="Heading3"/>
      </w:pPr>
      <w:r>
        <w:rPr>
          <w:rFonts w:ascii="Aeonik" w:hAnsi="Aeonik"/>
          <w:b/>
          <w:color w:val="2978FF"/>
          <w:sz w:val="24"/>
        </w:rPr>
        <w:t>Membrane Technology for Sugar Derivatives</w:t>
      </w:r>
    </w:p>
    <w:p>
      <w:pPr>
        <w:spacing w:before="40" w:after="100"/>
      </w:pPr>
      <w:r>
        <w:rPr>
          <w:rFonts w:ascii="Aeonik" w:hAnsi="Aeonik"/>
          <w:color w:val="263338"/>
          <w:sz w:val="20"/>
        </w:rPr>
        <w:t>ICHITA has developed a revolutionary approach to purify sugar derivatives — including Isomalto-oligosaccharides (IMO) and Resistant Maltodextrin — using advanced membrane technology. By selecting membranes with precisely calibrated pore sizes, glucose passes through while retaining IMO and resistant maltodextrin content, achieving product purity exceeding 95%.</w:t>
      </w:r>
    </w:p>
    <w:p>
      <w:pPr>
        <w:pStyle w:val="Heading3"/>
      </w:pPr>
      <w:r>
        <w:rPr>
          <w:rFonts w:ascii="Aeonik" w:hAnsi="Aeonik"/>
          <w:b/>
          <w:color w:val="2978FF"/>
          <w:sz w:val="24"/>
        </w:rPr>
        <w:t>Key Advantages</w:t>
      </w:r>
    </w:p>
    <w:tbl>
      <w:tblPr>
        <w:tblW w:type="auto" w:w="0"/>
        <w:jc w:val="center"/>
        <w:tblLayout w:type="autofit"/>
        <w:tblLook w:firstColumn="1" w:firstRow="1" w:lastColumn="0" w:lastRow="0" w:noHBand="0" w:noVBand="1" w:val="04A0"/>
        <w:tblBorders>
          <w:top w:val="single" w:sz="4" w:space="0" w:color="A0B0B8"/>
          <w:left w:val="single" w:sz="4" w:space="0" w:color="A0B0B8"/>
          <w:bottom w:val="single" w:sz="4" w:space="0" w:color="A0B0B8"/>
          <w:right w:val="single" w:sz="4" w:space="0" w:color="A0B0B8"/>
          <w:insideH w:val="single" w:sz="4" w:space="0" w:color="A0B0B8"/>
          <w:insideV w:val="single" w:sz="4" w:space="0" w:color="A0B0B8"/>
        </w:tblBorders>
      </w:tblPr>
      <w:tblGrid>
        <w:gridCol w:w="4703"/>
        <w:gridCol w:w="4703"/>
      </w:tblGrid>
      <w:tr>
        <w:trPr>
          <w:cantSplit/>
        </w:trPr>
        <w:tc>
          <w:tcPr>
            <w:tcW w:type="dxa" w:w="4703"/>
            <w:shd w:fill="263338" w:val="clear"/>
          </w:tcPr>
          <w:p>
            <w:pPr>
              <w:keepNext/>
              <w:keepLines/>
              <w:spacing w:before="40" w:after="40"/>
            </w:pPr>
            <w:r>
              <w:rPr>
                <w:rFonts w:ascii="Aeonik" w:hAnsi="Aeonik"/>
                <w:b/>
                <w:color w:val="FFFFFF"/>
                <w:sz w:val="18"/>
              </w:rPr>
              <w:t>Advantage</w:t>
            </w:r>
          </w:p>
        </w:tc>
        <w:tc>
          <w:tcPr>
            <w:tcW w:type="dxa" w:w="4703"/>
            <w:shd w:fill="263338" w:val="clear"/>
          </w:tcPr>
          <w:p>
            <w:pPr>
              <w:keepNext/>
              <w:keepLines/>
              <w:spacing w:before="40" w:after="40"/>
            </w:pPr>
            <w:r>
              <w:rPr>
                <w:rFonts w:ascii="Aeonik" w:hAnsi="Aeonik"/>
                <w:b/>
                <w:color w:val="FFFFFF"/>
                <w:sz w:val="18"/>
              </w:rPr>
              <w:t>Description</w:t>
            </w:r>
          </w:p>
        </w:tc>
      </w:tr>
      <w:tr>
        <w:trPr>
          <w:cantSplit/>
        </w:trPr>
        <w:tc>
          <w:tcPr>
            <w:tcW w:type="dxa" w:w="4703"/>
          </w:tcPr>
          <w:p>
            <w:pPr>
              <w:keepNext/>
              <w:keepLines/>
              <w:spacing w:before="40" w:after="40"/>
            </w:pPr>
            <w:r>
              <w:rPr>
                <w:rFonts w:ascii="Aeonik" w:hAnsi="Aeonik"/>
                <w:color w:val="263338"/>
                <w:sz w:val="18"/>
              </w:rPr>
              <w:t>Organic Certification</w:t>
            </w:r>
          </w:p>
        </w:tc>
        <w:tc>
          <w:tcPr>
            <w:tcW w:type="dxa" w:w="4703"/>
          </w:tcPr>
          <w:p>
            <w:pPr>
              <w:keepNext/>
              <w:keepLines/>
              <w:spacing w:before="40" w:after="40"/>
            </w:pPr>
            <w:r>
              <w:rPr>
                <w:rFonts w:ascii="Aeonik" w:hAnsi="Aeonik"/>
                <w:color w:val="263338"/>
                <w:sz w:val="18"/>
              </w:rPr>
              <w:t>Without ion-exchange resin, products qualify for organic certification at premium pricing</w:t>
            </w:r>
          </w:p>
        </w:tc>
      </w:tr>
      <w:tr>
        <w:trPr>
          <w:cantSplit/>
        </w:trPr>
        <w:tc>
          <w:tcPr>
            <w:tcW w:type="dxa" w:w="4703"/>
            <w:shd w:fill="EFF2F3" w:val="clear"/>
          </w:tcPr>
          <w:p>
            <w:pPr>
              <w:keepNext/>
              <w:keepLines/>
              <w:spacing w:before="40" w:after="40"/>
            </w:pPr>
            <w:r>
              <w:rPr>
                <w:rFonts w:ascii="Aeonik" w:hAnsi="Aeonik"/>
                <w:color w:val="263338"/>
                <w:sz w:val="18"/>
              </w:rPr>
              <w:t>Zero Solid Waste</w:t>
            </w:r>
          </w:p>
        </w:tc>
        <w:tc>
          <w:tcPr>
            <w:tcW w:type="dxa" w:w="4703"/>
            <w:shd w:fill="EFF2F3" w:val="clear"/>
          </w:tcPr>
          <w:p>
            <w:pPr>
              <w:keepNext/>
              <w:keepLines/>
              <w:spacing w:before="40" w:after="40"/>
            </w:pPr>
            <w:r>
              <w:rPr>
                <w:rFonts w:ascii="Aeonik" w:hAnsi="Aeonik"/>
                <w:color w:val="263338"/>
                <w:sz w:val="18"/>
              </w:rPr>
              <w:t>Membrane technology eliminates cake and floc waste from traditional processes</w:t>
            </w:r>
          </w:p>
        </w:tc>
      </w:tr>
      <w:tr>
        <w:trPr>
          <w:cantSplit/>
        </w:trPr>
        <w:tc>
          <w:tcPr>
            <w:tcW w:type="dxa" w:w="4703"/>
          </w:tcPr>
          <w:p>
            <w:pPr>
              <w:keepNext/>
              <w:keepLines/>
              <w:spacing w:before="40" w:after="40"/>
            </w:pPr>
            <w:r>
              <w:rPr>
                <w:rFonts w:ascii="Aeonik" w:hAnsi="Aeonik"/>
                <w:color w:val="263338"/>
                <w:sz w:val="18"/>
              </w:rPr>
              <w:t>Compact Footprint</w:t>
            </w:r>
          </w:p>
        </w:tc>
        <w:tc>
          <w:tcPr>
            <w:tcW w:type="dxa" w:w="4703"/>
          </w:tcPr>
          <w:p>
            <w:pPr>
              <w:keepNext/>
              <w:keepLines/>
              <w:spacing w:before="40" w:after="40"/>
            </w:pPr>
            <w:r>
              <w:rPr>
                <w:rFonts w:ascii="Aeonik" w:hAnsi="Aeonik"/>
                <w:color w:val="263338"/>
                <w:sz w:val="18"/>
              </w:rPr>
              <w:t>Membrane systems complete primary decolorization independently, ideal for space-constrained facilities</w:t>
            </w:r>
          </w:p>
        </w:tc>
      </w:tr>
      <w:tr>
        <w:trPr>
          <w:cantSplit/>
        </w:trPr>
        <w:tc>
          <w:tcPr>
            <w:tcW w:type="dxa" w:w="4703"/>
            <w:shd w:fill="EFF2F3" w:val="clear"/>
          </w:tcPr>
          <w:p>
            <w:pPr>
              <w:keepNext/>
              <w:keepLines/>
              <w:spacing w:before="40" w:after="40"/>
            </w:pPr>
            <w:r>
              <w:rPr>
                <w:rFonts w:ascii="Aeonik" w:hAnsi="Aeonik"/>
                <w:color w:val="263338"/>
                <w:sz w:val="18"/>
              </w:rPr>
              <w:t>Simple Operation</w:t>
            </w:r>
          </w:p>
        </w:tc>
        <w:tc>
          <w:tcPr>
            <w:tcW w:type="dxa" w:w="4703"/>
            <w:shd w:fill="EFF2F3" w:val="clear"/>
          </w:tcPr>
          <w:p>
            <w:pPr>
              <w:keepNext/>
              <w:keepLines/>
              <w:spacing w:before="40" w:after="40"/>
            </w:pPr>
            <w:r>
              <w:rPr>
                <w:rFonts w:ascii="Aeonik" w:hAnsi="Aeonik"/>
                <w:color w:val="263338"/>
                <w:sz w:val="18"/>
              </w:rPr>
              <w:t>Fully automatic systems designed for ease of use without requiring specialized operators</w:t>
            </w:r>
          </w:p>
        </w:tc>
      </w:tr>
      <w:tr>
        <w:trPr>
          <w:cantSplit/>
        </w:trPr>
        <w:tc>
          <w:tcPr>
            <w:tcW w:type="dxa" w:w="4703"/>
          </w:tcPr>
          <w:p>
            <w:pPr>
              <w:keepNext w:val="0"/>
              <w:keepLines/>
              <w:spacing w:before="40" w:after="40"/>
            </w:pPr>
            <w:r>
              <w:rPr>
                <w:rFonts w:ascii="Aeonik" w:hAnsi="Aeonik"/>
                <w:color w:val="263338"/>
                <w:sz w:val="18"/>
              </w:rPr>
              <w:t>Floc Prevention</w:t>
            </w:r>
          </w:p>
        </w:tc>
        <w:tc>
          <w:tcPr>
            <w:tcW w:type="dxa" w:w="4703"/>
          </w:tcPr>
          <w:p>
            <w:pPr>
              <w:keepNext w:val="0"/>
              <w:keepLines/>
              <w:spacing w:before="40" w:after="40"/>
            </w:pPr>
            <w:r>
              <w:rPr>
                <w:rFonts w:ascii="Aeonik" w:hAnsi="Aeonik"/>
                <w:color w:val="263338"/>
                <w:sz w:val="18"/>
              </w:rPr>
              <w:t>Effective elimination of floc-forming particles that typical filters cannot remove</w:t>
            </w:r>
          </w:p>
        </w:tc>
      </w:tr>
    </w:tbl>
    <w:p>
      <w:pPr>
        <w:spacing w:before="40" w:after="40"/>
      </w:pPr>
    </w:p>
    <w:p>
      <w:pPr>
        <w:spacing w:before="120" w:after="120"/>
        <w:pBdr>
          <w:bottom w:val="single" w:sz="6" w:space="1" w:color="2978FF"/>
        </w:pBdr>
      </w:pPr>
    </w:p>
    <w:p>
      <w:pPr>
        <w:pStyle w:val="Heading2"/>
        <w:pBdr>
          <w:left w:val="single" w:sz="24" w:space="6" w:color="2978FF"/>
        </w:pBdr>
      </w:pPr>
      <w:r>
        <w:rPr>
          <w:rFonts w:ascii="Aeonik" w:hAnsi="Aeonik"/>
          <w:b/>
          <w:color w:val="263338"/>
          <w:sz w:val="30"/>
        </w:rPr>
        <w:t>Industries Served</w:t>
      </w:r>
    </w:p>
    <w:p>
      <w:pPr>
        <w:pStyle w:val="ListBullet"/>
        <w:spacing w:before="40" w:after="40"/>
      </w:pPr>
      <w:r>
        <w:rPr>
          <w:rFonts w:ascii="Aeonik" w:hAnsi="Aeonik"/>
          <w:b/>
          <w:color w:val="263338"/>
          <w:sz w:val="20"/>
        </w:rPr>
        <w:t>Sugar Refining</w:t>
      </w:r>
      <w:r>
        <w:rPr>
          <w:rFonts w:ascii="Aeonik" w:hAnsi="Aeonik"/>
          <w:color w:val="263338"/>
          <w:sz w:val="20"/>
        </w:rPr>
        <w:t xml:space="preserve"> — decolorization, purification, and product diversification</w:t>
      </w:r>
    </w:p>
    <w:p>
      <w:pPr>
        <w:pStyle w:val="ListBullet"/>
        <w:spacing w:before="40" w:after="40"/>
      </w:pPr>
      <w:r>
        <w:rPr>
          <w:rFonts w:ascii="Aeonik" w:hAnsi="Aeonik"/>
          <w:b/>
          <w:color w:val="263338"/>
          <w:sz w:val="20"/>
        </w:rPr>
        <w:t>Food Ingredients</w:t>
      </w:r>
      <w:r>
        <w:rPr>
          <w:rFonts w:ascii="Aeonik" w:hAnsi="Aeonik"/>
          <w:color w:val="263338"/>
          <w:sz w:val="20"/>
        </w:rPr>
        <w:t xml:space="preserve"> — sweetener production, functional ingredient separation</w:t>
      </w:r>
    </w:p>
    <w:p>
      <w:pPr>
        <w:pStyle w:val="ListBullet"/>
        <w:spacing w:before="40" w:after="40"/>
      </w:pPr>
      <w:r>
        <w:rPr>
          <w:rFonts w:ascii="Aeonik" w:hAnsi="Aeonik"/>
          <w:b/>
          <w:color w:val="263338"/>
          <w:sz w:val="20"/>
        </w:rPr>
        <w:t>Beverage Manufacturing</w:t>
      </w:r>
      <w:r>
        <w:rPr>
          <w:rFonts w:ascii="Aeonik" w:hAnsi="Aeonik"/>
          <w:color w:val="263338"/>
          <w:sz w:val="20"/>
        </w:rPr>
        <w:t xml:space="preserve"> — juice clarification, liquid sugar supply, quality assurance</w:t>
      </w:r>
    </w:p>
    <w:p>
      <w:pPr>
        <w:pStyle w:val="ListBullet"/>
        <w:spacing w:before="40" w:after="40"/>
      </w:pPr>
      <w:r>
        <w:rPr>
          <w:rFonts w:ascii="Aeonik" w:hAnsi="Aeonik"/>
          <w:b/>
          <w:color w:val="263338"/>
          <w:sz w:val="20"/>
        </w:rPr>
        <w:t>Water Treatment</w:t>
      </w:r>
      <w:r>
        <w:rPr>
          <w:rFonts w:ascii="Aeonik" w:hAnsi="Aeonik"/>
          <w:color w:val="263338"/>
          <w:sz w:val="20"/>
        </w:rPr>
        <w:t xml:space="preserve"> — industrial water purification, wastewater recycling, ultrapure water systems</w:t>
      </w:r>
    </w:p>
    <w:p>
      <w:pPr>
        <w:spacing w:before="120" w:after="120"/>
        <w:jc w:val="center"/>
      </w:pPr>
      <w:r>
        <w:rPr>
          <w:rFonts w:ascii="Aeonik" w:hAnsi="Aeonik"/>
          <w:i/>
          <w:color w:val="788F9C"/>
          <w:sz w:val="18"/>
        </w:rPr>
        <w:t>[Image: ICHITA industrial process solutions]</w:t>
      </w:r>
    </w:p>
    <w:p>
      <w:pPr>
        <w:spacing w:before="120" w:after="120"/>
        <w:pBdr>
          <w:bottom w:val="single" w:sz="6" w:space="1" w:color="2978FF"/>
        </w:pBdr>
      </w:pPr>
    </w:p>
    <w:p>
      <w:pPr>
        <w:pStyle w:val="Heading2"/>
        <w:pBdr>
          <w:left w:val="single" w:sz="24" w:space="6" w:color="2978FF"/>
        </w:pBdr>
      </w:pPr>
      <w:r>
        <w:rPr>
          <w:rFonts w:ascii="Aeonik" w:hAnsi="Aeonik"/>
          <w:b/>
          <w:color w:val="263338"/>
          <w:sz w:val="30"/>
        </w:rPr>
        <w:t>Why ICHITA</w:t>
      </w:r>
    </w:p>
    <w:p>
      <w:pPr>
        <w:pStyle w:val="ListBullet"/>
        <w:spacing w:before="40" w:after="40"/>
      </w:pPr>
      <w:r>
        <w:rPr>
          <w:rFonts w:ascii="Aeonik" w:hAnsi="Aeonik"/>
          <w:b/>
          <w:color w:val="263338"/>
          <w:sz w:val="20"/>
        </w:rPr>
        <w:t>20+ Years of Experience</w:t>
      </w:r>
      <w:r>
        <w:rPr>
          <w:rFonts w:ascii="Aeonik" w:hAnsi="Aeonik"/>
          <w:color w:val="263338"/>
          <w:sz w:val="20"/>
        </w:rPr>
        <w:t xml:space="preserve"> — established track record since 2002</w:t>
      </w:r>
    </w:p>
    <w:p>
      <w:pPr>
        <w:pStyle w:val="ListBullet"/>
        <w:spacing w:before="40" w:after="40"/>
      </w:pPr>
      <w:r>
        <w:rPr>
          <w:rFonts w:ascii="Aeonik" w:hAnsi="Aeonik"/>
          <w:b/>
          <w:color w:val="263338"/>
          <w:sz w:val="20"/>
        </w:rPr>
        <w:t>Proprietary Technology</w:t>
      </w:r>
      <w:r>
        <w:rPr>
          <w:rFonts w:ascii="Aeonik" w:hAnsi="Aeonik"/>
          <w:color w:val="263338"/>
          <w:sz w:val="20"/>
        </w:rPr>
        <w:t xml:space="preserve"> — in-house developed solutions for unique challenges</w:t>
      </w:r>
    </w:p>
    <w:p>
      <w:pPr>
        <w:pStyle w:val="ListBullet"/>
        <w:spacing w:before="40" w:after="40"/>
      </w:pPr>
      <w:r>
        <w:rPr>
          <w:rFonts w:ascii="Aeonik" w:hAnsi="Aeonik"/>
          <w:b/>
          <w:color w:val="263338"/>
          <w:sz w:val="20"/>
        </w:rPr>
        <w:t>Total Turnkey Solutions</w:t>
      </w:r>
      <w:r>
        <w:rPr>
          <w:rFonts w:ascii="Aeonik" w:hAnsi="Aeonik"/>
          <w:color w:val="263338"/>
          <w:sz w:val="20"/>
        </w:rPr>
        <w:t xml:space="preserve"> — from consultation and design through commissioning and after-sales service</w:t>
      </w:r>
    </w:p>
    <w:p>
      <w:pPr>
        <w:pStyle w:val="ListBullet"/>
        <w:spacing w:before="40" w:after="40"/>
      </w:pPr>
      <w:r>
        <w:rPr>
          <w:rFonts w:ascii="Aeonik" w:hAnsi="Aeonik"/>
          <w:b/>
          <w:color w:val="263338"/>
          <w:sz w:val="20"/>
        </w:rPr>
        <w:t>R&amp;D Driven</w:t>
      </w:r>
      <w:r>
        <w:rPr>
          <w:rFonts w:ascii="Aeonik" w:hAnsi="Aeonik"/>
          <w:color w:val="263338"/>
          <w:sz w:val="20"/>
        </w:rPr>
        <w:t xml:space="preserve"> — continuous investment in pilot-scale testing and new process development</w:t>
      </w:r>
    </w:p>
    <w:p>
      <w:pPr>
        <w:pStyle w:val="ListBullet"/>
        <w:spacing w:before="40" w:after="40"/>
      </w:pPr>
      <w:r>
        <w:rPr>
          <w:rFonts w:ascii="Aeonik" w:hAnsi="Aeonik"/>
          <w:b/>
          <w:color w:val="263338"/>
          <w:sz w:val="20"/>
        </w:rPr>
        <w:t>Zero Contamination Guarantee</w:t>
      </w:r>
      <w:r>
        <w:rPr>
          <w:rFonts w:ascii="Aeonik" w:hAnsi="Aeonik"/>
          <w:color w:val="263338"/>
          <w:sz w:val="20"/>
        </w:rPr>
        <w:t xml:space="preserve"> — highest standards in service delivery for critical applications</w:t>
      </w:r>
    </w:p>
    <w:p>
      <w:pPr>
        <w:pStyle w:val="ListBullet"/>
        <w:spacing w:before="40" w:after="40"/>
      </w:pPr>
      <w:r>
        <w:rPr>
          <w:rFonts w:ascii="Aeonik" w:hAnsi="Aeonik"/>
          <w:b/>
          <w:color w:val="263338"/>
          <w:sz w:val="20"/>
        </w:rPr>
        <w:t>Compact &amp; Efficient</w:t>
      </w:r>
      <w:r>
        <w:rPr>
          <w:rFonts w:ascii="Aeonik" w:hAnsi="Aeonik"/>
          <w:color w:val="263338"/>
          <w:sz w:val="20"/>
        </w:rPr>
        <w:t xml:space="preserve"> — solutions designed for real-world factory constraints</w:t>
      </w:r>
    </w:p>
    <w:p>
      <w:pPr>
        <w:spacing w:before="120" w:after="120"/>
        <w:pBdr>
          <w:bottom w:val="single" w:sz="6" w:space="1" w:color="2978FF"/>
        </w:pBdr>
      </w:pPr>
    </w:p>
    <w:p>
      <w:pPr>
        <w:pStyle w:val="Heading2"/>
        <w:pBdr>
          <w:left w:val="single" w:sz="24" w:space="6" w:color="2978FF"/>
        </w:pBdr>
      </w:pPr>
      <w:r>
        <w:rPr>
          <w:rFonts w:ascii="Aeonik" w:hAnsi="Aeonik"/>
          <w:b/>
          <w:color w:val="263338"/>
          <w:sz w:val="30"/>
        </w:rPr>
        <w:t>Company Information</w:t>
      </w:r>
    </w:p>
    <w:tbl>
      <w:tblPr>
        <w:tblW w:type="auto" w:w="0"/>
        <w:jc w:val="center"/>
        <w:tblLayout w:type="autofit"/>
        <w:tblLook w:firstColumn="1" w:firstRow="1" w:lastColumn="0" w:lastRow="0" w:noHBand="0" w:noVBand="1" w:val="04A0"/>
        <w:tblBorders>
          <w:top w:val="single" w:sz="4" w:space="0" w:color="A0B0B8"/>
          <w:left w:val="single" w:sz="4" w:space="0" w:color="A0B0B8"/>
          <w:bottom w:val="single" w:sz="4" w:space="0" w:color="A0B0B8"/>
          <w:right w:val="single" w:sz="4" w:space="0" w:color="A0B0B8"/>
          <w:insideH w:val="single" w:sz="4" w:space="0" w:color="A0B0B8"/>
          <w:insideV w:val="single" w:sz="4" w:space="0" w:color="A0B0B8"/>
        </w:tblBorders>
      </w:tblPr>
      <w:tblGrid>
        <w:gridCol w:w="4703"/>
        <w:gridCol w:w="4703"/>
      </w:tblGrid>
      <w:tr>
        <w:trPr>
          <w:cantSplit/>
        </w:trPr>
        <w:tc>
          <w:tcPr>
            <w:tcW w:type="dxa" w:w="4703"/>
            <w:shd w:fill="263338" w:val="clear"/>
          </w:tcPr>
          <w:p>
            <w:pPr>
              <w:keepNext/>
              <w:keepLines/>
              <w:spacing w:before="40" w:after="40"/>
            </w:pPr>
          </w:p>
        </w:tc>
        <w:tc>
          <w:tcPr>
            <w:tcW w:type="dxa" w:w="4703"/>
            <w:shd w:fill="263338" w:val="clear"/>
          </w:tcPr>
          <w:p>
            <w:pPr>
              <w:keepNext/>
              <w:keepLines/>
              <w:spacing w:before="40" w:after="40"/>
            </w:pPr>
          </w:p>
        </w:tc>
      </w:tr>
      <w:tr>
        <w:trPr>
          <w:cantSplit/>
        </w:trPr>
        <w:tc>
          <w:tcPr>
            <w:tcW w:type="dxa" w:w="4703"/>
          </w:tcPr>
          <w:p>
            <w:pPr>
              <w:keepNext/>
              <w:keepLines/>
              <w:spacing w:before="40" w:after="40"/>
            </w:pPr>
            <w:r>
              <w:rPr>
                <w:rFonts w:ascii="Aeonik" w:hAnsi="Aeonik"/>
                <w:b/>
                <w:color w:val="263338"/>
                <w:sz w:val="18"/>
              </w:rPr>
              <w:t>Company Name</w:t>
            </w:r>
          </w:p>
        </w:tc>
        <w:tc>
          <w:tcPr>
            <w:tcW w:type="dxa" w:w="4703"/>
          </w:tcPr>
          <w:p>
            <w:pPr>
              <w:keepNext/>
              <w:keepLines/>
              <w:spacing w:before="40" w:after="40"/>
            </w:pPr>
            <w:r>
              <w:rPr>
                <w:rFonts w:ascii="Aeonik" w:hAnsi="Aeonik"/>
                <w:color w:val="263338"/>
                <w:sz w:val="18"/>
              </w:rPr>
              <w:t>ICHITA Co., Ltd.</w:t>
            </w:r>
          </w:p>
        </w:tc>
      </w:tr>
      <w:tr>
        <w:trPr>
          <w:cantSplit/>
        </w:trPr>
        <w:tc>
          <w:tcPr>
            <w:tcW w:type="dxa" w:w="4703"/>
            <w:shd w:fill="EFF2F3" w:val="clear"/>
          </w:tcPr>
          <w:p>
            <w:pPr>
              <w:keepNext/>
              <w:keepLines/>
              <w:spacing w:before="40" w:after="40"/>
            </w:pPr>
            <w:r>
              <w:rPr>
                <w:rFonts w:ascii="Aeonik" w:hAnsi="Aeonik"/>
                <w:b/>
                <w:color w:val="263338"/>
                <w:sz w:val="18"/>
              </w:rPr>
              <w:t>Founded</w:t>
            </w:r>
          </w:p>
        </w:tc>
        <w:tc>
          <w:tcPr>
            <w:tcW w:type="dxa" w:w="4703"/>
            <w:shd w:fill="EFF2F3" w:val="clear"/>
          </w:tcPr>
          <w:p>
            <w:pPr>
              <w:keepNext/>
              <w:keepLines/>
              <w:spacing w:before="40" w:after="40"/>
            </w:pPr>
            <w:r>
              <w:rPr>
                <w:rFonts w:ascii="Aeonik" w:hAnsi="Aeonik"/>
                <w:color w:val="263338"/>
                <w:sz w:val="18"/>
              </w:rPr>
              <w:t>2002</w:t>
            </w:r>
          </w:p>
        </w:tc>
      </w:tr>
      <w:tr>
        <w:trPr>
          <w:cantSplit/>
        </w:trPr>
        <w:tc>
          <w:tcPr>
            <w:tcW w:type="dxa" w:w="4703"/>
          </w:tcPr>
          <w:p>
            <w:pPr>
              <w:keepNext/>
              <w:keepLines/>
              <w:spacing w:before="40" w:after="40"/>
            </w:pPr>
            <w:r>
              <w:rPr>
                <w:rFonts w:ascii="Aeonik" w:hAnsi="Aeonik"/>
                <w:b/>
                <w:color w:val="263338"/>
                <w:sz w:val="18"/>
              </w:rPr>
              <w:t>Industry</w:t>
            </w:r>
          </w:p>
        </w:tc>
        <w:tc>
          <w:tcPr>
            <w:tcW w:type="dxa" w:w="4703"/>
          </w:tcPr>
          <w:p>
            <w:pPr>
              <w:keepNext/>
              <w:keepLines/>
              <w:spacing w:before="40" w:after="40"/>
            </w:pPr>
            <w:r>
              <w:rPr>
                <w:rFonts w:ascii="Aeonik" w:hAnsi="Aeonik"/>
                <w:color w:val="263338"/>
                <w:sz w:val="18"/>
              </w:rPr>
              <w:t>Liquid Separation &amp; Biorefinery Process Technologies</w:t>
            </w:r>
          </w:p>
        </w:tc>
      </w:tr>
      <w:tr>
        <w:trPr>
          <w:cantSplit/>
        </w:trPr>
        <w:tc>
          <w:tcPr>
            <w:tcW w:type="dxa" w:w="4703"/>
            <w:shd w:fill="EFF2F3" w:val="clear"/>
          </w:tcPr>
          <w:p>
            <w:pPr>
              <w:keepNext/>
              <w:keepLines/>
              <w:spacing w:before="40" w:after="40"/>
            </w:pPr>
            <w:r>
              <w:rPr>
                <w:rFonts w:ascii="Aeonik" w:hAnsi="Aeonik"/>
                <w:b/>
                <w:color w:val="263338"/>
                <w:sz w:val="18"/>
              </w:rPr>
              <w:t>Specialty</w:t>
            </w:r>
          </w:p>
        </w:tc>
        <w:tc>
          <w:tcPr>
            <w:tcW w:type="dxa" w:w="4703"/>
            <w:shd w:fill="EFF2F3" w:val="clear"/>
          </w:tcPr>
          <w:p>
            <w:pPr>
              <w:keepNext/>
              <w:keepLines/>
              <w:spacing w:before="40" w:after="40"/>
            </w:pPr>
            <w:r>
              <w:rPr>
                <w:rFonts w:ascii="Aeonik" w:hAnsi="Aeonik"/>
                <w:color w:val="263338"/>
                <w:sz w:val="18"/>
              </w:rPr>
              <w:t>Separation Technologies for Food, Beverage &amp; Bioindustry</w:t>
            </w:r>
          </w:p>
        </w:tc>
      </w:tr>
      <w:tr>
        <w:trPr>
          <w:cantSplit/>
        </w:trPr>
        <w:tc>
          <w:tcPr>
            <w:tcW w:type="dxa" w:w="4703"/>
          </w:tcPr>
          <w:p>
            <w:pPr>
              <w:keepNext/>
              <w:keepLines/>
              <w:spacing w:before="40" w:after="40"/>
            </w:pPr>
            <w:r>
              <w:rPr>
                <w:rFonts w:ascii="Aeonik" w:hAnsi="Aeonik"/>
                <w:b/>
                <w:color w:val="263338"/>
                <w:sz w:val="18"/>
              </w:rPr>
              <w:t>Employees</w:t>
            </w:r>
          </w:p>
        </w:tc>
        <w:tc>
          <w:tcPr>
            <w:tcW w:type="dxa" w:w="4703"/>
          </w:tcPr>
          <w:p>
            <w:pPr>
              <w:keepNext/>
              <w:keepLines/>
              <w:spacing w:before="40" w:after="40"/>
            </w:pPr>
            <w:r>
              <w:rPr>
                <w:rFonts w:ascii="Aeonik" w:hAnsi="Aeonik"/>
                <w:color w:val="263338"/>
                <w:sz w:val="18"/>
              </w:rPr>
              <w:t>20 - 49</w:t>
            </w:r>
          </w:p>
        </w:tc>
      </w:tr>
      <w:tr>
        <w:trPr>
          <w:cantSplit/>
        </w:trPr>
        <w:tc>
          <w:tcPr>
            <w:tcW w:type="dxa" w:w="4703"/>
            <w:shd w:fill="EFF2F3" w:val="clear"/>
          </w:tcPr>
          <w:p>
            <w:pPr>
              <w:keepNext/>
              <w:keepLines/>
              <w:spacing w:before="40" w:after="40"/>
            </w:pPr>
            <w:r>
              <w:rPr>
                <w:rFonts w:ascii="Aeonik" w:hAnsi="Aeonik"/>
                <w:b/>
                <w:color w:val="263338"/>
                <w:sz w:val="18"/>
              </w:rPr>
              <w:t>Headquarters</w:t>
            </w:r>
          </w:p>
        </w:tc>
        <w:tc>
          <w:tcPr>
            <w:tcW w:type="dxa" w:w="4703"/>
            <w:shd w:fill="EFF2F3" w:val="clear"/>
          </w:tcPr>
          <w:p>
            <w:pPr>
              <w:keepNext/>
              <w:keepLines/>
              <w:spacing w:before="40" w:after="40"/>
            </w:pPr>
            <w:r>
              <w:rPr>
                <w:rFonts w:ascii="Aeonik" w:hAnsi="Aeonik"/>
                <w:color w:val="263338"/>
                <w:sz w:val="18"/>
              </w:rPr>
              <w:t>399/75 Phongpetnivet, Prachacheun Rd., Jatujak, Chatuchak, Bangkok 10900, Thailand</w:t>
            </w:r>
          </w:p>
        </w:tc>
      </w:tr>
      <w:tr>
        <w:trPr>
          <w:cantSplit/>
        </w:trPr>
        <w:tc>
          <w:tcPr>
            <w:tcW w:type="dxa" w:w="4703"/>
          </w:tcPr>
          <w:p>
            <w:pPr>
              <w:keepNext/>
              <w:keepLines/>
              <w:spacing w:before="40" w:after="40"/>
            </w:pPr>
            <w:r>
              <w:rPr>
                <w:rFonts w:ascii="Aeonik" w:hAnsi="Aeonik"/>
                <w:b/>
                <w:color w:val="263338"/>
                <w:sz w:val="18"/>
              </w:rPr>
              <w:t>Phone</w:t>
            </w:r>
          </w:p>
        </w:tc>
        <w:tc>
          <w:tcPr>
            <w:tcW w:type="dxa" w:w="4703"/>
          </w:tcPr>
          <w:p>
            <w:pPr>
              <w:keepNext/>
              <w:keepLines/>
              <w:spacing w:before="40" w:after="40"/>
            </w:pPr>
            <w:r>
              <w:rPr>
                <w:rFonts w:ascii="Aeonik" w:hAnsi="Aeonik"/>
                <w:color w:val="263338"/>
                <w:sz w:val="18"/>
              </w:rPr>
              <w:t>+66 2 585 1344</w:t>
            </w:r>
          </w:p>
        </w:tc>
      </w:tr>
      <w:tr>
        <w:trPr>
          <w:cantSplit/>
        </w:trPr>
        <w:tc>
          <w:tcPr>
            <w:tcW w:type="dxa" w:w="4703"/>
            <w:shd w:fill="EFF2F3" w:val="clear"/>
          </w:tcPr>
          <w:p>
            <w:pPr>
              <w:keepNext/>
              <w:keepLines/>
              <w:spacing w:before="40" w:after="40"/>
            </w:pPr>
            <w:r>
              <w:rPr>
                <w:rFonts w:ascii="Aeonik" w:hAnsi="Aeonik"/>
                <w:b/>
                <w:color w:val="263338"/>
                <w:sz w:val="18"/>
              </w:rPr>
              <w:t>Website</w:t>
            </w:r>
          </w:p>
        </w:tc>
        <w:tc>
          <w:tcPr>
            <w:tcW w:type="dxa" w:w="4703"/>
            <w:shd w:fill="EFF2F3" w:val="clear"/>
          </w:tcPr>
          <w:p>
            <w:pPr>
              <w:keepNext/>
              <w:keepLines/>
              <w:spacing w:before="40" w:after="40"/>
            </w:pPr>
            <w:r>
              <w:rPr>
                <w:rFonts w:ascii="Aeonik" w:hAnsi="Aeonik"/>
                <w:color w:val="263338"/>
                <w:sz w:val="18"/>
              </w:rPr>
              <w:t>www.ichita.co.th</w:t>
            </w:r>
          </w:p>
        </w:tc>
      </w:tr>
      <w:tr>
        <w:trPr>
          <w:cantSplit/>
        </w:trPr>
        <w:tc>
          <w:tcPr>
            <w:tcW w:type="dxa" w:w="4703"/>
          </w:tcPr>
          <w:p>
            <w:pPr>
              <w:keepNext w:val="0"/>
              <w:keepLines/>
              <w:spacing w:before="40" w:after="40"/>
            </w:pPr>
            <w:r>
              <w:rPr>
                <w:rFonts w:ascii="Aeonik" w:hAnsi="Aeonik"/>
                <w:b/>
                <w:color w:val="263338"/>
                <w:sz w:val="18"/>
              </w:rPr>
              <w:t>Affiliate</w:t>
            </w:r>
          </w:p>
        </w:tc>
        <w:tc>
          <w:tcPr>
            <w:tcW w:type="dxa" w:w="4703"/>
          </w:tcPr>
          <w:p>
            <w:pPr>
              <w:keepNext w:val="0"/>
              <w:keepLines/>
              <w:spacing w:before="40" w:after="40"/>
            </w:pPr>
            <w:r>
              <w:rPr>
                <w:rFonts w:ascii="Aeonik" w:hAnsi="Aeonik"/>
                <w:color w:val="263338"/>
                <w:sz w:val="18"/>
              </w:rPr>
              <w:t>SRYA (Sriarayathep)</w:t>
            </w:r>
          </w:p>
        </w:tc>
      </w:tr>
    </w:tbl>
    <w:p>
      <w:pPr>
        <w:spacing w:before="40" w:after="40"/>
      </w:pPr>
    </w:p>
    <w:p>
      <w:pPr>
        <w:spacing w:before="120" w:after="120"/>
        <w:pBdr>
          <w:bottom w:val="single" w:sz="6" w:space="1" w:color="2978FF"/>
        </w:pBdr>
      </w:pPr>
    </w:p>
    <w:p>
      <w:pPr>
        <w:pStyle w:val="Heading2"/>
        <w:pBdr>
          <w:left w:val="single" w:sz="24" w:space="6" w:color="2978FF"/>
        </w:pBdr>
      </w:pPr>
      <w:r>
        <w:rPr>
          <w:rFonts w:ascii="Aeonik" w:hAnsi="Aeonik"/>
          <w:b/>
          <w:color w:val="263338"/>
          <w:sz w:val="30"/>
        </w:rPr>
        <w:t>Contact Us</w:t>
      </w:r>
    </w:p>
    <w:p>
      <w:pPr>
        <w:spacing w:before="40" w:after="100"/>
      </w:pPr>
      <w:r>
        <w:rPr>
          <w:rFonts w:ascii="Aeonik" w:hAnsi="Aeonik"/>
          <w:color w:val="263338"/>
          <w:sz w:val="20"/>
        </w:rPr>
        <w:t>For inquiries about our products and services, or to discuss your specific process requirements, please reach out to our team.</w:t>
      </w:r>
    </w:p>
    <w:p>
      <w:pPr>
        <w:spacing w:before="40" w:after="100"/>
      </w:pPr>
      <w:r>
        <w:rPr>
          <w:rFonts w:ascii="Aeonik" w:hAnsi="Aeonik"/>
          <w:b/>
          <w:color w:val="263338"/>
          <w:sz w:val="20"/>
        </w:rPr>
        <w:t>ICHITA Co., Ltd.</w:t>
      </w:r>
    </w:p>
    <w:p>
      <w:pPr>
        <w:spacing w:before="40" w:after="100"/>
      </w:pPr>
      <w:r>
        <w:rPr>
          <w:rFonts w:ascii="Aeonik" w:hAnsi="Aeonik"/>
          <w:color w:val="263338"/>
          <w:sz w:val="20"/>
        </w:rPr>
        <w:t>399/75 Phongpetnivet, Prachacheun Rd.</w:t>
      </w:r>
    </w:p>
    <w:p>
      <w:pPr>
        <w:spacing w:before="40" w:after="100"/>
      </w:pPr>
      <w:r>
        <w:rPr>
          <w:rFonts w:ascii="Aeonik" w:hAnsi="Aeonik"/>
          <w:color w:val="263338"/>
          <w:sz w:val="20"/>
        </w:rPr>
        <w:t>Jatujak, Chatuchak</w:t>
      </w:r>
    </w:p>
    <w:p>
      <w:pPr>
        <w:spacing w:before="40" w:after="100"/>
      </w:pPr>
      <w:r>
        <w:rPr>
          <w:rFonts w:ascii="Aeonik" w:hAnsi="Aeonik"/>
          <w:color w:val="263338"/>
          <w:sz w:val="20"/>
        </w:rPr>
        <w:t>Bangkok 10900, Thailand</w:t>
      </w:r>
    </w:p>
    <w:p>
      <w:pPr>
        <w:spacing w:before="40" w:after="100"/>
      </w:pPr>
      <w:r>
        <w:rPr>
          <w:rFonts w:ascii="Aeonik" w:hAnsi="Aeonik"/>
          <w:color w:val="263338"/>
          <w:sz w:val="20"/>
        </w:rPr>
        <w:t>Tel: +66 2 585 1344</w:t>
      </w:r>
    </w:p>
    <w:p>
      <w:pPr>
        <w:spacing w:before="40" w:after="100"/>
      </w:pPr>
      <w:r>
        <w:rPr>
          <w:rFonts w:ascii="Aeonik" w:hAnsi="Aeonik"/>
          <w:color w:val="263338"/>
          <w:sz w:val="20"/>
        </w:rPr>
        <w:t>Web: www.ichita.co.th</w:t>
      </w:r>
    </w:p>
    <w:p>
      <w:pPr>
        <w:spacing w:before="120" w:after="120"/>
        <w:pBdr>
          <w:bottom w:val="single" w:sz="6" w:space="1" w:color="2978FF"/>
        </w:pBdr>
      </w:pPr>
    </w:p>
    <w:p>
      <w:pPr>
        <w:spacing w:before="40" w:after="100"/>
      </w:pPr>
      <w:r>
        <w:rPr>
          <w:rFonts w:ascii="Aeonik" w:hAnsi="Aeonik"/>
          <w:i/>
          <w:color w:val="263338"/>
          <w:sz w:val="20"/>
        </w:rPr>
        <w:t>ICHITA — Separation Technologies</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left"/>
      <w:pBdr>
        <w:bottom w:val="single" w:sz="6" w:space="4" w:color="2978FF"/>
      </w:pBdr>
    </w:pPr>
    <w:r>
      <w:drawing>
        <wp:inline xmlns:a="http://schemas.openxmlformats.org/drawingml/2006/main" xmlns:pic="http://schemas.openxmlformats.org/drawingml/2006/picture">
          <wp:extent cx="1371600" cy="381440"/>
          <wp:docPr id="1" name="Picture 1"/>
          <wp:cNvGraphicFramePr>
            <a:graphicFrameLocks noChangeAspect="1"/>
          </wp:cNvGraphicFramePr>
          <a:graphic>
            <a:graphicData uri="http://schemas.openxmlformats.org/drawingml/2006/picture">
              <pic:pic>
                <pic:nvPicPr>
                  <pic:cNvPr id="0" name="Ichita_Logo-05.png"/>
                  <pic:cNvPicPr/>
                </pic:nvPicPr>
                <pic:blipFill>
                  <a:blip r:embed="rId1"/>
                  <a:stretch>
                    <a:fillRect/>
                  </a:stretch>
                </pic:blipFill>
                <pic:spPr>
                  <a:xfrm>
                    <a:off x="0" y="0"/>
                    <a:ext cx="1371600" cy="38144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before="40"/>
    </w:pPr>
    <w:rPr>
      <w:rFonts w:ascii="Aeonik" w:hAnsi="Aeonik" w:cs="Bai Jamjuree" w:eastAsia="Bai Jamjuree"/>
      <w:color w:val="263338"/>
      <w:sz w:val="20"/>
      <w:szCs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Aeonik" w:hAnsi="Aeonik" w:cs="Bai Jamjuree" w:eastAsia="Bai Jamjuree"/>
      <w:b/>
      <w:bCs/>
      <w:color w:val="263338"/>
      <w:sz w:val="44"/>
      <w:szCs w:val="40"/>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Aeonik" w:hAnsi="Aeonik" w:cs="Bai Jamjuree" w:eastAsia="Bai Jamjuree"/>
      <w:b/>
      <w:bCs/>
      <w:color w:val="263338"/>
      <w:sz w:val="30"/>
      <w:szCs w:val="27"/>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eonik" w:hAnsi="Aeonik" w:cs="Bai Jamjuree" w:eastAsia="Bai Jamjuree"/>
      <w:b/>
      <w:bCs/>
      <w:color w:val="2978FF"/>
      <w:sz w:val="24"/>
      <w:szCs w:val="22"/>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Aeonik" w:hAnsi="Aeonik" w:cs="Bai Jamjuree" w:eastAsia="Bai Jamjuree"/>
      <w:b/>
      <w:bCs/>
      <w:i/>
      <w:iCs/>
      <w:color w:val="2978FF"/>
      <w:sz w:val="21"/>
      <w:szCs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eonik" w:hAnsi="Aeonik"/>
      <w:color w:val="263338"/>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