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Style w:val="Table"/>
        <w:tblW w:type="pct" w:w="4873"/>
        <w:tblLayout w:type="fixed"/>
        <w:tblLook w:firstRow="1" w:lastRow="1" w:firstColumn="0" w:lastColumn="0" w:noHBand="0" w:noVBand="0" w:val="0020"/>
      </w:tblPr>
      <w:tblGrid>
        <w:gridCol w:w="1403"/>
        <w:gridCol w:w="1604"/>
        <w:gridCol w:w="2005"/>
        <w:gridCol w:w="2706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Obesity Model</w:t>
            </w:r>
          </w:p>
        </w:tc>
        <w:tc>
          <w:tcPr/>
          <w:p>
            <w:pPr>
              <w:pStyle w:val="Compact"/>
            </w:pPr>
            <w:r>
              <w:t xml:space="preserve">Health Risk Model</w:t>
            </w:r>
          </w:p>
        </w:tc>
        <w:tc>
          <w:tcPr/>
          <w:p>
            <w:pPr>
              <w:pStyle w:val="Compact"/>
            </w:pPr>
            <w:r>
              <w:t xml:space="preserve">Full Socioeconomic Model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(Intercept)</w:t>
            </w:r>
          </w:p>
        </w:tc>
        <w:tc>
          <w:tcPr/>
          <w:p>
            <w:pPr>
              <w:pStyle w:val="Compact"/>
            </w:pPr>
            <w:r>
              <w:t xml:space="preserve">-10.614***</w:t>
            </w:r>
          </w:p>
        </w:tc>
        <w:tc>
          <w:tcPr/>
          <w:p>
            <w:pPr>
              <w:pStyle w:val="Compact"/>
            </w:pPr>
            <w:r>
              <w:t xml:space="preserve">-1.947*</w:t>
            </w:r>
          </w:p>
        </w:tc>
        <w:tc>
          <w:tcPr/>
          <w:p>
            <w:pPr>
              <w:pStyle w:val="Compact"/>
            </w:pPr>
            <w:r>
              <w:t xml:space="preserve">1.002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(0.955)</w:t>
            </w:r>
          </w:p>
        </w:tc>
        <w:tc>
          <w:tcPr/>
          <w:p>
            <w:pPr>
              <w:pStyle w:val="Compact"/>
            </w:pPr>
            <w:r>
              <w:t xml:space="preserve">(0.955)</w:t>
            </w:r>
          </w:p>
        </w:tc>
        <w:tc>
          <w:tcPr/>
          <w:p>
            <w:pPr>
              <w:pStyle w:val="Compact"/>
            </w:pPr>
            <w:r>
              <w:t xml:space="preserve">(0.882)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obesity</w:t>
            </w:r>
          </w:p>
        </w:tc>
        <w:tc>
          <w:tcPr/>
          <w:p>
            <w:pPr>
              <w:pStyle w:val="Compact"/>
            </w:pPr>
            <w:r>
              <w:t xml:space="preserve">0.644***</w:t>
            </w:r>
          </w:p>
        </w:tc>
        <w:tc>
          <w:tcPr/>
          <w:p>
            <w:pPr>
              <w:pStyle w:val="Compact"/>
            </w:pPr>
            <w:r>
              <w:t xml:space="preserve">0.219***</w:t>
            </w:r>
          </w:p>
        </w:tc>
        <w:tc>
          <w:tcPr/>
          <w:p>
            <w:pPr>
              <w:pStyle w:val="Compact"/>
            </w:pPr>
            <w:r>
              <w:t xml:space="preserve">0.143***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(0.025)</w:t>
            </w:r>
          </w:p>
        </w:tc>
        <w:tc>
          <w:tcPr/>
          <w:p>
            <w:pPr>
              <w:pStyle w:val="Compact"/>
            </w:pPr>
            <w:r>
              <w:t xml:space="preserve">(0.038)</w:t>
            </w:r>
          </w:p>
        </w:tc>
        <w:tc>
          <w:tcPr/>
          <w:p>
            <w:pPr>
              <w:pStyle w:val="Compact"/>
            </w:pPr>
            <w:r>
              <w:t xml:space="preserve">(0.035)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smoking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0.262***</w:t>
            </w:r>
          </w:p>
        </w:tc>
        <w:tc>
          <w:tcPr/>
          <w:p>
            <w:pPr>
              <w:pStyle w:val="Compact"/>
            </w:pPr>
            <w:r>
              <w:t xml:space="preserve">0.171***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(0.036)</w:t>
            </w:r>
          </w:p>
        </w:tc>
        <w:tc>
          <w:tcPr/>
          <w:p>
            <w:pPr>
              <w:pStyle w:val="Compact"/>
            </w:pPr>
            <w:r>
              <w:t xml:space="preserve">(0.039)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uninsured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0.166***</w:t>
            </w:r>
          </w:p>
        </w:tc>
        <w:tc>
          <w:tcPr/>
          <w:p>
            <w:pPr>
              <w:pStyle w:val="Compact"/>
            </w:pPr>
            <w:r>
              <w:t xml:space="preserve">0.183***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(0.012)</w:t>
            </w:r>
          </w:p>
        </w:tc>
        <w:tc>
          <w:tcPr/>
          <w:p>
            <w:pPr>
              <w:pStyle w:val="Compact"/>
            </w:pPr>
            <w:r>
              <w:t xml:space="preserve">(0.018)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ep_pov150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0.095***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(0.010)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ep_unemp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0.024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(0.022)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ep_nohsdp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-0.051***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(0.013)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rpl_themes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-1.194***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(0.300)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Num.Obs.</w:t>
            </w:r>
          </w:p>
        </w:tc>
        <w:tc>
          <w:tcPr/>
          <w:p>
            <w:pPr>
              <w:pStyle w:val="Compact"/>
            </w:pPr>
            <w:r>
              <w:t xml:space="preserve">253</w:t>
            </w:r>
          </w:p>
        </w:tc>
        <w:tc>
          <w:tcPr/>
          <w:p>
            <w:pPr>
              <w:pStyle w:val="Compact"/>
            </w:pPr>
            <w:r>
              <w:t xml:space="preserve">253</w:t>
            </w:r>
          </w:p>
        </w:tc>
        <w:tc>
          <w:tcPr/>
          <w:p>
            <w:pPr>
              <w:pStyle w:val="Compact"/>
            </w:pPr>
            <w:r>
              <w:t xml:space="preserve">253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</w:t>
            </w:r>
          </w:p>
        </w:tc>
        <w:tc>
          <w:tcPr/>
          <w:p>
            <w:pPr>
              <w:pStyle w:val="Compact"/>
            </w:pPr>
            <w:r>
              <w:t xml:space="preserve">0.721</w:t>
            </w:r>
          </w:p>
        </w:tc>
        <w:tc>
          <w:tcPr/>
          <w:p>
            <w:pPr>
              <w:pStyle w:val="Compact"/>
            </w:pPr>
            <w:r>
              <w:t xml:space="preserve">0.842</w:t>
            </w:r>
          </w:p>
        </w:tc>
        <w:tc>
          <w:tcPr/>
          <w:p>
            <w:pPr>
              <w:pStyle w:val="Compact"/>
            </w:pPr>
            <w:r>
              <w:t xml:space="preserve">0.889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 Adj.</w:t>
            </w:r>
          </w:p>
        </w:tc>
        <w:tc>
          <w:tcPr/>
          <w:p>
            <w:pPr>
              <w:pStyle w:val="Compact"/>
            </w:pPr>
            <w:r>
              <w:t xml:space="preserve">0.719</w:t>
            </w:r>
          </w:p>
        </w:tc>
        <w:tc>
          <w:tcPr/>
          <w:p>
            <w:pPr>
              <w:pStyle w:val="Compact"/>
            </w:pPr>
            <w:r>
              <w:t xml:space="preserve">0.840</w:t>
            </w:r>
          </w:p>
        </w:tc>
        <w:tc>
          <w:tcPr/>
          <w:p>
            <w:pPr>
              <w:pStyle w:val="Compact"/>
            </w:pPr>
            <w:r>
              <w:t xml:space="preserve">0.886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AIC</w:t>
            </w:r>
          </w:p>
        </w:tc>
        <w:tc>
          <w:tcPr/>
          <w:p>
            <w:pPr>
              <w:pStyle w:val="Compact"/>
            </w:pPr>
            <w:r>
              <w:t xml:space="preserve">804.6</w:t>
            </w:r>
          </w:p>
        </w:tc>
        <w:tc>
          <w:tcPr/>
          <w:p>
            <w:pPr>
              <w:pStyle w:val="Compact"/>
            </w:pPr>
            <w:r>
              <w:t xml:space="preserve">664.2</w:t>
            </w:r>
          </w:p>
        </w:tc>
        <w:tc>
          <w:tcPr/>
          <w:p>
            <w:pPr>
              <w:pStyle w:val="Compact"/>
            </w:pPr>
            <w:r>
              <w:t xml:space="preserve">582.0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BIC</w:t>
            </w:r>
          </w:p>
        </w:tc>
        <w:tc>
          <w:tcPr/>
          <w:p>
            <w:pPr>
              <w:pStyle w:val="Compact"/>
            </w:pPr>
            <w:r>
              <w:t xml:space="preserve">815.2</w:t>
            </w:r>
          </w:p>
        </w:tc>
        <w:tc>
          <w:tcPr/>
          <w:p>
            <w:pPr>
              <w:pStyle w:val="Compact"/>
            </w:pPr>
            <w:r>
              <w:t xml:space="preserve">681.9</w:t>
            </w:r>
          </w:p>
        </w:tc>
        <w:tc>
          <w:tcPr/>
          <w:p>
            <w:pPr>
              <w:pStyle w:val="Compact"/>
            </w:pPr>
            <w:r>
              <w:t xml:space="preserve">613.8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Log.Lik.</w:t>
            </w:r>
          </w:p>
        </w:tc>
        <w:tc>
          <w:tcPr/>
          <w:p>
            <w:pPr>
              <w:pStyle w:val="Compact"/>
            </w:pPr>
            <w:r>
              <w:t xml:space="preserve">-399.298</w:t>
            </w:r>
          </w:p>
        </w:tc>
        <w:tc>
          <w:tcPr/>
          <w:p>
            <w:pPr>
              <w:pStyle w:val="Compact"/>
            </w:pPr>
            <w:r>
              <w:t xml:space="preserve">-327.111</w:t>
            </w:r>
          </w:p>
        </w:tc>
        <w:tc>
          <w:tcPr/>
          <w:p>
            <w:pPr>
              <w:pStyle w:val="Compact"/>
            </w:pPr>
            <w:r>
              <w:t xml:space="preserve">-281.986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647.136</w:t>
            </w:r>
          </w:p>
        </w:tc>
        <w:tc>
          <w:tcPr/>
          <w:p>
            <w:pPr>
              <w:pStyle w:val="Compact"/>
            </w:pPr>
            <w:r>
              <w:t xml:space="preserve">442.502</w:t>
            </w:r>
          </w:p>
        </w:tc>
        <w:tc>
          <w:tcPr/>
          <w:p>
            <w:pPr>
              <w:pStyle w:val="Compact"/>
            </w:pPr>
            <w:r>
              <w:t xml:space="preserve">281.582</w:t>
            </w:r>
          </w:p>
        </w:tc>
      </w:tr>
      <w:tr>
        <w:tc>
          <w:tcPr/>
          <w:p>
            <w:pPr>
              <w:pStyle w:val="Compact"/>
            </w:pPr>
            <w:r>
              <w:t xml:space="preserve">RMSE</w:t>
            </w:r>
          </w:p>
        </w:tc>
        <w:tc>
          <w:tcPr/>
          <w:p>
            <w:pPr>
              <w:pStyle w:val="Compact"/>
            </w:pPr>
            <w:r>
              <w:t xml:space="preserve">1.17</w:t>
            </w:r>
          </w:p>
        </w:tc>
        <w:tc>
          <w:tcPr/>
          <w:p>
            <w:pPr>
              <w:pStyle w:val="Compact"/>
            </w:pPr>
            <w:r>
              <w:t xml:space="preserve">0.88</w:t>
            </w:r>
          </w:p>
        </w:tc>
        <w:tc>
          <w:tcPr/>
          <w:p>
            <w:pPr>
              <w:pStyle w:val="Compact"/>
            </w:pPr>
            <w:r>
              <w:t xml:space="preserve">0.74</w:t>
            </w:r>
          </w:p>
        </w:tc>
      </w:tr>
      <w:tr>
        <w:tc>
          <w:tcPr>
            <w:gridSpan w:val="4"/>
          </w:tcPr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p &lt; 0.1, * p &lt; 0.05, ** p &lt; 0.01, *** p &lt; 0.001</w:t>
            </w:r>
          </w:p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2026-05-14T19:54:41Z</dcterms:created>
  <dcterms:modified xsi:type="dcterms:W3CDTF">2026-05-14T19:54:41Z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