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Designometric Rating Scales for Emerging Technologies: Lessons Learned in three projects</w:t>
      </w:r>
    </w:p>
    <w:p>
      <w:pPr>
        <w:pStyle w:val="Author"/>
      </w:pPr>
      <w:r>
        <w:t xml:space="preserve">Martin Schmettow</w:t>
      </w:r>
    </w:p>
    <w:p>
      <w:pPr>
        <w:pStyle w:val="Author"/>
      </w:pPr>
      <w:r>
        <w:t xml:space="preserve">Simone Borsci</w:t>
      </w:r>
    </w:p>
    <w:p>
      <w:pPr>
        <w:pStyle w:val="Date"/>
      </w:pPr>
      <w:r>
        <w:t xml:space="preserve">2026-05-13</w:t>
      </w:r>
    </w:p>
    <w:bookmarkStart w:id="20" w:name="introduction"/>
    <w:p>
      <w:pPr>
        <w:pStyle w:val="Heading1"/>
      </w:pPr>
      <w:r>
        <w:t xml:space="preserve">Introduction</w:t>
      </w:r>
    </w:p>
    <w:p>
      <w:pPr>
        <w:pStyle w:val="FirstParagraph"/>
      </w:pPr>
      <w:r>
        <w:t xml:space="preserve">Use experience rating scales provide cost-effective and readily accessible instruments to evaluate design artifacts, provided they are valid and reliable. [Old wine new bottles] reviewed how UX attributes are commonly measured in the, at the time, emerging field and found rating scales to be a dominant method. However, the review also revealed that the these scales often were ad-hoc, with little to no evidence of validity.</w:t>
      </w:r>
    </w:p>
    <w:p>
      <w:pPr>
        <w:pStyle w:val="BodyText"/>
      </w:pPr>
      <w:r>
        <w:t xml:space="preserve">Here we only address the class of rating scale instruments that actually have been validated, borrowing methods from the field of psychometrics, which is the discipline concerned with accurately measuring attributes of humans, such as their math and language skills, or the individual internal tendencies, such as being open-minded, neurotic or their fear of spiders.</w:t>
      </w:r>
    </w:p>
    <w:p>
      <w:pPr>
        <w:pStyle w:val="BodyText"/>
      </w:pPr>
      <w:r>
        <w:t xml:space="preserve">The purpose of</w:t>
      </w:r>
      <w:r>
        <w:t xml:space="preserve"> </w:t>
      </w:r>
      <w:r>
        <w:rPr>
          <w:i/>
          <w:iCs/>
        </w:rPr>
        <w:t xml:space="preserve">designometric</w:t>
      </w:r>
      <w:r>
        <w:t xml:space="preserve"> </w:t>
      </w:r>
      <w:r>
        <w:t xml:space="preserve">workflow and analysis is to make sure a UX scale measures attributes of designs correctly. While this appears to be an equivalent problem to psychometric scale development, there is a crucial twist in the transfer: For the evaluation of psychometric instruments, a large sample of participants is required to accurately assess the characteristics of each item, and the contribution it makes to the combined scores for a person (the latent variable).</w:t>
      </w:r>
    </w:p>
    <w:p>
      <w:pPr>
        <w:pStyle w:val="BodyText"/>
      </w:pPr>
      <w:r>
        <w:t xml:space="preserve">Evaluation of designometric instruments also is likewise on evaluating item characteristics, but the latent variables are design attributes. Therefore, designometric validation requires extensive design samples to assess the ranking capabilities.</w:t>
      </w:r>
      <w:r>
        <w:t xml:space="preserve"> </w:t>
      </w:r>
      <w:r>
        <w:t xml:space="preserve">We coined it the</w:t>
      </w:r>
      <w:r>
        <w:t xml:space="preserve"> </w:t>
      </w:r>
      <w:r>
        <w:rPr>
          <w:i/>
          <w:iCs/>
        </w:rPr>
        <w:t xml:space="preserve">psychometric fallacy</w:t>
      </w:r>
      <w:r>
        <w:t xml:space="preserve">, when an instrument intended to rank designs has been developed without an extensive sample of designs. While collecting samples may be feasible for classes of designs with a large population, such as university website [Schmettow &amp; Havinga], it generally is more difficult than a psychometric sample for several reasons, which we will discuss below.</w:t>
      </w:r>
    </w:p>
    <w:p>
      <w:pPr>
        <w:pStyle w:val="BodyText"/>
      </w:pPr>
      <w:r>
        <w:t xml:space="preserve">Psychometric tools can easily be re-purposed for designometric analysis, as we will illustrate in this report, but there is structural limitation.</w:t>
      </w:r>
      <w:r>
        <w:t xml:space="preserve"> </w:t>
      </w:r>
      <w:r>
        <w:t xml:space="preserve">In psychometrics the basic measurement is an encounter of a person with an item, resulting in a psychometric response matrix. The designometric basic measurement is a three-way encounter of a design, an item and a person, resulting in a three-dimensional data structure, the designometric response box. To make designometric data fit into psychometric tools, the box can be collapsed into a design x item response matrix, hence</w:t>
      </w:r>
      <w:r>
        <w:t xml:space="preserve"> </w:t>
      </w:r>
      <w:r>
        <w:rPr>
          <w:i/>
          <w:iCs/>
        </w:rPr>
        <w:t xml:space="preserve">flat designometrics</w:t>
      </w:r>
      <w:r>
        <w:t xml:space="preserve">.</w:t>
      </w:r>
      <w:r>
        <w:t xml:space="preserve"> </w:t>
      </w:r>
      <w:r>
        <w:t xml:space="preserve">We will illustrate the use of psychometric tools in more detail, discuss the limitations of flat designometrics, and propose two directions for deep designometrics.</w:t>
      </w:r>
    </w:p>
    <w:p>
      <w:pPr>
        <w:pStyle w:val="BodyText"/>
      </w:pPr>
      <w:r>
        <w:t xml:space="preserve">Generally, rating scale instruments to rank designs are rarely developed with the same standards as psychometric tests</w:t>
      </w:r>
      <w:r>
        <w:t xml:space="preserve"> </w:t>
      </w:r>
      <w:r>
        <w:t xml:space="preserve">(Bargas-Avila and Hornbæk 2011)</w:t>
      </w:r>
      <w:r>
        <w:t xml:space="preserve">. To our knowledge, only three recent instrument development projects respected the principle of using a large sample of designs to establish designometric scale reliability. In this paper, we summarize our experience in the development of designometric instruments across these three projects.</w:t>
      </w:r>
    </w:p>
    <w:p>
      <w:pPr>
        <w:pStyle w:val="Compact"/>
        <w:numPr>
          <w:ilvl w:val="0"/>
          <w:numId w:val="1001"/>
        </w:numPr>
      </w:pPr>
      <w:r>
        <w:t xml:space="preserve">the BUS-11 scale for chatbot evaluation</w:t>
      </w:r>
      <w:r>
        <w:t xml:space="preserve"> </w:t>
      </w:r>
      <w:r>
        <w:t xml:space="preserve">(Borsci and Schmettow 2024)</w:t>
      </w:r>
    </w:p>
    <w:p>
      <w:pPr>
        <w:pStyle w:val="Compact"/>
        <w:numPr>
          <w:ilvl w:val="0"/>
          <w:numId w:val="1001"/>
        </w:numPr>
      </w:pPr>
      <w:r>
        <w:t xml:space="preserve">the Consistency &amp; Plausibility scale for VR environments</w:t>
      </w:r>
      <w:r>
        <w:t xml:space="preserve"> </w:t>
      </w:r>
      <w:r>
        <w:t xml:space="preserve">(</w:t>
      </w:r>
      <w:r>
        <w:rPr>
          <w:b/>
          <w:bCs/>
        </w:rPr>
        <w:t xml:space="preserve">Catar2026?</w:t>
      </w:r>
      <w:r>
        <w:t xml:space="preserve">)</w:t>
      </w:r>
    </w:p>
    <w:p>
      <w:pPr>
        <w:pStyle w:val="Compact"/>
        <w:numPr>
          <w:ilvl w:val="0"/>
          <w:numId w:val="1001"/>
        </w:numPr>
      </w:pPr>
      <w:r>
        <w:t xml:space="preserve">UX4CA for the evaluation of conversational agents</w:t>
      </w:r>
      <w:r>
        <w:t xml:space="preserve"> </w:t>
      </w:r>
      <w:r>
        <w:t xml:space="preserve">(</w:t>
      </w:r>
      <w:r>
        <w:rPr>
          <w:b/>
          <w:bCs/>
        </w:rPr>
        <w:t xml:space="preserve">Atzmon2026?</w:t>
      </w:r>
      <w:r>
        <w:t xml:space="preserve">)</w:t>
      </w:r>
    </w:p>
    <w:p>
      <w:pPr>
        <w:pStyle w:val="FirstParagraph"/>
      </w:pPr>
      <w:r>
        <w:t xml:space="preserve">By retracing the development of these three instruments, we report our lessons learned with regard to the following issues:</w:t>
      </w:r>
    </w:p>
    <w:p>
      <w:pPr>
        <w:pStyle w:val="Compact"/>
        <w:numPr>
          <w:ilvl w:val="0"/>
          <w:numId w:val="1002"/>
        </w:numPr>
      </w:pPr>
      <w:r>
        <w:t xml:space="preserve">The challenges of collecting design samples for scale development</w:t>
      </w:r>
    </w:p>
    <w:p>
      <w:pPr>
        <w:pStyle w:val="Compact"/>
        <w:numPr>
          <w:ilvl w:val="0"/>
          <w:numId w:val="1002"/>
        </w:numPr>
      </w:pPr>
      <w:r>
        <w:t xml:space="preserve">The correct use of psychometric tools for (flat) designometric analysis</w:t>
      </w:r>
    </w:p>
    <w:p>
      <w:pPr>
        <w:pStyle w:val="Compact"/>
        <w:numPr>
          <w:ilvl w:val="0"/>
          <w:numId w:val="1002"/>
        </w:numPr>
      </w:pPr>
      <w:r>
        <w:t xml:space="preserve">The role of the psychometric perspective in designometric scale development</w:t>
      </w:r>
    </w:p>
    <w:bookmarkEnd w:id="20"/>
    <w:bookmarkStart w:id="24" w:name="rating-scales-beyond-ux"/>
    <w:p>
      <w:pPr>
        <w:pStyle w:val="Heading1"/>
      </w:pPr>
      <w:r>
        <w:t xml:space="preserve">Rating Scales Beyond UX</w:t>
      </w:r>
    </w:p>
    <w:p>
      <w:pPr>
        <w:pStyle w:val="FirstParagraph"/>
      </w:pPr>
      <w:r>
        <w:t xml:space="preserve">A main driver behind the UX revolution was the insight that users are psychologically much deeper than the classic usability framework represents. Usability, as defined in the [ISO 9241-11] depicts the</w:t>
      </w:r>
      <w:r>
        <w:t xml:space="preserve"> </w:t>
      </w:r>
      <w:r>
        <w:t xml:space="preserve">“economic”</w:t>
      </w:r>
      <w:r>
        <w:t xml:space="preserve"> </w:t>
      </w:r>
      <w:r>
        <w:t xml:space="preserve">user, mainly striving for measurable productivity.</w:t>
      </w:r>
      <w:r>
        <w:t xml:space="preserve"> </w:t>
      </w:r>
      <w:r>
        <w:t xml:space="preserve">Since psychological concepts tend to become multi-faceted very soon, the UX revolution was accompanied by a proliferation of rating scales, which are supposed to capture the psychological richness of user experience. However, the development of these scales has not followed the same rigorous standards as psychometric instruments, and many of them have not been validated using large samples of designs. This has led to a situation where many UX scales may not be reliable for ranking designs, which is their primary purpose.</w:t>
      </w:r>
    </w:p>
    <w:p>
      <w:pPr>
        <w:pStyle w:val="BodyText"/>
      </w:pPr>
      <w:r>
        <w:t xml:space="preserve">As of writing, UX is mainstream, but its dominance may soon decline with the emergence of new design paradigms, such as conversational agents, virtual reality and social robots. These technologies are expected to have a much richer psychological impact on users than traditional interfaces, which means that new designometric instruments will be needed to capture this richness. These domains come with huge, largely unexplored design spaces, for which to navigate effectively, provenly accurate instruments are absolutely necessary.</w:t>
      </w:r>
    </w:p>
    <w:p>
      <w:pPr>
        <w:pStyle w:val="BodyText"/>
      </w:pPr>
      <w:r>
        <w:t xml:space="preserve">In the following sections we will discuss the development of three designometric instruments, that attempt to capture a glimpse of the psychological richness of emerging technology, i.e. conversational agents and virtual reality.</w:t>
      </w:r>
    </w:p>
    <w:bookmarkStart w:id="21" w:name="bus-11"/>
    <w:p>
      <w:pPr>
        <w:pStyle w:val="Heading2"/>
      </w:pPr>
      <w:r>
        <w:t xml:space="preserve">BUS-11</w:t>
      </w:r>
    </w:p>
    <w:bookmarkEnd w:id="21"/>
    <w:bookmarkStart w:id="22" w:name="consistency-plausibility"/>
    <w:p>
      <w:pPr>
        <w:pStyle w:val="Heading2"/>
      </w:pPr>
      <w:r>
        <w:t xml:space="preserve">Consistency &amp; Plausibility</w:t>
      </w:r>
    </w:p>
    <w:bookmarkEnd w:id="22"/>
    <w:bookmarkStart w:id="23" w:name="ux4ca"/>
    <w:p>
      <w:pPr>
        <w:pStyle w:val="Heading2"/>
      </w:pPr>
      <w:r>
        <w:t xml:space="preserve">UX4CA</w:t>
      </w:r>
    </w:p>
    <w:bookmarkEnd w:id="23"/>
    <w:bookmarkEnd w:id="24"/>
    <w:bookmarkStart w:id="25" w:name="discussion"/>
    <w:p>
      <w:pPr>
        <w:pStyle w:val="Heading1"/>
      </w:pPr>
      <w:r>
        <w:t xml:space="preserve">Discussion</w:t>
      </w:r>
    </w:p>
    <w:p>
      <w:pPr>
        <w:pStyle w:val="FirstParagraph"/>
      </w:pPr>
      <w:r>
        <w:t xml:space="preserve">The main argument of this paper is that designometric instruments must be developed and evaluated using samples of designs. This makes the process of scale development more challenging. When a designometric item response box is established on a sufficiently large sample of designs and participants, we propose that common psychometric tools can be applied, under the designometric perspective, i.e. a design-by-item matrix through averaging across participants. Yet, a few questions still arouse from the three studies.</w:t>
      </w:r>
    </w:p>
    <w:p>
      <w:pPr>
        <w:pStyle w:val="BodyText"/>
      </w:pPr>
      <w:r>
        <w:t xml:space="preserve">The designometric perspective is a necessity to establish the ranking capabilities of an instrument, but that does not imply to abandon the psychometric perspective. The requirement of a sufficient design sample can be a strongly delaying factor during scale development, while the number of participants piles up much faster. Checking psychometric reliability on this data is useful, because items that participants do not use consistently will add noise to the designometric signal. This can be taken as an early sign for unreliable items. However, there is an important caveat: reliability is a correlation measure, which is a standardized co-variance. Therefore psychometric reliability is a valid criterion, only if there is sufficient variance in the participant sample. If the measured construct varies in the design population, but barely in the participant population, psychometric reliability becomes low for a trivial reasons, and should not be used for item selection.</w:t>
      </w:r>
      <w:r>
        <w:t xml:space="preserve"> </w:t>
      </w:r>
      <w:r>
        <w:t xml:space="preserve">In the BUS-11 project, over-reliance on psychometric reliability possibly led to the exclusion of items on the Privacy sub-scale, which in consequence was under-represented. And as we have shown in</w:t>
      </w:r>
      <w:r>
        <w:t xml:space="preserve"> </w:t>
      </w:r>
      <w:r>
        <w:t xml:space="preserve">(</w:t>
      </w:r>
      <w:r>
        <w:rPr>
          <w:b/>
          <w:bCs/>
        </w:rPr>
        <w:t xml:space="preserve">schmettow2025?</w:t>
      </w:r>
      <w:r>
        <w:t xml:space="preserve">)</w:t>
      </w:r>
      <w:r>
        <w:t xml:space="preserve">, item reliability can dramatically differ between perspectives.</w:t>
      </w:r>
    </w:p>
    <w:p>
      <w:pPr>
        <w:pStyle w:val="BodyText"/>
      </w:pPr>
      <w:r>
        <w:t xml:space="preserve">Another question is whether the factor structure of an instrument should be evaluated from the designometric or psychometric perspective. In</w:t>
      </w:r>
      <w:r>
        <w:t xml:space="preserve"> </w:t>
      </w:r>
      <w:r>
        <w:t xml:space="preserve">(</w:t>
      </w:r>
      <w:r>
        <w:rPr>
          <w:b/>
          <w:bCs/>
        </w:rPr>
        <w:t xml:space="preserve">schmettow2025?</w:t>
      </w:r>
      <w:r>
        <w:t xml:space="preserve">)</w:t>
      </w:r>
      <w:r>
        <w:t xml:space="preserve">, we have already established that factor structures can differ between perspectives, with the disconcerting observation that factor structures in common UX scales frequently not align with the alleged structures of the instrument. This went in both directions: Sometimes the elicited factor structure contains fewer factors than the number of scales implies, sometimes more factors were found than expected.</w:t>
      </w:r>
    </w:p>
    <w:p>
      <w:pPr>
        <w:pStyle w:val="BodyText"/>
      </w:pPr>
      <w:r>
        <w:t xml:space="preserve">The CaP project is an interesting case for two reasons: it was strictly derived from cognitive theory and we were able to obtain a complete item response box with just one study, which allowed us to evaluate the factor structure from both perspectives. While the psychometric factor structure was in line with the theoretically structure of the instrument, the designometric factor structure was not.</w:t>
      </w:r>
      <w:r>
        <w:t xml:space="preserve"> </w:t>
      </w:r>
      <w:r>
        <w:t xml:space="preserve">Technically, this is an example of the Simpson’s paradox in factor or regression analysis, but it probably has the following explanation. On the psychometric level, the two factor solution emerged, because the underlying theory was bearing enough truth: The appreciations of consistency and plausibility are partly independent, which confirms the underlying theory, which assuming separate cognitive processes. On the designometric level the two factor solution would occur only if there is an analog independence in the design process, implying that efforts and skills in designing for plausibility and consistency are separated. While it is easily imaginable that algorithmic efforts leading to plausibility (e.g. the physics engine) are separate from developing narratives and scenario design (consistency), in the sample of designs this was simply not the case. While one can speculate about potential forces in common design processes, that produce an alignment between the two factors, the bottom line is that factor structures depend strongly on the composition of the samples. One plausible explanation in the case of CaP is that the design sample emerged from a survey on gamers, resulting in a sample of mature and successful designs. Perhaps, the two-factor structure would appear in a more curated sample, containing designs in various stages of development.</w:t>
      </w:r>
    </w:p>
    <w:p>
      <w:pPr>
        <w:pStyle w:val="BodyText"/>
      </w:pPr>
      <w:r>
        <w:t xml:space="preserve">Despite the different factor structures, CaP has been evaluated as a</w:t>
      </w:r>
      <w:r>
        <w:t xml:space="preserve"> </w:t>
      </w:r>
      <w:r>
        <w:rPr>
          <w:i/>
          <w:iCs/>
        </w:rPr>
        <w:t xml:space="preserve">universal</w:t>
      </w:r>
      <w:r>
        <w:t xml:space="preserve"> </w:t>
      </w:r>
      <w:r>
        <w:t xml:space="preserve">designometric scale, as it allows to measure design attributes and participant sensitivity to these attributes with very good reliability.</w:t>
      </w:r>
    </w:p>
    <w:p>
      <w:pPr>
        <w:pStyle w:val="BodyText"/>
      </w:pPr>
      <w:r>
        <w:t xml:space="preserve">Finally, almost all analyses so far are still employing standard psychometric tools on flattened response boxes. The potential of deep designometrics, where both perspectives are regarded simultaneously (i.e. in a single model) has not yet been explored.</w:t>
      </w:r>
    </w:p>
    <w:bookmarkEnd w:id="25"/>
    <w:bookmarkStart w:id="26" w:name="ai-statement"/>
    <w:p>
      <w:pPr>
        <w:pStyle w:val="Heading1"/>
      </w:pPr>
      <w:r>
        <w:t xml:space="preserve">AI Statement</w:t>
      </w:r>
    </w:p>
    <w:p>
      <w:pPr>
        <w:pStyle w:val="FirstParagraph"/>
      </w:pPr>
      <w:r>
        <w:t xml:space="preserve">During the preparation of this work the authors used ChatGPT in order to improve language and structure. After using this service, the authors reviewed and edited the content as needed and take full responsibility for the content of the published article.</w:t>
      </w:r>
    </w:p>
    <w:bookmarkEnd w:id="26"/>
    <w:bookmarkStart w:id="32" w:name="references"/>
    <w:p>
      <w:pPr>
        <w:pStyle w:val="Heading1"/>
      </w:pPr>
      <w:r>
        <w:t xml:space="preserve">References</w:t>
      </w:r>
    </w:p>
    <w:bookmarkStart w:id="31" w:name="refs"/>
    <w:bookmarkStart w:id="28" w:name="ref-Bargas-Avila2011"/>
    <w:p>
      <w:pPr>
        <w:pStyle w:val="Bibliography"/>
      </w:pPr>
      <w:r>
        <w:t xml:space="preserve">Bargas-Avila, Javier A., and Kasper Hornbæk. 2011.</w:t>
      </w:r>
      <w:r>
        <w:t xml:space="preserve"> </w:t>
      </w:r>
      <w:r>
        <w:t xml:space="preserve">“Old Wine in New Bottles or Novel Challenges.”</w:t>
      </w:r>
      <w:r>
        <w:t xml:space="preserve"> </w:t>
      </w:r>
      <w:r>
        <w:t xml:space="preserve">In</w:t>
      </w:r>
      <w:r>
        <w:t xml:space="preserve"> </w:t>
      </w:r>
      <w:r>
        <w:rPr>
          <w:i/>
          <w:iCs/>
        </w:rPr>
        <w:t xml:space="preserve">Proceedings of the SIGCHI Conference on Human Factors in Computing Systems</w:t>
      </w:r>
      <w:r>
        <w:t xml:space="preserve">, 2689–98. ACM.</w:t>
      </w:r>
      <w:r>
        <w:t xml:space="preserve"> </w:t>
      </w:r>
      <w:hyperlink r:id="rId27">
        <w:r>
          <w:rPr>
            <w:rStyle w:val="Hyperlink"/>
          </w:rPr>
          <w:t xml:space="preserve">https://doi.org/10.1145/1978942.1979336</w:t>
        </w:r>
      </w:hyperlink>
      <w:r>
        <w:t xml:space="preserve">.</w:t>
      </w:r>
    </w:p>
    <w:bookmarkEnd w:id="28"/>
    <w:bookmarkStart w:id="30" w:name="ref-Borsci2024"/>
    <w:p>
      <w:pPr>
        <w:pStyle w:val="Bibliography"/>
      </w:pPr>
      <w:r>
        <w:t xml:space="preserve">Borsci, Simone, and Martin Schmettow. 2024.</w:t>
      </w:r>
      <w:r>
        <w:t xml:space="preserve"> </w:t>
      </w:r>
      <w:r>
        <w:t xml:space="preserve">“Re-Examining the chatBot Usability Scale (BUS-11) to Assess User Experience with Customer Relationship Management Chatbots.”</w:t>
      </w:r>
      <w:r>
        <w:t xml:space="preserve"> </w:t>
      </w:r>
      <w:r>
        <w:rPr>
          <w:i/>
          <w:iCs/>
        </w:rPr>
        <w:t xml:space="preserve">Personal and Ubiquitous Computing</w:t>
      </w:r>
      <w:r>
        <w:t xml:space="preserve"> </w:t>
      </w:r>
      <w:r>
        <w:t xml:space="preserve">28 (December): 1033–44.</w:t>
      </w:r>
      <w:r>
        <w:t xml:space="preserve"> </w:t>
      </w:r>
      <w:hyperlink r:id="rId29">
        <w:r>
          <w:rPr>
            <w:rStyle w:val="Hyperlink"/>
          </w:rPr>
          <w:t xml:space="preserve">https://doi.org/10.1007/s00779-024-01834-4</w:t>
        </w:r>
      </w:hyperlink>
      <w:r>
        <w:t xml:space="preserve">.</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doi.org/10.1007/s00779-024-01834-4" TargetMode="External" /><Relationship Type="http://schemas.openxmlformats.org/officeDocument/2006/relationships/hyperlink" Id="rId27" Target="https://doi.org/10.1145/1978942.1979336"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07/s00779-024-01834-4" TargetMode="External" /><Relationship Type="http://schemas.openxmlformats.org/officeDocument/2006/relationships/hyperlink" Id="rId27" Target="https://doi.org/10.1145/1978942.19793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Designometric Rating Scales for Emerging Technologies: Lessons Learned in three projects</dc:title>
  <dc:creator>Martin Schmettow; Simone Borsci</dc:creator>
  <cp:keywords>Psychometrics, User Experience, Human Factors</cp:keywords>
  <dcterms:created xsi:type="dcterms:W3CDTF">2026-05-13T16:50:37Z</dcterms:created>
  <dcterms:modified xsi:type="dcterms:W3CDTF">2026-05-13T16:50:37Z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dmx.bib</vt:lpwstr>
  </property>
  <property fmtid="{D5CDD505-2E9C-101B-9397-08002B2CF9AE}" pid="7" name="by-affiliation">
    <vt:lpwstr/>
  </property>
  <property fmtid="{D5CDD505-2E9C-101B-9397-08002B2CF9AE}" pid="8" name="by-author">
    <vt:lpwstr/>
  </property>
  <property fmtid="{D5CDD505-2E9C-101B-9397-08002B2CF9AE}" pid="9" name="date">
    <vt:lpwstr>2026-05-13</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