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6.png" ContentType="image/png"/>
  <Override PartName="/word/media/rId58.png" ContentType="image/png"/>
  <Override PartName="/word/media/rId61.png" ContentType="image/png"/>
  <Override PartName="/word/media/rId52.png" ContentType="image/png"/>
  <Override PartName="/word/media/rId55.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psychometrically sound rating scales represents a methodologically rigorous endeavor. Psychometrics, defined as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 Bargas-Avila and Hoernbaek 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proposition advanced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utilized in traditional psychometric analyses.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frameworks provides the theoretical framework specifying conditions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p>
      <w:pPr>
        <w:pStyle w:val="BodyText"/>
      </w:pPr>
      <w:r>
        <w:t xml:space="preserve">Unlike physiological measurements that may require only single observations (e.g., body temperature), psychological assessments necessitate multiple items due to inherent measurement error across self-report scales, reaction time measures, and physiological indicators.</w:t>
      </w:r>
      <w:r>
        <w:t xml:space="preserve"> </w:t>
      </w:r>
      <w:r>
        <w:t xml:space="preserve">The central theoretical insight of CTT is that taking repeated measures improves measurement precision through error reduction, as formalized by the Law of Large Numbers.</w:t>
      </w:r>
    </w:p>
    <w:bookmarkStart w:id="20" w:name="item-selection-and-scale-development"/>
    <w:p>
      <w:pPr>
        <w:pStyle w:val="Heading3"/>
      </w:pPr>
      <w:r>
        <w:t xml:space="preserve">Item Selection and Scale Development</w:t>
      </w:r>
    </w:p>
    <w:p>
      <w:pPr>
        <w:pStyle w:val="FirstParagraph"/>
      </w:pPr>
      <w:r>
        <w:t xml:space="preserve">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 While extremely repetitive items (e.g., simple reaction time trials) may achieve near-perfect agreement, practical applications typically exhibit moderate item intercorrelations.</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p>
      <w:pPr>
        <w:pStyle w:val="BodyText"/>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The Five-Factor Model exemplifies this approach, proposing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typically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 Well-fitting CFA models supersede Cronbach’s alpha by providing item loadings that inform selection decisions.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However, with modern resampling techniques the optimal number of factors can be identified</w:t>
      </w:r>
      <w:r>
        <w:t xml:space="preserve"> </w:t>
      </w:r>
      <w:r>
        <w:t xml:space="preserve">(Lim &amp; Jahng, 2019)</w:t>
      </w:r>
      <w:r>
        <w:t xml:space="preserve">. Factor rotation decisions depend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w:t>
      </w:r>
      <w:r>
        <w:t xml:space="preserve"> </w:t>
      </w:r>
      <w:r>
        <w:t xml:space="preserve">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analytical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The fundamental principle governing minimum sample size requirements stipulates that observations must exceed the number of free parameters in the analytical model (Bollen, 1989).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procedures are sample-dependent, with solutions potentially capitalizing on chance characteristics.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w:t>
      </w:r>
      <w:r>
        <w:t xml:space="preserve"> </w:t>
      </w:r>
      <w:r>
        <w:t xml:space="preserve">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a response box cannot be processed with psychometric tools. While</w:t>
      </w:r>
      <w:r>
        <w:t xml:space="preserve"> </w:t>
      </w:r>
      <w:r>
        <w:t xml:space="preserve">“deep”</w:t>
      </w:r>
      <w:r>
        <w:t xml:space="preserve"> </w:t>
      </w:r>
      <w:r>
        <w:t xml:space="preserve">designometric models can be constructed using multi-level models</w:t>
      </w:r>
      <w:r>
        <w:t xml:space="preserve"> </w:t>
      </w:r>
      <w:r>
        <w:t xml:space="preserve">(Schmettow, 2021b, pp. 307–323)</w:t>
      </w:r>
      <w:r>
        <w:t xml:space="preserve">, a practical solution exists. By averaging over one of the dimensions, a two-dimensional response matrix can be constructed.</w:t>
      </w:r>
      <w:r>
        <w:t xml:space="preserve"> </w:t>
      </w:r>
      <w:r>
        <w:t xml:space="preserve">Crucially, the correct dimension to be collapsed over is Person, as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w:t>
      </w:r>
      <w:r>
        <w:t xml:space="preserve"> </w:t>
      </w:r>
      <w:r>
        <w:t xml:space="preserve">Take as an example a hypothetical scale to measure trustworthiness of robot faces, with two sub-scales, Realism and Likability.</w:t>
      </w:r>
      <w:r>
        <w:t xml:space="preserve"> </w:t>
      </w:r>
      <w:r>
        <w:t xml:space="preserve">The impression of realism can be triggered by different features of the face, such as skull shape, details in the eyes region and skin texture.</w:t>
      </w:r>
      <w:r>
        <w:t xml:space="preserve"> </w:t>
      </w:r>
      <w:r>
        <w:t xml:space="preserve">For a proper scale on realism, it would be required that these features correlate, and this essentially is a property of the robot face design process.</w:t>
      </w:r>
      <w:r>
        <w:t xml:space="preserve"> </w:t>
      </w:r>
      <w:r>
        <w:t xml:space="preserve">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psychometrics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measurent can take from several minutes to hours and a complete designometric encounter becomes impractical. A way to mitigate this problem is to use an experimental design that is</w:t>
      </w:r>
      <w:r>
        <w:t xml:space="preserve"> </w:t>
      </w:r>
      <w:r>
        <w:rPr>
          <w:i/>
          <w:iCs/>
        </w:rPr>
        <w:t xml:space="preserve">planned incomplete</w:t>
      </w:r>
      <w:r>
        <w:t xml:space="preserve">.</w:t>
      </w:r>
      <w:r>
        <w:t xml:space="preserve"> </w:t>
      </w:r>
      <w:r>
        <w:t xml:space="preserve">Essentially, a planned incomplete validation study has all participants encounter only a partition of the design sample.</w:t>
      </w:r>
      <w:r>
        <w:t xml:space="preserve"> </w:t>
      </w:r>
      <w:r>
        <w:t xml:space="preserve">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study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use of standard psychometric tools may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w:t>
      </w:r>
      <w:r>
        <w:t xml:space="preserve"> </w:t>
      </w:r>
      <w:r>
        <w:t xml:space="preserve">Rather, the metric will refer to the capability of the item to discriminate persons by their sensitivity to the design feature in question.</w:t>
      </w:r>
      <w:r>
        <w:t xml:space="preserve"> </w:t>
      </w:r>
      <w:r>
        <w:t xml:space="preserve">For example, a scale for comparing designs by beauty would become a scale to rank persons by how critical they are with respect to interface beauty.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w:t>
      </w:r>
      <w:r>
        <w:t xml:space="preserve"> </w:t>
      </w:r>
      <w:r>
        <w:t xml:space="preserve">One example is the study by</w:t>
      </w:r>
      <w:r>
        <w:t xml:space="preserve"> </w:t>
      </w:r>
      <w:r>
        <w:t xml:space="preserve">Ho &amp; MacDorman (2017)</w:t>
      </w:r>
      <w:r>
        <w:t xml:space="preserve"> </w:t>
      </w:r>
      <w:r>
        <w:t xml:space="preserve">validated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w:t>
      </w:r>
      <w:r>
        <w:t xml:space="preserve"> </w:t>
      </w:r>
      <w:r>
        <w:t xml:space="preserve">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instrument is used in practice to take measures on a single design. The result will inevitable look like a psychometric response matrix and, given that publication rules (e.g. APA guidelines) often require to report test reliabilities, it may be tempting for the researcher to run a psychometric test on reliability. While the run-time fallacy does not have the same impact as development-time fallacies, it may cause confusion when a validated instrument seems to have poor reliability.</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for the trivial reason that the design sample bears little variance with respect to the property in question. In the following simulation, we assume that the Coolness scale has been tested on a sample of 50 premium law firm home pages and 50 participants of various ages and socvial background. The key here is that participants vary strongly in their appreciation of Coolness (</w:t>
      </w:r>
      <m:oMath>
        <m:sSub>
          <m:e>
            <m:r>
              <m:t>σ</m:t>
            </m:r>
          </m:e>
          <m:sub>
            <m:r>
              <m:rPr>
                <m:nor/>
                <m:sty m:val="p"/>
              </m:rPr>
              <m:t>Part</m:t>
            </m:r>
          </m:sub>
        </m:sSub>
        <m:r>
          <m:rPr>
            <m:sty m:val="p"/>
          </m:rPr>
          <m:t>=</m:t>
        </m:r>
        <m:r>
          <m:t>.2</m:t>
        </m:r>
      </m:oMath>
      <w:r>
        <w:t xml:space="preserve">), whereas the sample of designs varies little in Coolness (</w:t>
      </w:r>
      <m:oMath>
        <m:sSub>
          <m:e>
            <m:r>
              <m:t>σ</m:t>
            </m:r>
          </m:e>
          <m:sub>
            <m:r>
              <m:rPr>
                <m:nor/>
                <m:sty m:val="p"/>
              </m:rPr>
              <m:t>Design</m:t>
            </m:r>
          </m:sub>
        </m:sSub>
        <m:r>
          <m:rPr>
            <m:sty m:val="p"/>
          </m:rPr>
          <m:t>=</m:t>
        </m:r>
        <m:r>
          <m:t>.02</m:t>
        </m:r>
      </m:oMath>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0.0979530</w:t>
            </w:r>
          </w:p>
        </w:tc>
        <w:tc>
          <w:tcPr/>
          <w:p>
            <w:pPr>
              <w:pStyle w:val="Compact"/>
              <w:jc w:val="right"/>
            </w:pPr>
            <w:r>
              <w:t xml:space="preserve">-0.7612260</w:t>
            </w:r>
          </w:p>
        </w:tc>
        <w:tc>
          <w:tcPr/>
          <w:p>
            <w:pPr>
              <w:pStyle w:val="Compact"/>
              <w:jc w:val="right"/>
            </w:pPr>
            <w:r>
              <w:t xml:space="preserve">0.4959317</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0.9323706</w:t>
            </w:r>
          </w:p>
        </w:tc>
        <w:tc>
          <w:tcPr/>
          <w:p>
            <w:pPr>
              <w:pStyle w:val="Compact"/>
              <w:jc w:val="right"/>
            </w:pPr>
            <w:r>
              <w:t xml:space="preserve">0.8647323</w:t>
            </w:r>
          </w:p>
        </w:tc>
        <w:tc>
          <w:tcPr/>
          <w:p>
            <w:pPr>
              <w:pStyle w:val="Compact"/>
              <w:jc w:val="right"/>
            </w:pPr>
            <w:r>
              <w:t xml:space="preserve">0.9631660</w:t>
            </w:r>
          </w:p>
        </w:tc>
      </w:tr>
    </w:tbl>
    <w:p>
      <w:pPr>
        <w:pStyle w:val="BodyText"/>
      </w:pPr>
      <w:r>
        <w:t xml:space="preserve">This simple example demonstrate that a scale can produce excellent reliability when measuring person sensitivity, but poor and uncertain reliability on designs. Under the psychometric fallacy it can happen that excellent reliability is reported, while it is actually unknown, or very poor.</w:t>
      </w:r>
    </w:p>
    <w:bookmarkEnd w:id="30"/>
    <w:bookmarkStart w:id="35"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t>
      </w:r>
      <w:r>
        <w:t xml:space="preserve">(</w:t>
      </w:r>
      <w:r>
        <w:rPr>
          <w:b/>
          <w:bCs/>
        </w:rPr>
        <w:t xml:space="preserve">tab-data-summary?</w:t>
      </w:r>
      <w:r>
        <w:t xml:space="preserve">)</w:t>
      </w:r>
      <w:r>
        <w:t xml:space="preserve">), which were originally testing original hypotheses on User Experience and Human-Robot Interaction. All data sets could be stripped down to designometric response boxes, with sufficient numbers of participants and designs.</w:t>
      </w:r>
    </w:p>
    <w:p>
      <w:pPr>
        <w:pStyle w:val="BodyText"/>
      </w:pPr>
      <w:r>
        <w:t xml:space="preserve">In QB, JK, SP and DN participants saw screen shots of home pages and responded to several user experience scales, whereas in AH, DK and PS the stimuli were robot faces.</w:t>
      </w:r>
      <w:r>
        <w:t xml:space="preserve"> </w:t>
      </w:r>
      <w:r>
        <w:t xml:space="preserve">All experiments used manipulation of presentation time to collect data on subconscious cognitive processing. For the analysis here, presentation times lower than 500ms were discarded.</w:t>
      </w:r>
      <w:r>
        <w:t xml:space="preserve"> </w:t>
      </w:r>
      <w:r>
        <w:t xml:space="preserve">All experiments used a (mildly) incomplete design in that participants encountered all designs and items several times, but not in every possible combination.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w:t>
      </w:r>
      <w:r>
        <w:t xml:space="preserve"> </w:t>
      </w:r>
      <w:r>
        <w:t xml:space="preserve">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were taken from the short version of AttrakDiff2, but will be considered separately in this analysis.</w:t>
      </w:r>
    </w:p>
    <w:p>
      <w:pPr>
        <w:numPr>
          <w:ilvl w:val="0"/>
          <w:numId w:val="1001"/>
        </w:numPr>
      </w:pPr>
      <w:r>
        <w:t xml:space="preserve">DN 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DN 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3" w:name="participant-samples"/>
    <w:p>
      <w:pPr>
        <w:pStyle w:val="Heading2"/>
      </w:pPr>
      <w:r>
        <w:t xml:space="preserve">Participant samples</w:t>
      </w:r>
    </w:p>
    <w:p>
      <w:pPr>
        <w:pStyle w:val="FirstParagraph"/>
      </w:pPr>
      <w:r>
        <w:t xml:space="preserve">Participants were sampled by convenience with sizes between between 25 and 45 and a strong over-representation of university students and their social circles.</w:t>
      </w:r>
    </w:p>
    <w:bookmarkEnd w:id="33"/>
    <w:bookmarkStart w:id="34" w:name="data-analysis"/>
    <w:p>
      <w:pPr>
        <w:pStyle w:val="Heading2"/>
      </w:pPr>
      <w:r>
        <w:t xml:space="preserve">Data Analysis</w:t>
      </w:r>
    </w:p>
    <w:p>
      <w:pPr>
        <w:pStyle w:val="FirstParagraph"/>
      </w:pPr>
      <w:r>
        <w:t xml:space="preserve">Goal of the analysis is to examine in what ways the psychometric fallacy compromises the evaluation of rating scales. Three basic psychometric techniques were applied, scale reliability, item consistency and number of factors, using well established functions from the R package Psych</w:t>
      </w:r>
      <w:r>
        <w:t xml:space="preserve"> </w:t>
      </w:r>
      <w:r>
        <w:t xml:space="preserve">(William Revelle, 2025)</w:t>
      </w:r>
      <w:r>
        <w:t xml:space="preserve">.</w:t>
      </w:r>
    </w:p>
    <w:p>
      <w:pPr>
        <w:pStyle w:val="BodyText"/>
      </w:pPr>
      <w:r>
        <w:rPr>
          <w:i/>
          <w:iCs/>
        </w:rPr>
        <w:t xml:space="preserve">Scale reliability</w:t>
      </w:r>
      <w:r>
        <w:t xml:space="preserve"> </w:t>
      </w:r>
      <w:r>
        <w:t xml:space="preserve">was measured using Cronbach</w:t>
      </w:r>
      <w:r>
        <w:t xml:space="preserve"> </w:t>
      </w:r>
      <m:oMath>
        <m:r>
          <m:t>α</m:t>
        </m:r>
      </m:oMath>
      <w:r>
        <w:t xml:space="preserve"> </w:t>
      </w:r>
      <w:r>
        <w:t xml:space="preserve">using the function</w:t>
      </w:r>
      <w:r>
        <w:t xml:space="preserve"> </w:t>
      </w:r>
      <w:r>
        <w:rPr>
          <w:rStyle w:val="VerbatimChar"/>
        </w:rPr>
        <w:t xml:space="preserve">psych::alpha</w:t>
      </w:r>
      <w:r>
        <w:t xml:space="preserve">. The same function also provides</w:t>
      </w:r>
      <w:r>
        <w:t xml:space="preserve"> </w:t>
      </w:r>
      <w:r>
        <w:rPr>
          <w:i/>
          <w:iCs/>
        </w:rPr>
        <w:t xml:space="preserve">item consistency</w:t>
      </w:r>
      <w:r>
        <w:t xml:space="preserve"> </w:t>
      </w:r>
      <w:r>
        <w:t xml:space="preserve">measures and the corrected item-total correlation was used.</w:t>
      </w:r>
      <w:r>
        <w:t xml:space="preserve"> </w:t>
      </w:r>
      <w:r>
        <w:t xml:space="preserve">The</w:t>
      </w:r>
      <w:r>
        <w:t xml:space="preserve"> </w:t>
      </w: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w:t>
      </w:r>
    </w:p>
    <w:bookmarkEnd w:id="34"/>
    <w:bookmarkEnd w:id="35"/>
    <w:bookmarkStart w:id="65" w:name="results"/>
    <w:p>
      <w:pPr>
        <w:pStyle w:val="Heading1"/>
      </w:pPr>
      <w:r>
        <w:t xml:space="preserve">Results</w:t>
      </w:r>
    </w:p>
    <w:bookmarkStart w:id="40"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39" w:name="fig-scale-reliability"/>
          <w:p>
            <w:pPr>
              <w:pStyle w:val="Compact"/>
              <w:jc w:val="center"/>
            </w:pPr>
            <w:r>
              <w:drawing>
                <wp:inline>
                  <wp:extent cx="5334000" cy="5334000"/>
                  <wp:effectExtent b="0" l="0" r="0" t="0"/>
                  <wp:docPr descr="" title="" id="37" name="Picture"/>
                  <a:graphic>
                    <a:graphicData uri="http://schemas.openxmlformats.org/drawingml/2006/picture">
                      <pic:pic>
                        <pic:nvPicPr>
                          <pic:cNvPr descr="DMX_1_files/figure-docx/fig-scale-reliability-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39"/>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0"/>
    <w:bookmarkStart w:id="45" w:name="item-consistency"/>
    <w:p>
      <w:pPr>
        <w:pStyle w:val="Heading2"/>
      </w:pPr>
      <w:r>
        <w:t xml:space="preserve">Item consistency</w:t>
      </w:r>
    </w:p>
    <w:tbl>
      <w:tblPr>
        <w:tblStyle w:val="Table"/>
        <w:tblW w:type="pct" w:w="5000"/>
        <w:tblLayout w:type="fixed"/>
        <w:tblLook w:firstRow="0" w:lastRow="0" w:firstColumn="0" w:lastColumn="0" w:noHBand="0" w:noVBand="0" w:val="0000"/>
      </w:tblPr>
      <w:tblGrid>
        <w:gridCol w:w="7920"/>
      </w:tblGrid>
      <w:tr>
        <w:tc>
          <w:tcPr/>
          <w:bookmarkStart w:id="44" w:name="fig-item-reliability"/>
          <w:p>
            <w:pPr>
              <w:pStyle w:val="Compact"/>
              <w:jc w:val="center"/>
            </w:pPr>
            <w:r>
              <w:drawing>
                <wp:inline>
                  <wp:extent cx="5334000" cy="5334000"/>
                  <wp:effectExtent b="0" l="0" r="0" t="0"/>
                  <wp:docPr descr="" title="" id="42" name="Picture"/>
                  <a:graphic>
                    <a:graphicData uri="http://schemas.openxmlformats.org/drawingml/2006/picture">
                      <pic:pic>
                        <pic:nvPicPr>
                          <pic:cNvPr descr="DMX_1_files/figure-docx/fig-item-reliability-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4"/>
        </w:tc>
      </w:tr>
    </w:tbl>
    <w:p>
      <w:pPr>
        <w:pStyle w:val="BodyText"/>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reliability under pmx. To some extent this also seems to hold for Usability and Eeriness. For Credibility, HQ-I, HQ-S and Attractiveness some items drop under pmx, whereas others improve, with two extreme cases: Items Att4 andf Att6 are already on a very low level of reliability under dmx, but under pmx, they even become negatively correlated. Items HQI5 and HQI6 perform poorly under dmx, but are among the overall best performing items under pmx.</w:t>
      </w:r>
    </w:p>
    <w:bookmarkEnd w:id="45"/>
    <w:bookmarkStart w:id="64" w:name="number-of-factors"/>
    <w:p>
      <w:pPr>
        <w:pStyle w:val="Heading2"/>
      </w:pPr>
      <w:r>
        <w:t xml:space="preserve">Number of factors</w:t>
      </w:r>
    </w:p>
    <w:p>
      <w:pPr>
        <w:pStyle w:val="FirstParagraph"/>
      </w:pPr>
      <w:r>
        <w:t xml:space="preserve">Often, different scales are used in combination to create a more complete picture. It is usually the aim that a scale measures exactly one construct (or latent variable) and that different scales measure different constructs.</w:t>
      </w:r>
    </w:p>
    <w:p>
      <w:pPr>
        <w:pStyle w:val="BodyText"/>
      </w:pPr>
      <w:r>
        <w:t xml:space="preserve">In contrast, the AttrakDiff2 questionnaire comprises two scales to capture supposedly different aspects.</w:t>
      </w:r>
    </w:p>
    <w:p>
      <w:pPr>
        <w:pStyle w:val="BodyText"/>
      </w:pPr>
      <w:r>
        <w:t xml:space="preserve">Given a response matrix, the number of factors can be estimated using parallel analysis. Ideally, this procedure returns exactly as many factors as there are separate scales. Here, we use parallel analysis to assess whether the two perspectives produce the expected number of factors, or at least agree on a number.</w:t>
      </w:r>
    </w:p>
    <w:p>
      <w:pPr>
        <w:pStyle w:val="BodyText"/>
      </w:pPr>
      <w:r>
        <w:t xml:space="preserve">((MacDorman)) found that the Eeriness scale decomposes into two slightly different aspects, summarized as</w:t>
      </w:r>
      <w:r>
        <w:t xml:space="preserve"> </w:t>
      </w:r>
      <w:r>
        <w:t xml:space="preserve">“eery”</w:t>
      </w:r>
      <w:r>
        <w:t xml:space="preserve"> </w:t>
      </w:r>
      <w:r>
        <w:t xml:space="preserve">and</w:t>
      </w:r>
      <w:r>
        <w:t xml:space="preserve"> </w:t>
      </w:r>
      <w:r>
        <w:t xml:space="preserve">“spine-tingling”</w:t>
      </w:r>
      <w:r>
        <w:t xml:space="preserve">.</w:t>
      </w:r>
    </w:p>
    <w:p>
      <w:pPr>
        <w:pStyle w:val="CaptionedFigure"/>
      </w:pPr>
      <w:r>
        <w:drawing>
          <wp:inline>
            <wp:extent cx="5334000" cy="5334000"/>
            <wp:effectExtent b="0" l="0" r="0" t="0"/>
            <wp:docPr descr="Suggested number of factors for the Eeriness scale compared by perspective" title="" id="47" name="Picture"/>
            <a:graphic>
              <a:graphicData uri="http://schemas.openxmlformats.org/drawingml/2006/picture">
                <pic:pic>
                  <pic:nvPicPr>
                    <pic:cNvPr descr="DMX_1_files/figure-docx/nfactors-eeriness-1.png"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CaptionedFigure"/>
      </w:pPr>
      <w:r>
        <w:drawing>
          <wp:inline>
            <wp:extent cx="5334000" cy="5334000"/>
            <wp:effectExtent b="0" l="0" r="0" t="0"/>
            <wp:docPr descr="Suggested number of factors for the Eeriness scale compared by perspective" title="" id="50" name="Picture"/>
            <a:graphic>
              <a:graphicData uri="http://schemas.openxmlformats.org/drawingml/2006/picture">
                <pic:pic>
                  <pic:nvPicPr>
                    <pic:cNvPr descr="DMX_1_files/figure-docx/nfactors-eeriness-2.png" id="51"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the Eeriness scale compared by perspective</w:t>
      </w:r>
    </w:p>
    <w:p>
      <w:pPr>
        <w:pStyle w:val="BodyText"/>
      </w:pPr>
      <w:r>
        <w:t xml:space="preserve">The results suggest that under dmx only one latent variables exists, whereas pmx produces two.</w:t>
      </w:r>
    </w:p>
    <w:p>
      <w:pPr>
        <w:pStyle w:val="BodyText"/>
      </w:pPr>
      <w:r>
        <w:t xml:space="preserve">On theoretical grounds, the AttrakDiff2 inventory splits hedonistic quality into two components, Identity and Stimulation, while the credibility scale is a completely separate construct. We would expect three factors to emerge.</w:t>
      </w:r>
    </w:p>
    <w:p>
      <w:pPr>
        <w:pStyle w:val="CaptionedFigure"/>
      </w:pPr>
      <w:r>
        <w:drawing>
          <wp:inline>
            <wp:extent cx="5334000" cy="5334000"/>
            <wp:effectExtent b="0" l="0" r="0" t="0"/>
            <wp:docPr descr="Suggested number of factors for AttrakDiff inventory plus Credibility compared by perspective" title="" id="53" name="Picture"/>
            <a:graphic>
              <a:graphicData uri="http://schemas.openxmlformats.org/drawingml/2006/picture">
                <pic:pic>
                  <pic:nvPicPr>
                    <pic:cNvPr descr="DMX_1_files/figure-docx/nfactors-attrakdiff-1.png" id="54"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CaptionedFigure"/>
      </w:pPr>
      <w:r>
        <w:drawing>
          <wp:inline>
            <wp:extent cx="5334000" cy="5334000"/>
            <wp:effectExtent b="0" l="0" r="0" t="0"/>
            <wp:docPr descr="Suggested number of factors for AttrakDiff inventory plus Credibility compared by perspective" title="" id="56" name="Picture"/>
            <a:graphic>
              <a:graphicData uri="http://schemas.openxmlformats.org/drawingml/2006/picture">
                <pic:pic>
                  <pic:nvPicPr>
                    <pic:cNvPr descr="DMX_1_files/figure-docx/nfactors-attrakdiff-2.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AttrakDiff inventory plus Credibility compared by perspective</w:t>
      </w:r>
    </w:p>
    <w:p>
      <w:pPr>
        <w:pStyle w:val="BodyText"/>
      </w:pPr>
      <w:r>
        <w:t xml:space="preserve">Under a desginometric perspective, the three scales have five underlying factors, but merging into one under pmx.</w:t>
      </w:r>
    </w:p>
    <w:p>
      <w:pPr>
        <w:pStyle w:val="BodyText"/>
      </w:pPr>
      <w:r>
        <w:t xml:space="preserve">Finally, in study DN three independent scales, Hedonism, Usability and Beauty, were used. But, parallel analysis suggests that these capture the same latent variable under both perspectives.</w:t>
      </w:r>
    </w:p>
    <w:p>
      <w:pPr>
        <w:pStyle w:val="CaptionedFigure"/>
      </w:pPr>
      <w:r>
        <w:drawing>
          <wp:inline>
            <wp:extent cx="5334000" cy="5334000"/>
            <wp:effectExtent b="0" l="0" r="0" t="0"/>
            <wp:docPr descr="Suggested number of factors for Hedonism, Usability and Beauty scales compared by perspective" title="" id="59" name="Picture"/>
            <a:graphic>
              <a:graphicData uri="http://schemas.openxmlformats.org/drawingml/2006/picture">
                <pic:pic>
                  <pic:nvPicPr>
                    <pic:cNvPr descr="DMX_1_files/figure-docx/nfactors-HUB-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p>
      <w:pPr>
        <w:pStyle w:val="CaptionedFigure"/>
      </w:pPr>
      <w:r>
        <w:drawing>
          <wp:inline>
            <wp:extent cx="5334000" cy="5334000"/>
            <wp:effectExtent b="0" l="0" r="0" t="0"/>
            <wp:docPr descr="Suggested number of factors for Hedonism, Usability and Beauty scales compared by perspective" title="" id="62" name="Picture"/>
            <a:graphic>
              <a:graphicData uri="http://schemas.openxmlformats.org/drawingml/2006/picture">
                <pic:pic>
                  <pic:nvPicPr>
                    <pic:cNvPr descr="DMX_1_files/figure-docx/nfactors-HUB-2.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Suggested number of factors for Hedonism, Usability and Beauty scales compared by perspective</w:t>
      </w:r>
    </w:p>
    <w:bookmarkEnd w:id="64"/>
    <w:bookmarkEnd w:id="65"/>
    <w:bookmarkStart w:id="70"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very poor.</w:t>
      </w:r>
    </w:p>
    <w:p>
      <w:pPr>
        <w:pStyle w:val="BodyText"/>
      </w:pPr>
      <w:r>
        <w:t xml:space="preserve">We used data from five experiments to assess the severity of the psychometric fallacy in real practice. Overall, the results show that the psychometric fallacy produces dramatic biases for all tested methods. For practicioners using these scales the good news is that all scales performed better under the correct desgnometric perspective, and most of them even fairly well.</w:t>
      </w:r>
    </w:p>
    <w:p>
      <w:pPr>
        <w:pStyle w:val="BodyText"/>
      </w:pPr>
      <w:r>
        <w:t xml:space="preserve">In contrast, item consistency and factor analysis showed that the psychometric fallacy can lead to strong biases. Items can suddenly become negatively correlated, as in the case of Attractiveness. The two Hedonism scales from AttrakDiff and the Credibility scale showed an extreme pattern, where the majority of items remained relatively stable, whereas two items switched from poor reliability to excellent reliability under pmx. With these patterns in mind, it is almost not surprising that factor analysis can also produce quite different results. Most strikingly, under dmx not a single result matched the theoretical expectations.</w:t>
      </w:r>
    </w:p>
    <w:bookmarkStart w:id="66" w:name="development-time-implications"/>
    <w:p>
      <w:pPr>
        <w:pStyle w:val="Heading2"/>
      </w:pPr>
      <w:r>
        <w:t xml:space="preserve">Development time implications</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The HQ-I scale (and to some extent also Credibility) shows a concerning pattern, where some items perform well under pmx, but extremely poor under dmx. This shows that developing a dmx scale under pmx perspective can lead to</w:t>
      </w:r>
      <w:r>
        <w:t xml:space="preserve"> </w:t>
      </w:r>
      <w:r>
        <w:rPr>
          <w:i/>
          <w:iCs/>
        </w:rPr>
        <w:t xml:space="preserve">falsely favored</w:t>
      </w:r>
      <w:r>
        <w:t xml:space="preserve"> </w:t>
      </w:r>
      <w:r>
        <w:t xml:space="preserve">items that are well-behaved in ranking persons, but are inefficient for designs. To make the case, scale reliability when removing item HQI5 improves to</w:t>
      </w:r>
      <w:r>
        <w:t xml:space="preserve"> </w:t>
      </w:r>
      <m:oMath>
        <m:r>
          <m:t>0.73</m:t>
        </m:r>
      </m:oMath>
      <w:r>
        <w:t xml:space="preserve"> </w:t>
      </w:r>
      <w:r>
        <w:t xml:space="preserve">compared to</w:t>
      </w:r>
      <w:r>
        <w:t xml:space="preserve"> </w:t>
      </w:r>
      <m:oMath>
        <m:r>
          <m:t>0.69</m:t>
        </m:r>
      </m:oMath>
      <w:r>
        <w:t xml:space="preserve">. By further removing HQI1, reliability is</w:t>
      </w:r>
      <w:r>
        <w:t xml:space="preserve"> </w:t>
      </w:r>
      <m:oMath>
        <m:r>
          <m:t>0.68</m:t>
        </m:r>
      </m:oMath>
      <w:r>
        <w:t xml:space="preserve">. While this is not a major increase in reliability, the same level is effectively reached with fewer items - the psychometric fallacy can lead to inefficient scales.</w:t>
      </w:r>
    </w:p>
    <w:p>
      <w:pPr>
        <w:pStyle w:val="BodyText"/>
      </w:pPr>
      <w:r>
        <w:t xml:space="preserve">While we cannot show that directly, it is likely that fallacy also leads</w:t>
      </w:r>
      <w:r>
        <w:t xml:space="preserve"> </w:t>
      </w:r>
      <w:r>
        <w:rPr>
          <w:i/>
          <w:iCs/>
        </w:rPr>
        <w:t xml:space="preserve">falsely reject</w:t>
      </w:r>
      <w:r>
        <w:t xml:space="preserve"> </w:t>
      </w:r>
      <w:r>
        <w:t xml:space="preserve">items that are actually well-behaved in ranking designs. Creating an item pool is by itself a time-consuming process, and the psychometric fallacy can make it even more difficult by rejecting good items and selecting inefficient ones. A recent example is the development of the BUS-11 scale, where face validity demands (and factor analysis has confirmed) ((REF Simone)) that</w:t>
      </w:r>
      <w:r>
        <w:t xml:space="preserve"> </w:t>
      </w:r>
      <w:r>
        <w:rPr>
          <w:i/>
          <w:iCs/>
        </w:rPr>
        <w:t xml:space="preserve">Privacy</w:t>
      </w:r>
      <w:r>
        <w:t xml:space="preserve"> </w:t>
      </w:r>
      <w:r>
        <w:t xml:space="preserve">is a separate construct. Unfortunately, only one item was left after item selection.</w:t>
      </w:r>
    </w:p>
    <w:bookmarkEnd w:id="66"/>
    <w:bookmarkStart w:id="67" w:name="run-time-implications"/>
    <w:p>
      <w:pPr>
        <w:pStyle w:val="Heading2"/>
      </w:pPr>
      <w:r>
        <w:t xml:space="preserve">Run time implications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pmx being the lowest ranked under dmx.</w:t>
      </w:r>
    </w:p>
    <w:bookmarkEnd w:id="67"/>
    <w:bookmarkStart w:id="68" w:name="future-applications"/>
    <w:p>
      <w:pPr>
        <w:pStyle w:val="Heading2"/>
      </w:pPr>
      <w:r>
        <w:t xml:space="preserve">Future Applications</w:t>
      </w:r>
    </w:p>
    <w:p>
      <w:pPr>
        <w:pStyle w:val="FirstParagraph"/>
      </w:pPr>
      <w:r>
        <w:t xml:space="preserve">A key idea in usability engineering is that interaction designers learn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Humanoid and animalistic robot design is coming out of its niche, and virtual reality applications are already mainstream. These three domains have in common that, compared to classic computer applications, they are tapping into new territories of the users mind, the social mind and the sensation of physical reality.</w:t>
      </w:r>
    </w:p>
    <w:p>
      <w:pPr>
        <w:pStyle w:val="BodyText"/>
      </w:pPr>
      <w:r>
        <w:t xml:space="preserve">When Social Experience (SX) or Virtual Experience (VX) become the new UX, it may start with the same abundance of new instruments trying to map the uncharted design space.</w:t>
      </w:r>
      <w:r>
        <w:t xml:space="preserve"> </w:t>
      </w:r>
      <w:r>
        <w:t xml:space="preserve">These are huge and effective designometric instruments are needed to guide design decisions in hyper-excited times. Our results show, that the psychometric fallacy is harmful during scale development, leading to inefficient item sets and factor structures.</w:t>
      </w:r>
    </w:p>
    <w:bookmarkEnd w:id="68"/>
    <w:bookmarkStart w:id="69" w:name="towards-deep-designometrics"/>
    <w:p>
      <w:pPr>
        <w:pStyle w:val="Heading2"/>
      </w:pPr>
      <w:r>
        <w:t xml:space="preserve">Towards Deep Designometrics</w:t>
      </w:r>
    </w:p>
    <w:p>
      <w:pPr>
        <w:pStyle w:val="FirstParagraph"/>
      </w:pPr>
      <w:r>
        <w:t xml:space="preserve">By comparing the two perspectives, we illustrated that designometrics can be accomplished with standard psychometric tools by flattening the response box across participants. However, by averaging across participants, we loose all information on users. It would even be possible to evaluate a designometric model on the responses of a</w:t>
      </w:r>
      <w:r>
        <w:t xml:space="preserve"> </w:t>
      </w:r>
      <w:r>
        <w:rPr>
          <w:i/>
          <w:iCs/>
        </w:rPr>
        <w:t xml:space="preserve">single user</w:t>
      </w:r>
      <w:r>
        <w:t xml:space="preserve">. Formally, this would be a valid designometric measure, reflecting a single person’s sensitivity to design features.</w:t>
      </w:r>
    </w:p>
    <w:p>
      <w:pPr>
        <w:pStyle w:val="BodyText"/>
      </w:pPr>
      <w:r>
        <w:t xml:space="preserve">Designometric scales are commonly used to measure a populations reaction to a design, which implies that on some level the psychometric matrix is useful, for example to study the distribution of user sensitivity to a feature.</w:t>
      </w:r>
      <w:r>
        <w:t xml:space="preserve"> </w:t>
      </w:r>
      <w:r>
        <w:t xml:space="preserve">Imagenable cases exist where one could use a designometric scale for psychometric purposes. For example, an instrument to measure trustworthiness of designs could be used to estimate faithfulness of participants in a study (or a training) on cyber security.</w:t>
      </w:r>
    </w:p>
    <w:p>
      <w:pPr>
        <w:pStyle w:val="BodyText"/>
      </w:pPr>
      <w:r>
        <w:t xml:space="preserve">By flattening the designometric box one way, then the other, we still loose information that is needed to secure that items are truly well-behaved.In educational psychometrics</w:t>
      </w:r>
      <w:r>
        <w:t xml:space="preserve"> </w:t>
      </w:r>
      <w:r>
        <w:rPr>
          <w:i/>
          <w:iCs/>
        </w:rPr>
        <w:t xml:space="preserve">differential item functioning</w:t>
      </w:r>
      <w:r>
        <w:t xml:space="preserve"> </w:t>
      </w:r>
      <w:r>
        <w:t xml:space="preserve">is the idea that items must be fair and function the same for every tested person. This is a desirable property for a designometric scale, but a statistical model for verification would need individual parameters for participants, designs and items, simultaneously.</w:t>
      </w:r>
      <w:r>
        <w:t xml:space="preserve"> </w:t>
      </w:r>
      <w:r>
        <w:t xml:space="preserve">Schmettow (2021a)</w:t>
      </w:r>
      <w:r>
        <w:t xml:space="preserve"> </w:t>
      </w:r>
      <w:r>
        <w:t xml:space="preserve">proposed multi-level models for capturing designometric situations in their full dimension, which could be well-suited for run-time use or basic scale development.</w:t>
      </w:r>
    </w:p>
    <w:p>
      <w:pPr>
        <w:pStyle w:val="BodyText"/>
      </w:pPr>
      <w:r>
        <w:t xml:space="preserve">Such a multi-level approach is well in line with the established field of generalizability theory</w:t>
      </w:r>
      <w:r>
        <w:t xml:space="preserve"> </w:t>
      </w:r>
      <w:r>
        <w:t xml:space="preserve">(Brennan, 2001)</w:t>
      </w:r>
      <w:r>
        <w:t xml:space="preserve">. In that approach, the variance in responses is partitioned into multiple sources. Thus, suppose we have a data collection design where multiple users judge several designs, on multiple items, the variance in responses can be partitioned into variance due to individual differences in users, differences in designs, and differences in items, This can be done for the response box, but can straightforwardly be extended to hyperboxes, for instance having data collected from the same people on a set of tasks Another consideration is that the designometric encounter may not be end of story. For example, for comparing multi-purpose designs a researcher may want to add tasks as fourth population of interest</w:t>
      </w:r>
      <w:r>
        <w:t xml:space="preserve"> </w:t>
      </w:r>
      <w:r>
        <w:t xml:space="preserve">(Schmettow &amp; Havinga, 2013)</w:t>
      </w:r>
      <w:r>
        <w:t xml:space="preserve">.</w:t>
      </w:r>
    </w:p>
    <w:p>
      <w:pPr>
        <w:pStyle w:val="BodyText"/>
      </w:pPr>
      <w:r>
        <w:t xml:space="preserve">Such variance decomposition can be implemented in multi-level models, where the estimated variances can be used to compute reliability, whether it relates to measuring differences in users (pmx) or differences in designs (dmx), while controlling for all other relevant sources of variation. By extending the modelling to multi-level IRT models</w:t>
      </w:r>
      <w:r>
        <w:t xml:space="preserve"> </w:t>
      </w:r>
      <w:r>
        <w:t xml:space="preserve">Berg et al. (2007)</w:t>
      </w:r>
      <w:r>
        <w:t xml:space="preserve"> </w:t>
      </w:r>
      <w:r>
        <w:t xml:space="preserve">the discrete nature of the item response data can be taken into account.</w:t>
      </w:r>
    </w:p>
    <w:bookmarkEnd w:id="69"/>
    <w:bookmarkEnd w:id="70"/>
    <w:bookmarkStart w:id="140" w:name="references"/>
    <w:p>
      <w:pPr>
        <w:pStyle w:val="Heading1"/>
      </w:pPr>
      <w:r>
        <w:t xml:space="preserve">References</w:t>
      </w:r>
    </w:p>
    <w:bookmarkStart w:id="139" w:name="refs"/>
    <w:bookmarkStart w:id="71"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1"/>
    <w:bookmarkStart w:id="73" w:name="ref-vandenBerg2007"/>
    <w:p>
      <w:pPr>
        <w:pStyle w:val="Bibliography"/>
      </w:pPr>
      <w:r>
        <w:t xml:space="preserve">Berg, S. M. van den, Glas, C. A. W., &amp; Boomsma, D. I. (2007). Variance decomposition using an IRT measurement model.</w:t>
      </w:r>
      <w:r>
        <w:t xml:space="preserve"> </w:t>
      </w:r>
      <w:r>
        <w:rPr>
          <w:i/>
          <w:iCs/>
        </w:rPr>
        <w:t xml:space="preserve">Behavior Genetics</w:t>
      </w:r>
      <w:r>
        <w:t xml:space="preserve">,</w:t>
      </w:r>
      <w:r>
        <w:t xml:space="preserve"> </w:t>
      </w:r>
      <w:r>
        <w:rPr>
          <w:i/>
          <w:iCs/>
        </w:rPr>
        <w:t xml:space="preserve">37</w:t>
      </w:r>
      <w:r>
        <w:t xml:space="preserve">, 604–616.</w:t>
      </w:r>
      <w:r>
        <w:t xml:space="preserve"> </w:t>
      </w:r>
      <w:hyperlink r:id="rId72">
        <w:r>
          <w:rPr>
            <w:rStyle w:val="Hyperlink"/>
          </w:rPr>
          <w:t xml:space="preserve">https://doi.org/10.1007/s10519-007-9156-1</w:t>
        </w:r>
      </w:hyperlink>
    </w:p>
    <w:bookmarkEnd w:id="73"/>
    <w:bookmarkStart w:id="74"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4"/>
    <w:bookmarkStart w:id="76"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75">
        <w:r>
          <w:rPr>
            <w:rStyle w:val="Hyperlink"/>
          </w:rPr>
          <w:t xml:space="preserve">https://doi.org/10.1007/s00779-024-01834-4</w:t>
        </w:r>
      </w:hyperlink>
    </w:p>
    <w:bookmarkEnd w:id="76"/>
    <w:bookmarkStart w:id="78" w:name="ref-Brennan2001"/>
    <w:p>
      <w:pPr>
        <w:pStyle w:val="Bibliography"/>
      </w:pPr>
      <w:r>
        <w:t xml:space="preserve">Brennan, R. L. (2001).</w:t>
      </w:r>
      <w:r>
        <w:t xml:space="preserve"> </w:t>
      </w:r>
      <w:r>
        <w:rPr>
          <w:i/>
          <w:iCs/>
        </w:rPr>
        <w:t xml:space="preserve">Generalizability theory</w:t>
      </w:r>
      <w:r>
        <w:t xml:space="preserve">. Springer New York.</w:t>
      </w:r>
      <w:r>
        <w:t xml:space="preserve"> </w:t>
      </w:r>
      <w:hyperlink r:id="rId77">
        <w:r>
          <w:rPr>
            <w:rStyle w:val="Hyperlink"/>
          </w:rPr>
          <w:t xml:space="preserve">https://doi.org/10.1007/978-1-4757-3456-0</w:t>
        </w:r>
      </w:hyperlink>
    </w:p>
    <w:bookmarkEnd w:id="78"/>
    <w:bookmarkStart w:id="79"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79"/>
    <w:bookmarkStart w:id="80"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80"/>
    <w:bookmarkStart w:id="82"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1">
        <w:r>
          <w:rPr>
            <w:rStyle w:val="Hyperlink"/>
          </w:rPr>
          <w:t xml:space="preserve">https://doi.org/10.7275/jyj1-4868</w:t>
        </w:r>
      </w:hyperlink>
    </w:p>
    <w:bookmarkEnd w:id="82"/>
    <w:bookmarkStart w:id="84"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83">
        <w:r>
          <w:rPr>
            <w:rStyle w:val="Hyperlink"/>
          </w:rPr>
          <w:t xml:space="preserve">https://doi.org/10.1007/BF02310555</w:t>
        </w:r>
      </w:hyperlink>
    </w:p>
    <w:bookmarkEnd w:id="84"/>
    <w:bookmarkStart w:id="86"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85">
        <w:r>
          <w:rPr>
            <w:rStyle w:val="Hyperlink"/>
          </w:rPr>
          <w:t xml:space="preserve">https://doi.org/10.4324/9781410605269</w:t>
        </w:r>
      </w:hyperlink>
    </w:p>
    <w:bookmarkEnd w:id="86"/>
    <w:bookmarkStart w:id="87"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87"/>
    <w:bookmarkStart w:id="89" w:name="ref-Fox2001"/>
    <w:p>
      <w:pPr>
        <w:pStyle w:val="Bibliography"/>
      </w:pPr>
      <w:r>
        <w:t xml:space="preserve">Fox, J.-P., &amp; Glas, C. A. W. (2001). Bayesian estimation of a multilevel IRT model using gibbs sampling.</w:t>
      </w:r>
      <w:r>
        <w:t xml:space="preserve"> </w:t>
      </w:r>
      <w:r>
        <w:rPr>
          <w:i/>
          <w:iCs/>
        </w:rPr>
        <w:t xml:space="preserve">Psychometrika</w:t>
      </w:r>
      <w:r>
        <w:t xml:space="preserve">,</w:t>
      </w:r>
      <w:r>
        <w:t xml:space="preserve"> </w:t>
      </w:r>
      <w:r>
        <w:rPr>
          <w:i/>
          <w:iCs/>
        </w:rPr>
        <w:t xml:space="preserve">66</w:t>
      </w:r>
      <w:r>
        <w:t xml:space="preserve">, 271–288.</w:t>
      </w:r>
      <w:r>
        <w:t xml:space="preserve"> </w:t>
      </w:r>
      <w:hyperlink r:id="rId88">
        <w:r>
          <w:rPr>
            <w:rStyle w:val="Hyperlink"/>
          </w:rPr>
          <w:t xml:space="preserve">https://doi.org/10.1007/BF02294839</w:t>
        </w:r>
      </w:hyperlink>
    </w:p>
    <w:bookmarkEnd w:id="89"/>
    <w:bookmarkStart w:id="90"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90"/>
    <w:bookmarkStart w:id="92"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91">
        <w:r>
          <w:rPr>
            <w:rStyle w:val="Hyperlink"/>
          </w:rPr>
          <w:t xml:space="preserve">http://link.springer.com/chapter/10.1007/978-3-322-80058-9_19</w:t>
        </w:r>
      </w:hyperlink>
    </w:p>
    <w:bookmarkEnd w:id="92"/>
    <w:bookmarkStart w:id="94"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93">
        <w:r>
          <w:rPr>
            <w:rStyle w:val="Hyperlink"/>
          </w:rPr>
          <w:t xml:space="preserve">https://doi.org/10.1080/073700242010500139</w:t>
        </w:r>
      </w:hyperlink>
    </w:p>
    <w:bookmarkEnd w:id="94"/>
    <w:bookmarkStart w:id="96"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95">
        <w:r>
          <w:rPr>
            <w:rStyle w:val="Hyperlink"/>
          </w:rPr>
          <w:t xml:space="preserve">https://doi.org/10.1177/109442819800100106</w:t>
        </w:r>
      </w:hyperlink>
    </w:p>
    <w:bookmarkEnd w:id="96"/>
    <w:bookmarkStart w:id="98"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97">
        <w:r>
          <w:rPr>
            <w:rStyle w:val="Hyperlink"/>
          </w:rPr>
          <w:t xml:space="preserve">https://doi.org/10.1007/s12369-016-0380-9</w:t>
        </w:r>
      </w:hyperlink>
    </w:p>
    <w:bookmarkEnd w:id="98"/>
    <w:bookmarkStart w:id="99"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99"/>
    <w:bookmarkStart w:id="101"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100">
        <w:r>
          <w:rPr>
            <w:rStyle w:val="Hyperlink"/>
          </w:rPr>
          <w:t xml:space="preserve">https://doi.org/10.1046/j.1525-1497.2001.016009606.x</w:t>
        </w:r>
      </w:hyperlink>
    </w:p>
    <w:bookmarkEnd w:id="101"/>
    <w:bookmarkStart w:id="102"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102"/>
    <w:bookmarkStart w:id="104"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03">
        <w:r>
          <w:rPr>
            <w:rStyle w:val="Hyperlink"/>
          </w:rPr>
          <w:t xml:space="preserve">https://doi.org/10.1037/met0000230</w:t>
        </w:r>
      </w:hyperlink>
    </w:p>
    <w:bookmarkEnd w:id="104"/>
    <w:bookmarkStart w:id="106"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05">
        <w:r>
          <w:rPr>
            <w:rStyle w:val="Hyperlink"/>
          </w:rPr>
          <w:t xml:space="preserve">https://doi.org/10.3758/s13428-011-0168-7</w:t>
        </w:r>
      </w:hyperlink>
    </w:p>
    <w:bookmarkEnd w:id="106"/>
    <w:bookmarkStart w:id="108"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07">
        <w:r>
          <w:rPr>
            <w:rStyle w:val="Hyperlink"/>
          </w:rPr>
          <w:t xml:space="preserve">https://doi.org/10.1016/j.cognition.2015.09.008</w:t>
        </w:r>
      </w:hyperlink>
    </w:p>
    <w:bookmarkEnd w:id="108"/>
    <w:bookmarkStart w:id="110"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09">
        <w:r>
          <w:rPr>
            <w:rStyle w:val="Hyperlink"/>
          </w:rPr>
          <w:t xml:space="preserve">https://doi.org/10.1111/j.1467-6494.1992.tb00976.x</w:t>
        </w:r>
      </w:hyperlink>
    </w:p>
    <w:bookmarkEnd w:id="110"/>
    <w:bookmarkStart w:id="111"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11"/>
    <w:bookmarkStart w:id="112"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12"/>
    <w:bookmarkStart w:id="114"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13">
        <w:r>
          <w:rPr>
            <w:rStyle w:val="Hyperlink"/>
          </w:rPr>
          <w:t xml:space="preserve">https://doi.org/10.3389/neuro.11.010.2008</w:t>
        </w:r>
      </w:hyperlink>
    </w:p>
    <w:bookmarkEnd w:id="114"/>
    <w:bookmarkStart w:id="116"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15">
        <w:r>
          <w:rPr>
            <w:rStyle w:val="Hyperlink"/>
          </w:rPr>
          <w:t xml:space="preserve">https://doi.org/10.1111/J.1745-3992.2000.TB00033.X</w:t>
        </w:r>
      </w:hyperlink>
    </w:p>
    <w:bookmarkEnd w:id="116"/>
    <w:bookmarkStart w:id="118"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17">
        <w:r>
          <w:rPr>
            <w:rStyle w:val="Hyperlink"/>
          </w:rPr>
          <w:t xml:space="preserve">https://purl.utwente.nl/essays/65768</w:t>
        </w:r>
      </w:hyperlink>
    </w:p>
    <w:bookmarkEnd w:id="118"/>
    <w:bookmarkStart w:id="119"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19"/>
    <w:bookmarkStart w:id="121" w:name="ref-Schmettow2021_multilevel"/>
    <w:p>
      <w:pPr>
        <w:pStyle w:val="Bibliography"/>
      </w:pPr>
      <w:r>
        <w:t xml:space="preserve">Schmettow, M. (2021a). Multilevel models. In</w:t>
      </w:r>
      <w:r>
        <w:t xml:space="preserve"> </w:t>
      </w:r>
      <w:r>
        <w:rPr>
          <w:i/>
          <w:iCs/>
        </w:rPr>
        <w:t xml:space="preserve">New statistics for design researchers</w:t>
      </w:r>
      <w:r>
        <w:t xml:space="preserve"> </w:t>
      </w:r>
      <w:r>
        <w:t xml:space="preserve">(pp. 267–322). Springer.</w:t>
      </w:r>
      <w:r>
        <w:t xml:space="preserve"> </w:t>
      </w:r>
      <w:hyperlink r:id="rId120">
        <w:r>
          <w:rPr>
            <w:rStyle w:val="Hyperlink"/>
          </w:rPr>
          <w:t xml:space="preserve">https://doi.org/10.1007/978-3-030-46380-9_6</w:t>
        </w:r>
      </w:hyperlink>
    </w:p>
    <w:bookmarkEnd w:id="121"/>
    <w:bookmarkStart w:id="123" w:name="ref-Schmettow2021"/>
    <w:p>
      <w:pPr>
        <w:pStyle w:val="Bibliography"/>
      </w:pPr>
      <w:r>
        <w:t xml:space="preserve">Schmettow, M. (2021b).</w:t>
      </w:r>
      <w:r>
        <w:t xml:space="preserve"> </w:t>
      </w:r>
      <w:r>
        <w:rPr>
          <w:i/>
          <w:iCs/>
        </w:rPr>
        <w:t xml:space="preserve">New statistics for design researchers</w:t>
      </w:r>
      <w:r>
        <w:t xml:space="preserve">. Springer International Publishing.</w:t>
      </w:r>
      <w:r>
        <w:t xml:space="preserve"> </w:t>
      </w:r>
      <w:hyperlink r:id="rId122">
        <w:r>
          <w:rPr>
            <w:rStyle w:val="Hyperlink"/>
          </w:rPr>
          <w:t xml:space="preserve">https://doi.org/10.1007/978-3-030-46380-9</w:t>
        </w:r>
      </w:hyperlink>
    </w:p>
    <w:bookmarkEnd w:id="123"/>
    <w:bookmarkStart w:id="124" w:name="ref-Schmettow2013s"/>
    <w:p>
      <w:pPr>
        <w:pStyle w:val="Bibliography"/>
      </w:pPr>
      <w:r>
        <w:t xml:space="preserve">Schmettow, M., &amp; Havinga, J. (2013). Are users more diverse than designs? Testing and extending a 25 years old claim . In S. Love, K. Hone, &amp; T. McEwan (Eds.),</w:t>
      </w:r>
      <w:r>
        <w:t xml:space="preserve"> </w:t>
      </w:r>
      <w:r>
        <w:rPr>
          <w:i/>
          <w:iCs/>
        </w:rPr>
        <w:t xml:space="preserve">Proceedings of BCS HCI 2013- the internet of things XXVII</w:t>
      </w:r>
      <w:r>
        <w:t xml:space="preserve">. BCS Learning; Development Ltd.</w:t>
      </w:r>
    </w:p>
    <w:bookmarkEnd w:id="124"/>
    <w:bookmarkStart w:id="125"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25"/>
    <w:bookmarkStart w:id="127"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26">
        <w:r>
          <w:rPr>
            <w:rStyle w:val="Hyperlink"/>
          </w:rPr>
          <w:t xml:space="preserve">http://essay.utwente.nl/72507/</w:t>
        </w:r>
      </w:hyperlink>
    </w:p>
    <w:bookmarkEnd w:id="127"/>
    <w:bookmarkStart w:id="128"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28"/>
    <w:bookmarkStart w:id="130"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29">
        <w:r>
          <w:rPr>
            <w:rStyle w:val="Hyperlink"/>
          </w:rPr>
          <w:t xml:space="preserve">https://doi.org/10.1016/j.ijhcs.2006.06.009</w:t>
        </w:r>
      </w:hyperlink>
    </w:p>
    <w:bookmarkEnd w:id="130"/>
    <w:bookmarkStart w:id="132"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31">
        <w:r>
          <w:rPr>
            <w:rStyle w:val="Hyperlink"/>
          </w:rPr>
          <w:t xml:space="preserve">https://doi.org/10.1016/j.ijhcs.2012.06.003</w:t>
        </w:r>
      </w:hyperlink>
    </w:p>
    <w:bookmarkEnd w:id="132"/>
    <w:bookmarkStart w:id="134"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33">
        <w:r>
          <w:rPr>
            <w:rStyle w:val="Hyperlink"/>
          </w:rPr>
          <w:t xml:space="preserve">https://doi.org/10.1080/14639220210123806</w:t>
        </w:r>
      </w:hyperlink>
    </w:p>
    <w:bookmarkEnd w:id="134"/>
    <w:bookmarkStart w:id="136"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35">
        <w:r>
          <w:rPr>
            <w:rStyle w:val="Hyperlink"/>
          </w:rPr>
          <w:t xml:space="preserve">https://CRAN.R-project.org/package=psych</w:t>
        </w:r>
      </w:hyperlink>
    </w:p>
    <w:bookmarkEnd w:id="136"/>
    <w:bookmarkStart w:id="138"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37">
        <w:r>
          <w:rPr>
            <w:rStyle w:val="Hyperlink"/>
          </w:rPr>
          <w:t xml:space="preserve">https://doi.org/10.1177/0013164413495237</w:t>
        </w:r>
      </w:hyperlink>
    </w:p>
    <w:bookmarkEnd w:id="138"/>
    <w:bookmarkEnd w:id="139"/>
    <w:bookmarkEnd w:id="1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126" Target="http://essay.utwente.nl/72507/" TargetMode="External" /><Relationship Type="http://schemas.openxmlformats.org/officeDocument/2006/relationships/hyperlink" Id="rId91" Target="http://link.springer.com/chapter/10.1007/978-3-322-80058-9_19" TargetMode="External" /><Relationship Type="http://schemas.openxmlformats.org/officeDocument/2006/relationships/hyperlink" Id="rId135" Target="https://CRAN.R-project.org/package=psych" TargetMode="External" /><Relationship Type="http://schemas.openxmlformats.org/officeDocument/2006/relationships/hyperlink" Id="rId77" Target="https://doi.org/10.1007/978-1-4757-3456-0" TargetMode="External" /><Relationship Type="http://schemas.openxmlformats.org/officeDocument/2006/relationships/hyperlink" Id="rId122" Target="https://doi.org/10.1007/978-3-030-46380-9" TargetMode="External" /><Relationship Type="http://schemas.openxmlformats.org/officeDocument/2006/relationships/hyperlink" Id="rId120" Target="https://doi.org/10.1007/978-3-030-46380-9_6" TargetMode="External" /><Relationship Type="http://schemas.openxmlformats.org/officeDocument/2006/relationships/hyperlink" Id="rId88" Target="https://doi.org/10.1007/BF02294839" TargetMode="External" /><Relationship Type="http://schemas.openxmlformats.org/officeDocument/2006/relationships/hyperlink" Id="rId83" Target="https://doi.org/10.1007/BF02310555" TargetMode="External" /><Relationship Type="http://schemas.openxmlformats.org/officeDocument/2006/relationships/hyperlink" Id="rId75" Target="https://doi.org/10.1007/s00779-024-01834-4" TargetMode="External" /><Relationship Type="http://schemas.openxmlformats.org/officeDocument/2006/relationships/hyperlink" Id="rId72" Target="https://doi.org/10.1007/s10519-007-9156-1" TargetMode="External" /><Relationship Type="http://schemas.openxmlformats.org/officeDocument/2006/relationships/hyperlink" Id="rId97" Target="https://doi.org/10.1007/s12369-016-0380-9" TargetMode="External" /><Relationship Type="http://schemas.openxmlformats.org/officeDocument/2006/relationships/hyperlink" Id="rId107" Target="https://doi.org/10.1016/j.cognition.2015.09.008" TargetMode="External" /><Relationship Type="http://schemas.openxmlformats.org/officeDocument/2006/relationships/hyperlink" Id="rId129" Target="https://doi.org/10.1016/j.ijhcs.2006.06.009" TargetMode="External" /><Relationship Type="http://schemas.openxmlformats.org/officeDocument/2006/relationships/hyperlink" Id="rId131" Target="https://doi.org/10.1016/j.ijhcs.2012.06.003" TargetMode="External" /><Relationship Type="http://schemas.openxmlformats.org/officeDocument/2006/relationships/hyperlink" Id="rId103" Target="https://doi.org/10.1037/met0000230" TargetMode="External" /><Relationship Type="http://schemas.openxmlformats.org/officeDocument/2006/relationships/hyperlink" Id="rId100" Target="https://doi.org/10.1046/j.1525-1497.2001.016009606.x" TargetMode="External" /><Relationship Type="http://schemas.openxmlformats.org/officeDocument/2006/relationships/hyperlink" Id="rId93" Target="https://doi.org/10.1080/073700242010500139" TargetMode="External" /><Relationship Type="http://schemas.openxmlformats.org/officeDocument/2006/relationships/hyperlink" Id="rId133" Target="https://doi.org/10.1080/14639220210123806" TargetMode="External" /><Relationship Type="http://schemas.openxmlformats.org/officeDocument/2006/relationships/hyperlink" Id="rId115" Target="https://doi.org/10.1111/J.1745-3992.2000.TB00033.X" TargetMode="External" /><Relationship Type="http://schemas.openxmlformats.org/officeDocument/2006/relationships/hyperlink" Id="rId109" Target="https://doi.org/10.1111/j.1467-6494.1992.tb00976.x" TargetMode="External" /><Relationship Type="http://schemas.openxmlformats.org/officeDocument/2006/relationships/hyperlink" Id="rId137" Target="https://doi.org/10.1177/0013164413495237" TargetMode="External" /><Relationship Type="http://schemas.openxmlformats.org/officeDocument/2006/relationships/hyperlink" Id="rId95" Target="https://doi.org/10.1177/109442819800100106" TargetMode="External" /><Relationship Type="http://schemas.openxmlformats.org/officeDocument/2006/relationships/hyperlink" Id="rId113" Target="https://doi.org/10.3389/neuro.11.010.2008" TargetMode="External" /><Relationship Type="http://schemas.openxmlformats.org/officeDocument/2006/relationships/hyperlink" Id="rId105" Target="https://doi.org/10.3758/s13428-011-0168-7" TargetMode="External" /><Relationship Type="http://schemas.openxmlformats.org/officeDocument/2006/relationships/hyperlink" Id="rId85" Target="https://doi.org/10.4324/9781410605269" TargetMode="External" /><Relationship Type="http://schemas.openxmlformats.org/officeDocument/2006/relationships/hyperlink" Id="rId81" Target="https://doi.org/10.7275/jyj1-4868" TargetMode="External" /><Relationship Type="http://schemas.openxmlformats.org/officeDocument/2006/relationships/hyperlink" Id="rId117"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26" Target="http://essay.utwente.nl/72507/" TargetMode="External" /><Relationship Type="http://schemas.openxmlformats.org/officeDocument/2006/relationships/hyperlink" Id="rId91" Target="http://link.springer.com/chapter/10.1007/978-3-322-80058-9_19" TargetMode="External" /><Relationship Type="http://schemas.openxmlformats.org/officeDocument/2006/relationships/hyperlink" Id="rId135" Target="https://CRAN.R-project.org/package=psych" TargetMode="External" /><Relationship Type="http://schemas.openxmlformats.org/officeDocument/2006/relationships/hyperlink" Id="rId77" Target="https://doi.org/10.1007/978-1-4757-3456-0" TargetMode="External" /><Relationship Type="http://schemas.openxmlformats.org/officeDocument/2006/relationships/hyperlink" Id="rId122" Target="https://doi.org/10.1007/978-3-030-46380-9" TargetMode="External" /><Relationship Type="http://schemas.openxmlformats.org/officeDocument/2006/relationships/hyperlink" Id="rId120" Target="https://doi.org/10.1007/978-3-030-46380-9_6" TargetMode="External" /><Relationship Type="http://schemas.openxmlformats.org/officeDocument/2006/relationships/hyperlink" Id="rId88" Target="https://doi.org/10.1007/BF02294839" TargetMode="External" /><Relationship Type="http://schemas.openxmlformats.org/officeDocument/2006/relationships/hyperlink" Id="rId83" Target="https://doi.org/10.1007/BF02310555" TargetMode="External" /><Relationship Type="http://schemas.openxmlformats.org/officeDocument/2006/relationships/hyperlink" Id="rId75" Target="https://doi.org/10.1007/s00779-024-01834-4" TargetMode="External" /><Relationship Type="http://schemas.openxmlformats.org/officeDocument/2006/relationships/hyperlink" Id="rId72" Target="https://doi.org/10.1007/s10519-007-9156-1" TargetMode="External" /><Relationship Type="http://schemas.openxmlformats.org/officeDocument/2006/relationships/hyperlink" Id="rId97" Target="https://doi.org/10.1007/s12369-016-0380-9" TargetMode="External" /><Relationship Type="http://schemas.openxmlformats.org/officeDocument/2006/relationships/hyperlink" Id="rId107" Target="https://doi.org/10.1016/j.cognition.2015.09.008" TargetMode="External" /><Relationship Type="http://schemas.openxmlformats.org/officeDocument/2006/relationships/hyperlink" Id="rId129" Target="https://doi.org/10.1016/j.ijhcs.2006.06.009" TargetMode="External" /><Relationship Type="http://schemas.openxmlformats.org/officeDocument/2006/relationships/hyperlink" Id="rId131" Target="https://doi.org/10.1016/j.ijhcs.2012.06.003" TargetMode="External" /><Relationship Type="http://schemas.openxmlformats.org/officeDocument/2006/relationships/hyperlink" Id="rId103" Target="https://doi.org/10.1037/met0000230" TargetMode="External" /><Relationship Type="http://schemas.openxmlformats.org/officeDocument/2006/relationships/hyperlink" Id="rId100" Target="https://doi.org/10.1046/j.1525-1497.2001.016009606.x" TargetMode="External" /><Relationship Type="http://schemas.openxmlformats.org/officeDocument/2006/relationships/hyperlink" Id="rId93" Target="https://doi.org/10.1080/073700242010500139" TargetMode="External" /><Relationship Type="http://schemas.openxmlformats.org/officeDocument/2006/relationships/hyperlink" Id="rId133" Target="https://doi.org/10.1080/14639220210123806" TargetMode="External" /><Relationship Type="http://schemas.openxmlformats.org/officeDocument/2006/relationships/hyperlink" Id="rId115" Target="https://doi.org/10.1111/J.1745-3992.2000.TB00033.X" TargetMode="External" /><Relationship Type="http://schemas.openxmlformats.org/officeDocument/2006/relationships/hyperlink" Id="rId109" Target="https://doi.org/10.1111/j.1467-6494.1992.tb00976.x" TargetMode="External" /><Relationship Type="http://schemas.openxmlformats.org/officeDocument/2006/relationships/hyperlink" Id="rId137" Target="https://doi.org/10.1177/0013164413495237" TargetMode="External" /><Relationship Type="http://schemas.openxmlformats.org/officeDocument/2006/relationships/hyperlink" Id="rId95" Target="https://doi.org/10.1177/109442819800100106" TargetMode="External" /><Relationship Type="http://schemas.openxmlformats.org/officeDocument/2006/relationships/hyperlink" Id="rId113" Target="https://doi.org/10.3389/neuro.11.010.2008" TargetMode="External" /><Relationship Type="http://schemas.openxmlformats.org/officeDocument/2006/relationships/hyperlink" Id="rId105" Target="https://doi.org/10.3758/s13428-011-0168-7" TargetMode="External" /><Relationship Type="http://schemas.openxmlformats.org/officeDocument/2006/relationships/hyperlink" Id="rId85" Target="https://doi.org/10.4324/9781410605269" TargetMode="External" /><Relationship Type="http://schemas.openxmlformats.org/officeDocument/2006/relationships/hyperlink" Id="rId81" Target="https://doi.org/10.7275/jyj1-4868" TargetMode="External" /><Relationship Type="http://schemas.openxmlformats.org/officeDocument/2006/relationships/hyperlink" Id="rId117"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2025-09-26T10:03:57Z</dcterms:created>
  <dcterms:modified xsi:type="dcterms:W3CDTF">2025-09-26T10:03:57Z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