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0.png" ContentType="image/png"/>
  <Override PartName="/word/media/rId58.png" ContentType="image/png"/>
  <Override PartName="/word/media/rId62.png" ContentType="image/png"/>
  <Override PartName="/word/media/rId46.png" ContentType="image/png"/>
  <Override PartName="/word/media/rId5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effective rating scales is a methodologically rigorous endeavor. Psychometrics,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w:t>
      </w:r>
      <w:r>
        <w:t xml:space="preserve"> </w:t>
      </w:r>
      <w:r>
        <w:t xml:space="preserve">Bargas-Avila &amp; Hornbæk (2011)</w:t>
      </w:r>
      <w:r>
        <w:t xml:space="preserve"> </w:t>
      </w:r>
      <w:r>
        <w:t xml:space="preserve">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argument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used in traditional psychometric analyses.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schools of thought provide the theoretical framework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bookmarkStart w:id="20" w:name="item-selection-and-scale-development"/>
    <w:p>
      <w:pPr>
        <w:pStyle w:val="Heading3"/>
      </w:pPr>
      <w:r>
        <w:t xml:space="preserve">Item Selection and Scale Development</w:t>
      </w:r>
    </w:p>
    <w:p>
      <w:pPr>
        <w:pStyle w:val="FirstParagraph"/>
      </w:pPr>
      <w:r>
        <w:t xml:space="preserve">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 In practice, this is achieved by using sets of items.</w:t>
      </w:r>
    </w:p>
    <w:p>
      <w:pPr>
        <w:pStyle w:val="BodyText"/>
      </w:pPr>
      <w:r>
        <w:t xml:space="preserve">Multi-item 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p>
      <w:pPr>
        <w:pStyle w:val="BodyText"/>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As an examnple, the Five-Factor Model proposes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often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modern resampling techniques can be used to identify the optimal number of factors</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Sample size must at least match the number of free parameters in the analytic model to ensure identifyability, but in practice this is usually not suficient</w:t>
      </w:r>
      <w:r>
        <w:t xml:space="preserve"> </w:t>
      </w:r>
      <w:r>
        <w:t xml:space="preserve">(Bollen, 1990)</w:t>
      </w:r>
      <w:r>
        <w:t xml:space="preserve">.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can be used to identify suitable subscales. However, these procedures are sample-dependent, with solutions potentially capitalizing on chance or researchers’ degrees of freedom</w:t>
      </w:r>
      <w:r>
        <w:t xml:space="preserve"> </w:t>
      </w:r>
      <w:r>
        <w:t xml:space="preserve">(Simmons et al., 2011)</w:t>
      </w:r>
      <w:r>
        <w:t xml:space="preserve">.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psychometric tools take flat response matrices as input and are unfit to process higher-dimensional data.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to put psychometric tools to use. By averaging over Person, a two-dimensional response matrix can be constructed from a designometric box.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 scale evaluation,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measurement can take from several minutes to hours and a complete experimental design with every possible encounter becomes impractical. A way to mitigate this problem is to use</w:t>
      </w:r>
      <w:r>
        <w:t xml:space="preserve"> </w:t>
      </w:r>
      <w:r>
        <w:rPr>
          <w:i/>
          <w:iCs/>
        </w:rPr>
        <w:t xml:space="preserve">planned incomplete</w:t>
      </w:r>
      <w:r>
        <w:t xml:space="preserve"> </w:t>
      </w:r>
      <w:r>
        <w:t xml:space="preserve">experimental designs.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standard terminology in psychometric tools may still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aesthetics.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(2017)</w:t>
      </w:r>
      <w:r>
        <w:t xml:space="preserve"> </w:t>
      </w:r>
      <w:r>
        <w:t xml:space="preserve">validating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existing instrument is used in practice to take measures on a single design. The result will inevitable look like a psychometric response matrix and, given that publication rules often require to report test reliability, it may be tempting for the researcher to run a psychometric test.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when the design sample bears little variance with respect to the property in question. In the following simulation, we assume that the Coolness scale has been tested on a sample of 50 premium law firm home pages and 50 participants of various ages and social background.</w:t>
      </w:r>
    </w:p>
    <w:p>
      <w:pPr>
        <w:pStyle w:val="BodyText"/>
      </w:pPr>
      <w:r>
        <w:t xml:space="preserve">The simulation uses zero-centered Normal distributions to draw the parameters for 20 design, 20 participant and 4 items. Subsequently these are combined into responses</w:t>
      </w:r>
      <w:r>
        <w:t xml:space="preserve"> </w:t>
      </w:r>
      <m:oMath>
        <m:r>
          <m:t>R</m:t>
        </m:r>
        <m:r>
          <m:rPr>
            <m:sty m:val="p"/>
          </m:rPr>
          <m:t>=</m:t>
        </m:r>
        <m:r>
          <m:t>D</m:t>
        </m:r>
        <m:r>
          <m:rPr>
            <m:sty m:val="p"/>
          </m:rPr>
          <m:t>+</m:t>
        </m:r>
        <m:r>
          <m:t>P</m:t>
        </m:r>
        <m:r>
          <m:rPr>
            <m:sty m:val="p"/>
          </m:rPr>
          <m:t>−</m:t>
        </m:r>
        <m:r>
          <m:t>I</m:t>
        </m:r>
      </m:oMath>
      <w:r>
        <w:t xml:space="preserve"> </w:t>
      </w:r>
      <w:r>
        <w:t xml:space="preserve">with some extra noise (</w:t>
      </w:r>
      <m:oMath>
        <m:sSub>
          <m:e>
            <m:r>
              <m:t>σ</m:t>
            </m:r>
          </m:e>
          <m:sub>
            <m:r>
              <m:rPr>
                <m:nor/>
                <m:sty m:val="p"/>
              </m:rPr>
              <m:t>Part</m:t>
            </m:r>
          </m:sub>
        </m:sSub>
        <m:r>
          <m:rPr>
            <m:sty m:val="p"/>
          </m:rPr>
          <m:t>=</m:t>
        </m:r>
        <m:r>
          <m:t>.5</m:t>
        </m:r>
      </m:oMath>
      <w:r>
        <w:t xml:space="preserve">).</w:t>
      </w:r>
      <w:r>
        <w:t xml:space="preserve"> </w:t>
      </w:r>
      <w:r>
        <w:t xml:space="preserve">The key here is that items and participants vary strongly in their appreciation of Coolness (</w:t>
      </w:r>
      <m:oMath>
        <m:sSub>
          <m:e>
            <m:r>
              <m:t>σ</m:t>
            </m:r>
          </m:e>
          <m:sub>
            <m:r>
              <m:rPr>
                <m:nor/>
                <m:sty m:val="p"/>
              </m:rPr>
              <m:t>Part</m:t>
            </m:r>
          </m:sub>
        </m:sSub>
        <m:r>
          <m:rPr>
            <m:sty m:val="p"/>
          </m:rPr>
          <m:t>=</m:t>
        </m:r>
        <m:sSub>
          <m:e>
            <m:r>
              <m:t>σ</m:t>
            </m:r>
          </m:e>
          <m:sub>
            <m:r>
              <m:rPr>
                <m:nor/>
                <m:sty m:val="p"/>
              </m:rPr>
              <m:t>Item</m:t>
            </m:r>
          </m:sub>
        </m:sSub>
        <m:r>
          <m:rPr>
            <m:sty m:val="p"/>
          </m:rPr>
          <m:t>=</m:t>
        </m:r>
        <m:r>
          <m:t>.2</m:t>
        </m:r>
      </m:oMath>
      <w:r>
        <w:t xml:space="preserve">), whereas the sample of designs varies much less in Coolness (</w:t>
      </w:r>
      <m:oMath>
        <m:sSub>
          <m:e>
            <m:r>
              <m:t>σ</m:t>
            </m:r>
          </m:e>
          <m:sub>
            <m:r>
              <m:rPr>
                <m:nor/>
                <m:sty m:val="p"/>
              </m:rPr>
              <m:t>Design</m:t>
            </m:r>
          </m:sub>
        </m:sSub>
        <m:r>
          <m:rPr>
            <m:sty m:val="p"/>
          </m:rPr>
          <m:t>=</m:t>
        </m:r>
        <m:r>
          <m:t>.05</m:t>
        </m:r>
      </m:oMath>
      <w: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0.61</w:t>
            </w:r>
          </w:p>
        </w:tc>
        <w:tc>
          <w:tcPr/>
          <w:p>
            <w:pPr>
              <w:pStyle w:val="Compact"/>
              <w:jc w:val="right"/>
            </w:pPr>
            <w:r>
              <w:t xml:space="preserve">0.24</w:t>
            </w:r>
          </w:p>
        </w:tc>
        <w:tc>
          <w:tcPr/>
          <w:p>
            <w:pPr>
              <w:pStyle w:val="Compact"/>
              <w:jc w:val="right"/>
            </w:pPr>
            <w:r>
              <w:t xml:space="preserve">0.81</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w:t>
            </w:r>
          </w:p>
        </w:tc>
        <w:tc>
          <w:tcPr/>
          <w:p>
            <w:pPr>
              <w:pStyle w:val="Compact"/>
              <w:jc w:val="right"/>
            </w:pPr>
            <w:r>
              <w:t xml:space="preserve">0.86</w:t>
            </w:r>
          </w:p>
        </w:tc>
        <w:tc>
          <w:tcPr/>
          <w:p>
            <w:pPr>
              <w:pStyle w:val="Compact"/>
              <w:jc w:val="right"/>
            </w:pPr>
            <w:r>
              <w:t xml:space="preserve">0.96</w:t>
            </w:r>
          </w:p>
        </w:tc>
      </w:tr>
    </w:tbl>
    <w:p>
      <w:pPr>
        <w:pStyle w:val="BodyText"/>
      </w:pPr>
      <w:r>
        <w:t xml:space="preserve">This simple example demonstrates that psychometric reliability (person sensitivity) can be excellent (</w:t>
      </w:r>
      <m:oMath>
        <m:r>
          <m:t>.93</m:t>
        </m:r>
      </m:oMath>
      <w:r>
        <w:t xml:space="preserve">, see</w:t>
      </w:r>
      <w:r>
        <w:t xml:space="preserve"> </w:t>
      </w:r>
      <w:r>
        <w:t xml:space="preserve">(</w:t>
      </w:r>
      <w:r>
        <w:rPr>
          <w:b/>
          <w:bCs/>
        </w:rPr>
        <w:t xml:space="preserve">tab-simulated-reliability?</w:t>
      </w:r>
      <w:r>
        <w:t xml:space="preserve">)</w:t>
      </w:r>
      <w:r>
        <w:t xml:space="preserve">), whereas designometric reliability is poor (</w:t>
      </w:r>
      <m:oMath>
        <m:r>
          <m:t>.60</m:t>
        </m:r>
      </m:oMath>
      <w:r>
        <w:t xml:space="preserve">). Under the psychometric fallacy it is possible that excellent reliability is reported, while it is actually very poor. In the following study we examine how severe the psychometric fallacy is in real practice.</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which were originally testing original hypotheses on User Experience and Human-Robot Interaction (</w:t>
      </w:r>
      <w:r>
        <w:t xml:space="preserve">(</w:t>
      </w:r>
      <w:r>
        <w:rPr>
          <w:b/>
          <w:bCs/>
        </w:rPr>
        <w:t xml:space="preserve">tab-data-summary?</w:t>
      </w:r>
      <w:r>
        <w:t xml:space="preserve">)</w:t>
      </w:r>
      <w:r>
        <w:t xml:space="preserve">). What was common is that data was obtained in complete designometric encounters, with large samples of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pct" w:w="5000"/>
        <w:tblLayout w:type="fixed"/>
        <w:tblLook w:firstRow="1" w:lastRow="0" w:firstColumn="0" w:lastColumn="0" w:noHBand="0" w:noVBand="0" w:val="0020"/>
      </w:tblPr>
      <w:tblGrid>
        <w:gridCol w:w="650"/>
        <w:gridCol w:w="1627"/>
        <w:gridCol w:w="976"/>
        <w:gridCol w:w="867"/>
        <w:gridCol w:w="759"/>
        <w:gridCol w:w="650"/>
        <w:gridCol w:w="1084"/>
        <w:gridCol w:w="130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c>
          <w:tcPr/>
          <w:p>
            <w:pPr>
              <w:pStyle w:val="Compact"/>
              <w:jc w:val="left"/>
            </w:pPr>
            <w:r>
              <w:t xml:space="preserve">Designs</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c>
          <w:tcPr/>
          <w:p>
            <w:pPr>
              <w:pStyle w:val="Compact"/>
              <w:jc w:val="left"/>
            </w:pPr>
            <w:r>
              <w:t xml:space="preserve">Robot faces</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c>
          <w:tcPr/>
          <w:p>
            <w:pPr>
              <w:pStyle w:val="Compact"/>
              <w:jc w:val="left"/>
            </w:pPr>
            <w:r>
              <w:t xml:space="preserve">Robot faces</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c>
          <w:tcPr/>
          <w:p>
            <w:pPr>
              <w:pStyle w:val="Compact"/>
              <w:jc w:val="left"/>
            </w:pPr>
            <w:r>
              <w:t xml:space="preserve">Robot faces</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in</w:t>
      </w:r>
      <w:r>
        <w:t xml:space="preserve"> </w:t>
      </w:r>
      <w:r>
        <w:t xml:space="preserve">Nazareth &amp; Schmettow (2014)</w:t>
      </w:r>
      <w:r>
        <w:t xml:space="preserve"> </w:t>
      </w:r>
      <w:r>
        <w:t xml:space="preserve">were taken from the short version of AttrakDiff2, but will be considered separately in this analysis.</w:t>
      </w:r>
    </w:p>
    <w:p>
      <w:pPr>
        <w:numPr>
          <w:ilvl w:val="0"/>
          <w:numId w:val="1001"/>
        </w:numPr>
      </w:pPr>
      <w:r>
        <w:t xml:space="preserve">Nazareth &amp; Schmettow (2014)</w:t>
      </w:r>
      <w:r>
        <w:t xml:space="preserve"> </w:t>
      </w:r>
      <w:r>
        <w:t xml:space="preserve">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Nazareth &amp; Schmettow (2014)</w:t>
      </w:r>
      <w:r>
        <w:t xml:space="preserve"> </w:t>
      </w:r>
      <w:r>
        <w:t xml:space="preserve">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25 and 45 and a strong over-representation of university-level Social Scienes students and associated circles.</w:t>
      </w:r>
    </w:p>
    <w:bookmarkEnd w:id="33"/>
    <w:bookmarkStart w:id="34" w:name="data-analysis"/>
    <w:p>
      <w:pPr>
        <w:pStyle w:val="Heading2"/>
      </w:pPr>
      <w:r>
        <w:t xml:space="preserve">Data Analysis</w:t>
      </w:r>
    </w:p>
    <w:p>
      <w:pPr>
        <w:pStyle w:val="FirstParagraph"/>
      </w:pPr>
      <w:r>
        <w:t xml:space="preserve">Goal of the analysis is to examine in what ways the psychometric fallacy compromises the evaluation of rating scales. For this purpose, the data sets were separately collapsed into psychometric and designometric response matrices. Subsequently, three basic psychometric techniques were applied to both perspectives and compared: Scale reliability, item consistency and number of factors.</w:t>
      </w:r>
    </w:p>
    <w:p>
      <w:pPr>
        <w:pStyle w:val="BodyText"/>
      </w:pPr>
      <w:r>
        <w:t xml:space="preserve">For the computation, using functions from the well-established R package Psych</w:t>
      </w:r>
      <w:r>
        <w:t xml:space="preserve"> </w:t>
      </w:r>
      <w:r>
        <w:t xml:space="preserve">(William Revelle, 2025)</w:t>
      </w:r>
      <w:r>
        <w:t xml:space="preserve">.</w:t>
      </w:r>
      <w:r>
        <w:t xml:space="preserve"> </w:t>
      </w:r>
      <w:r>
        <w:rPr>
          <w:i/>
          <w:iCs/>
        </w:rPr>
        <w:t xml:space="preserve">Scale reliability</w:t>
      </w:r>
      <w:r>
        <w:t xml:space="preserve"> </w:t>
      </w:r>
      <w:r>
        <w:t xml:space="preserve">and</w:t>
      </w:r>
      <w:r>
        <w:t xml:space="preserve"> </w:t>
      </w:r>
      <w:r>
        <w:rPr>
          <w:i/>
          <w:iCs/>
        </w:rPr>
        <w:t xml:space="preserve">item consistency</w:t>
      </w:r>
      <w:r>
        <w:t xml:space="preserve"> </w:t>
      </w:r>
      <w:r>
        <w:t xml:space="preserve">evaluations were conducted using Cronbach</w:t>
      </w:r>
      <w:r>
        <w:t xml:space="preserve"> </w:t>
      </w:r>
      <m:oMath>
        <m:r>
          <m:t>α</m:t>
        </m:r>
      </m:oMath>
      <w:r>
        <w:t xml:space="preserve"> </w:t>
      </w:r>
      <w:r>
        <w:t xml:space="preserve">and corrected item-total correlations as produced by</w:t>
      </w:r>
      <w:r>
        <w:t xml:space="preserve"> </w:t>
      </w:r>
      <w:r>
        <w:rPr>
          <w:rStyle w:val="VerbatimChar"/>
        </w:rPr>
        <w:t xml:space="preserve">psych::alpha</w:t>
      </w:r>
      <w:r>
        <w:t xml:space="preserv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4"/>
    <w:bookmarkEnd w:id="35"/>
    <w:bookmarkStart w:id="67"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p>
      <w:pPr>
        <w:pStyle w:val="BodyText"/>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5"/>
    <w:bookmarkStart w:id="66"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The Eeriness scale is part of a larger Godspeed Index inventory and is supposed to represent a single latent variable. In contrast, ((MacDorman))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r>
        <w:t xml:space="preserve"> </w:t>
      </w:r>
      <w:r>
        <w:t xml:space="preserve">The results in</w:t>
      </w:r>
      <w:r>
        <w:t xml:space="preserve"> </w:t>
      </w:r>
      <w:r>
        <w:rPr>
          <w:b/>
          <w:bCs/>
        </w:rPr>
        <w:t xml:space="preserve">?@fig-nfactors-eer</w:t>
      </w:r>
      <w:r>
        <w:t xml:space="preserve"> </w:t>
      </w:r>
      <w:r>
        <w:t xml:space="preserve">show that for both perspectives the eigenvalue drops below One with two a two factor solution, confirming that the scale is unidimensional.</w:t>
      </w:r>
    </w:p>
    <w:tbl>
      <w:tblPr>
        <w:tblStyle w:val="Table"/>
        <w:tblW w:type="pct" w:w="5000"/>
        <w:tblLayout w:type="fixed"/>
        <w:tblLook w:firstRow="0" w:lastRow="0" w:firstColumn="0" w:lastColumn="0" w:noHBand="0" w:noVBand="0" w:val="0000"/>
      </w:tblPr>
      <w:tblGrid>
        <w:gridCol w:w="7920"/>
      </w:tblGrid>
      <w:tr>
        <w:tc>
          <w:tcPr/>
          <w:bookmarkStart w:id="49" w:name="fig-nfactors-eeriness"/>
          <w:p>
            <w:pPr>
              <w:pStyle w:val="Compact"/>
              <w:jc w:val="center"/>
            </w:pPr>
            <w:r>
              <w:drawing>
                <wp:inline>
                  <wp:extent cx="4620126" cy="3696101"/>
                  <wp:effectExtent b="0" l="0" r="0" t="0"/>
                  <wp:docPr descr="" title="" id="47" name="Picture"/>
                  <a:graphic>
                    <a:graphicData uri="http://schemas.openxmlformats.org/drawingml/2006/picture">
                      <pic:pic>
                        <pic:nvPicPr>
                          <pic:cNvPr descr="DMX_1_files/figure-docx/fig-nfactors-eerine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factors under designometric and psychometric perspectives for the Eeriness scale using parallel analysis</w:t>
            </w:r>
          </w:p>
          <w:bookmarkEnd w:id="49"/>
        </w:tc>
      </w:tr>
    </w:tbl>
    <w:p>
      <w:pPr>
        <w:pStyle w:val="BodyText"/>
      </w:pPr>
      <w:r>
        <w:t xml:space="preserve">On theoretical grounds, the AttrakDiff2 inventory splits hedonistic quality into two components, Identity and Stimulation, while the credibility scale is a completely separate construct. We would expect three factors to emerge. As</w:t>
      </w:r>
      <w:r>
        <w:t xml:space="preserve"> </w:t>
      </w:r>
      <w:hyperlink w:anchor="fig-nfactors-att">
        <w:r>
          <w:rPr>
            <w:rStyle w:val="Hyperlink"/>
          </w:rPr>
          <w:t xml:space="preserve">Figure 4</w:t>
        </w:r>
      </w:hyperlink>
      <w:r>
        <w:t xml:space="preserve"> </w:t>
      </w:r>
      <w:r>
        <w:t xml:space="preserve">shows the two perspectives deviate in opposite directions: For the psychometric perspective, the eigenvalues drop below their simulated counterparts at two factors, whereas for the designometric perspective stays above this line with five factors.</w:t>
      </w:r>
    </w:p>
    <w:p>
      <w:pPr>
        <w:pStyle w:val="BodyText"/>
      </w:pPr>
      <w:r>
        <w:t xml:space="preserve">a designometric perspective, the three scales have five underlying factors, but only one under psychometric (</w:t>
      </w:r>
      <w:hyperlink w:anchor="fig-nfactors-at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3" w:name="fig-nfactors-att"/>
          <w:p>
            <w:pPr>
              <w:pStyle w:val="Compact"/>
              <w:jc w:val="center"/>
            </w:pPr>
            <w:r>
              <w:drawing>
                <wp:inline>
                  <wp:extent cx="4620126" cy="3696101"/>
                  <wp:effectExtent b="0" l="0" r="0" t="0"/>
                  <wp:docPr descr="" title="" id="51" name="Picture"/>
                  <a:graphic>
                    <a:graphicData uri="http://schemas.openxmlformats.org/drawingml/2006/picture">
                      <pic:pic>
                        <pic:nvPicPr>
                          <pic:cNvPr descr="DMX_1_files/figure-docx/fig-nfactors-at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factors under designometric and psychometric perspectives for the AttrakDiff inventory using parallel analysis</w:t>
            </w:r>
          </w:p>
          <w:bookmarkEnd w:id="53"/>
        </w:tc>
      </w:tr>
    </w:tbl>
    <w:p>
      <w:pPr>
        <w:pStyle w:val="BodyText"/>
      </w:pPr>
      <w:r>
        <w:t xml:space="preserve">Finally, in study DN three independent scales, Hedonism, Usability and Beauty, were used und we expect three factors. In contrast, the eigenvalues drop below even the simulated eigenvalues with two factors, suggesting that the same latent variable is captured by all three scales under both perspectives (</w:t>
      </w:r>
      <w:hyperlink w:anchor="fig-nfactors-hub">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nfactors-hub"/>
          <w:p>
            <w:pPr>
              <w:pStyle w:val="Compact"/>
              <w:jc w:val="center"/>
            </w:pPr>
            <w:r>
              <w:drawing>
                <wp:inline>
                  <wp:extent cx="4620126" cy="3696101"/>
                  <wp:effectExtent b="0" l="0" r="0" t="0"/>
                  <wp:docPr descr="" title="" id="55" name="Picture"/>
                  <a:graphic>
                    <a:graphicData uri="http://schemas.openxmlformats.org/drawingml/2006/picture">
                      <pic:pic>
                        <pic:nvPicPr>
                          <pic:cNvPr descr="DMX_1_files/figure-docx/fig-nfactors-hub-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factors for Hedonic value, Usability and Beauty using parallel analysis</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nfactors-attrakdiff-1"/>
          <w:p>
            <w:pPr>
              <w:pStyle w:val="Compact"/>
              <w:jc w:val="center"/>
            </w:pPr>
            <w:r>
              <w:drawing>
                <wp:inline>
                  <wp:extent cx="5334000" cy="5334000"/>
                  <wp:effectExtent b="0" l="0" r="0" t="0"/>
                  <wp:docPr descr="" title="" id="59" name="Picture"/>
                  <a:graphic>
                    <a:graphicData uri="http://schemas.openxmlformats.org/drawingml/2006/picture">
                      <pic:pic>
                        <pic:nvPicPr>
                          <pic:cNvPr descr="DMX_1_files/figure-docx/fig-nfactors-attrakdiff-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Suggested number of factors for the Eeriness scale compared by perspective</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nfactors-attrakdiff-2"/>
          <w:p>
            <w:pPr>
              <w:pStyle w:val="Compact"/>
              <w:jc w:val="center"/>
            </w:pPr>
            <w:r>
              <w:drawing>
                <wp:inline>
                  <wp:extent cx="5334000" cy="5334000"/>
                  <wp:effectExtent b="0" l="0" r="0" t="0"/>
                  <wp:docPr descr="" title="" id="63" name="Picture"/>
                  <a:graphic>
                    <a:graphicData uri="http://schemas.openxmlformats.org/drawingml/2006/picture">
                      <pic:pic>
                        <pic:nvPicPr>
                          <pic:cNvPr descr="DMX_1_files/figure-docx/fig-nfactors-attrakdiff-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Suggested number of factors for the Eeriness scale compared by perspective</w:t>
            </w:r>
          </w:p>
          <w:bookmarkEnd w:id="65"/>
        </w:tc>
      </w:tr>
    </w:tbl>
    <w:bookmarkEnd w:id="66"/>
    <w:bookmarkEnd w:id="67"/>
    <w:bookmarkStart w:id="72"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With data from five experiments we showed that the psychometric fallacy is real and produces biases across the board, sometimes dramatic. In many cases, scale reliability is very different between the two perspectives, with designometric reliability being generally higher. Item consistency is also strongly affected, with some items becoming negatively correlated under the psychometric perspective.</w:t>
      </w:r>
    </w:p>
    <w:p>
      <w:pPr>
        <w:pStyle w:val="BodyText"/>
      </w:pPr>
      <w:r>
        <w:t xml:space="preserve">The two Hedonism scales from AttrakDiff and the Credibility scale showed an extreme pattern, where the majority of items remained relatively stable, whereas two items switched from poor reliability to excellent reliability under psychometric perspective. With these patterns in mind, it is almost not surprising that factor analysis can also produce quite different results. Most strikingly, under dmx not a single result matched the theoretical expectations.</w:t>
      </w:r>
    </w:p>
    <w:p>
      <w:pPr>
        <w:pStyle w:val="BodyText"/>
      </w:pPr>
      <w:r>
        <w:t xml:space="preserve">The Eeriness scale is generally less affected by the fallacy. It shows decent reliability under both perspectives and is unidimensional.</w:t>
      </w:r>
    </w:p>
    <w:bookmarkStart w:id="68"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under pmx, but extremely poor under dmx. This shows that developing a dmx scale under pmx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8"/>
    <w:bookmarkStart w:id="69"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9"/>
    <w:bookmarkStart w:id="70" w:name="future-applications"/>
    <w:p>
      <w:pPr>
        <w:pStyle w:val="Heading2"/>
      </w:pPr>
      <w:r>
        <w:t xml:space="preserve">Future 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70"/>
    <w:bookmarkStart w:id="71"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(pmx) or differences in designs (dmx),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bookmarkEnd w:id="71"/>
    <w:bookmarkEnd w:id="72"/>
    <w:bookmarkStart w:id="148" w:name="references"/>
    <w:p>
      <w:pPr>
        <w:pStyle w:val="Heading1"/>
      </w:pPr>
      <w:r>
        <w:t xml:space="preserve">References</w:t>
      </w:r>
    </w:p>
    <w:bookmarkStart w:id="147" w:name="refs"/>
    <w:bookmarkStart w:id="73"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3"/>
    <w:bookmarkStart w:id="75" w:name="ref-Bargas-Avila2011"/>
    <w:p>
      <w:pPr>
        <w:pStyle w:val="Bibliography"/>
      </w:pPr>
      <w:r>
        <w:t xml:space="preserve">Bargas-Avila, J. A., &amp; Hornbæk, K. (2011). Old wine in new bottles or novel challenges.</w:t>
      </w:r>
      <w:r>
        <w:t xml:space="preserve"> </w:t>
      </w:r>
      <w:r>
        <w:rPr>
          <w:i/>
          <w:iCs/>
        </w:rPr>
        <w:t xml:space="preserve">Proceedings of the SIGCHI Conference on Human Factors in Computing Systems</w:t>
      </w:r>
      <w:r>
        <w:t xml:space="preserve">, 2689–2698.</w:t>
      </w:r>
      <w:r>
        <w:t xml:space="preserve"> </w:t>
      </w:r>
      <w:hyperlink r:id="rId74">
        <w:r>
          <w:rPr>
            <w:rStyle w:val="Hyperlink"/>
          </w:rPr>
          <w:t xml:space="preserve">https://doi.org/10.1145/1978942.1979336</w:t>
        </w:r>
      </w:hyperlink>
    </w:p>
    <w:bookmarkEnd w:id="75"/>
    <w:bookmarkStart w:id="77"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6">
        <w:r>
          <w:rPr>
            <w:rStyle w:val="Hyperlink"/>
          </w:rPr>
          <w:t xml:space="preserve">https://doi.org/10.1007/s10519-007-9156-1</w:t>
        </w:r>
      </w:hyperlink>
    </w:p>
    <w:bookmarkEnd w:id="77"/>
    <w:bookmarkStart w:id="78" w:name="ref-Bollen1990"/>
    <w:p>
      <w:pPr>
        <w:pStyle w:val="Bibliography"/>
      </w:pPr>
      <w:r>
        <w:t xml:space="preserve">Bollen, K. A. (1990). Overall fit in covariance structure models: Two types of sample size effects.</w:t>
      </w:r>
      <w:r>
        <w:t xml:space="preserve"> </w:t>
      </w:r>
      <w:r>
        <w:rPr>
          <w:i/>
          <w:iCs/>
        </w:rPr>
        <w:t xml:space="preserve">Psychological Bulletin</w:t>
      </w:r>
      <w:r>
        <w:t xml:space="preserve">,</w:t>
      </w:r>
      <w:r>
        <w:t xml:space="preserve"> </w:t>
      </w:r>
      <w:r>
        <w:rPr>
          <w:i/>
          <w:iCs/>
        </w:rPr>
        <w:t xml:space="preserve">107</w:t>
      </w:r>
      <w:r>
        <w:t xml:space="preserve">, 256–259.</w:t>
      </w:r>
    </w:p>
    <w:bookmarkEnd w:id="78"/>
    <w:bookmarkStart w:id="79"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9"/>
    <w:bookmarkStart w:id="81"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80">
        <w:r>
          <w:rPr>
            <w:rStyle w:val="Hyperlink"/>
          </w:rPr>
          <w:t xml:space="preserve">https://doi.org/10.1007/s00779-024-01834-4</w:t>
        </w:r>
      </w:hyperlink>
    </w:p>
    <w:bookmarkEnd w:id="81"/>
    <w:bookmarkStart w:id="83"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82">
        <w:r>
          <w:rPr>
            <w:rStyle w:val="Hyperlink"/>
          </w:rPr>
          <w:t xml:space="preserve">https://doi.org/10.1007/978-1-4757-3456-0</w:t>
        </w:r>
      </w:hyperlink>
    </w:p>
    <w:bookmarkEnd w:id="83"/>
    <w:bookmarkStart w:id="84"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84"/>
    <w:bookmarkStart w:id="85"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5"/>
    <w:bookmarkStart w:id="87"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6">
        <w:r>
          <w:rPr>
            <w:rStyle w:val="Hyperlink"/>
          </w:rPr>
          <w:t xml:space="preserve">https://doi.org/10.7275/jyj1-4868</w:t>
        </w:r>
      </w:hyperlink>
    </w:p>
    <w:bookmarkEnd w:id="87"/>
    <w:bookmarkStart w:id="89"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8">
        <w:r>
          <w:rPr>
            <w:rStyle w:val="Hyperlink"/>
          </w:rPr>
          <w:t xml:space="preserve">https://doi.org/10.1007/BF02310555</w:t>
        </w:r>
      </w:hyperlink>
    </w:p>
    <w:bookmarkEnd w:id="89"/>
    <w:bookmarkStart w:id="91"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90">
        <w:r>
          <w:rPr>
            <w:rStyle w:val="Hyperlink"/>
          </w:rPr>
          <w:t xml:space="preserve">https://doi.org/10.4324/9781410605269</w:t>
        </w:r>
      </w:hyperlink>
    </w:p>
    <w:bookmarkEnd w:id="91"/>
    <w:bookmarkStart w:id="92"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92"/>
    <w:bookmarkStart w:id="94"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93">
        <w:r>
          <w:rPr>
            <w:rStyle w:val="Hyperlink"/>
          </w:rPr>
          <w:t xml:space="preserve">https://doi.org/10.1007/BF02294839</w:t>
        </w:r>
      </w:hyperlink>
    </w:p>
    <w:bookmarkEnd w:id="94"/>
    <w:bookmarkStart w:id="95"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5"/>
    <w:bookmarkStart w:id="96"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6"/>
    <w:bookmarkStart w:id="98"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7">
        <w:r>
          <w:rPr>
            <w:rStyle w:val="Hyperlink"/>
          </w:rPr>
          <w:t xml:space="preserve">http://link.springer.com/chapter/10.1007/978-3-322-80058-9_19</w:t>
        </w:r>
      </w:hyperlink>
    </w:p>
    <w:bookmarkEnd w:id="98"/>
    <w:bookmarkStart w:id="100"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99">
        <w:r>
          <w:rPr>
            <w:rStyle w:val="Hyperlink"/>
          </w:rPr>
          <w:t xml:space="preserve">https://doi.org/10.1080/073700242010500139</w:t>
        </w:r>
      </w:hyperlink>
    </w:p>
    <w:bookmarkEnd w:id="100"/>
    <w:bookmarkStart w:id="102"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101">
        <w:r>
          <w:rPr>
            <w:rStyle w:val="Hyperlink"/>
          </w:rPr>
          <w:t xml:space="preserve">https://doi.org/10.1177/109442819800100106</w:t>
        </w:r>
      </w:hyperlink>
    </w:p>
    <w:bookmarkEnd w:id="102"/>
    <w:bookmarkStart w:id="104"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103">
        <w:r>
          <w:rPr>
            <w:rStyle w:val="Hyperlink"/>
          </w:rPr>
          <w:t xml:space="preserve">https://doi.org/10.1007/s12369-016-0380-9</w:t>
        </w:r>
      </w:hyperlink>
    </w:p>
    <w:bookmarkEnd w:id="104"/>
    <w:bookmarkStart w:id="105"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05"/>
    <w:bookmarkStart w:id="107"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6">
        <w:r>
          <w:rPr>
            <w:rStyle w:val="Hyperlink"/>
          </w:rPr>
          <w:t xml:space="preserve">https://doi.org/10.1046/j.1525-1497.2001.016009606.x</w:t>
        </w:r>
      </w:hyperlink>
    </w:p>
    <w:bookmarkEnd w:id="107"/>
    <w:bookmarkStart w:id="108"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08"/>
    <w:bookmarkStart w:id="110"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09">
        <w:r>
          <w:rPr>
            <w:rStyle w:val="Hyperlink"/>
          </w:rPr>
          <w:t xml:space="preserve">https://doi.org/10.1037/met0000230</w:t>
        </w:r>
      </w:hyperlink>
    </w:p>
    <w:bookmarkEnd w:id="110"/>
    <w:bookmarkStart w:id="112"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11">
        <w:r>
          <w:rPr>
            <w:rStyle w:val="Hyperlink"/>
          </w:rPr>
          <w:t xml:space="preserve">https://doi.org/10.3758/s13428-011-0168-7</w:t>
        </w:r>
      </w:hyperlink>
    </w:p>
    <w:bookmarkEnd w:id="112"/>
    <w:bookmarkStart w:id="114"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13">
        <w:r>
          <w:rPr>
            <w:rStyle w:val="Hyperlink"/>
          </w:rPr>
          <w:t xml:space="preserve">https://doi.org/10.1016/j.cognition.2015.09.008</w:t>
        </w:r>
      </w:hyperlink>
    </w:p>
    <w:bookmarkEnd w:id="114"/>
    <w:bookmarkStart w:id="116"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15">
        <w:r>
          <w:rPr>
            <w:rStyle w:val="Hyperlink"/>
          </w:rPr>
          <w:t xml:space="preserve">https://doi.org/10.1111/j.1467-6494.1992.tb00976.x</w:t>
        </w:r>
      </w:hyperlink>
    </w:p>
    <w:bookmarkEnd w:id="116"/>
    <w:bookmarkStart w:id="117"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17"/>
    <w:bookmarkStart w:id="118"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18"/>
    <w:bookmarkStart w:id="120"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19">
        <w:r>
          <w:rPr>
            <w:rStyle w:val="Hyperlink"/>
          </w:rPr>
          <w:t xml:space="preserve">https://doi.org/10.3389/neuro.11.010.2008</w:t>
        </w:r>
      </w:hyperlink>
    </w:p>
    <w:bookmarkEnd w:id="120"/>
    <w:bookmarkStart w:id="122"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21">
        <w:r>
          <w:rPr>
            <w:rStyle w:val="Hyperlink"/>
          </w:rPr>
          <w:t xml:space="preserve">https://doi.org/10.1111/J.1745-3992.2000.TB00033.X</w:t>
        </w:r>
      </w:hyperlink>
    </w:p>
    <w:bookmarkEnd w:id="122"/>
    <w:bookmarkStart w:id="124"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23">
        <w:r>
          <w:rPr>
            <w:rStyle w:val="Hyperlink"/>
          </w:rPr>
          <w:t xml:space="preserve">https://purl.utwente.nl/essays/65768</w:t>
        </w:r>
      </w:hyperlink>
    </w:p>
    <w:bookmarkEnd w:id="124"/>
    <w:bookmarkStart w:id="125"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25"/>
    <w:bookmarkStart w:id="127"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6">
        <w:r>
          <w:rPr>
            <w:rStyle w:val="Hyperlink"/>
          </w:rPr>
          <w:t xml:space="preserve">https://doi.org/10.1007/978-3-030-46380-9_6</w:t>
        </w:r>
      </w:hyperlink>
    </w:p>
    <w:bookmarkEnd w:id="127"/>
    <w:bookmarkStart w:id="129"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28">
        <w:r>
          <w:rPr>
            <w:rStyle w:val="Hyperlink"/>
          </w:rPr>
          <w:t xml:space="preserve">https://doi.org/10.1007/978-3-030-46380-9</w:t>
        </w:r>
      </w:hyperlink>
    </w:p>
    <w:bookmarkEnd w:id="129"/>
    <w:bookmarkStart w:id="130"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30"/>
    <w:bookmarkStart w:id="131"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31"/>
    <w:bookmarkStart w:id="133" w:name="ref-Simmons2011"/>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 1359–1366.</w:t>
      </w:r>
      <w:r>
        <w:t xml:space="preserve"> </w:t>
      </w:r>
      <w:hyperlink r:id="rId132">
        <w:r>
          <w:rPr>
            <w:rStyle w:val="Hyperlink"/>
          </w:rPr>
          <w:t xml:space="preserve">https://doi.org/10.1177/0956797611417632</w:t>
        </w:r>
      </w:hyperlink>
    </w:p>
    <w:bookmarkEnd w:id="133"/>
    <w:bookmarkStart w:id="135"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34">
        <w:r>
          <w:rPr>
            <w:rStyle w:val="Hyperlink"/>
          </w:rPr>
          <w:t xml:space="preserve">http://essay.utwente.nl/72507/</w:t>
        </w:r>
      </w:hyperlink>
    </w:p>
    <w:bookmarkEnd w:id="135"/>
    <w:bookmarkStart w:id="136"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36"/>
    <w:bookmarkStart w:id="138"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37">
        <w:r>
          <w:rPr>
            <w:rStyle w:val="Hyperlink"/>
          </w:rPr>
          <w:t xml:space="preserve">https://doi.org/10.1016/j.ijhcs.2006.06.009</w:t>
        </w:r>
      </w:hyperlink>
    </w:p>
    <w:bookmarkEnd w:id="138"/>
    <w:bookmarkStart w:id="140"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39">
        <w:r>
          <w:rPr>
            <w:rStyle w:val="Hyperlink"/>
          </w:rPr>
          <w:t xml:space="preserve">https://doi.org/10.1016/j.ijhcs.2012.06.003</w:t>
        </w:r>
      </w:hyperlink>
    </w:p>
    <w:bookmarkEnd w:id="140"/>
    <w:bookmarkStart w:id="142"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41">
        <w:r>
          <w:rPr>
            <w:rStyle w:val="Hyperlink"/>
          </w:rPr>
          <w:t xml:space="preserve">https://doi.org/10.1080/14639220210123806</w:t>
        </w:r>
      </w:hyperlink>
    </w:p>
    <w:bookmarkEnd w:id="142"/>
    <w:bookmarkStart w:id="144"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43">
        <w:r>
          <w:rPr>
            <w:rStyle w:val="Hyperlink"/>
          </w:rPr>
          <w:t xml:space="preserve">https://CRAN.R-project.org/package=psych</w:t>
        </w:r>
      </w:hyperlink>
    </w:p>
    <w:bookmarkEnd w:id="144"/>
    <w:bookmarkStart w:id="146"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45">
        <w:r>
          <w:rPr>
            <w:rStyle w:val="Hyperlink"/>
          </w:rPr>
          <w:t xml:space="preserve">https://doi.org/10.1177/0013164413495237</w:t>
        </w:r>
      </w:hyperlink>
    </w:p>
    <w:bookmarkEnd w:id="146"/>
    <w:bookmarkEnd w:id="147"/>
    <w:bookmarkEnd w:id="1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hyperlink" Id="rId134" Target="http://essay.utwente.nl/72507/" TargetMode="External" /><Relationship Type="http://schemas.openxmlformats.org/officeDocument/2006/relationships/hyperlink" Id="rId97" Target="http://link.springer.com/chapter/10.1007/978-3-322-80058-9_19" TargetMode="External" /><Relationship Type="http://schemas.openxmlformats.org/officeDocument/2006/relationships/hyperlink" Id="rId143"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28" Target="https://doi.org/10.1007/978-3-030-46380-9" TargetMode="External" /><Relationship Type="http://schemas.openxmlformats.org/officeDocument/2006/relationships/hyperlink" Id="rId126" Target="https://doi.org/10.1007/978-3-030-46380-9_6"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3" Target="https://doi.org/10.1007/s12369-016-0380-9" TargetMode="External" /><Relationship Type="http://schemas.openxmlformats.org/officeDocument/2006/relationships/hyperlink" Id="rId113" Target="https://doi.org/10.1016/j.cognition.2015.09.008" TargetMode="External" /><Relationship Type="http://schemas.openxmlformats.org/officeDocument/2006/relationships/hyperlink" Id="rId137" Target="https://doi.org/10.1016/j.ijhcs.2006.06.009" TargetMode="External" /><Relationship Type="http://schemas.openxmlformats.org/officeDocument/2006/relationships/hyperlink" Id="rId139" Target="https://doi.org/10.1016/j.ijhcs.2012.06.003" TargetMode="External" /><Relationship Type="http://schemas.openxmlformats.org/officeDocument/2006/relationships/hyperlink" Id="rId109" Target="https://doi.org/10.1037/met0000230" TargetMode="External" /><Relationship Type="http://schemas.openxmlformats.org/officeDocument/2006/relationships/hyperlink" Id="rId106" Target="https://doi.org/10.1046/j.1525-1497.2001.016009606.x" TargetMode="External" /><Relationship Type="http://schemas.openxmlformats.org/officeDocument/2006/relationships/hyperlink" Id="rId99" Target="https://doi.org/10.1080/073700242010500139" TargetMode="External" /><Relationship Type="http://schemas.openxmlformats.org/officeDocument/2006/relationships/hyperlink" Id="rId141" Target="https://doi.org/10.1080/14639220210123806" TargetMode="External" /><Relationship Type="http://schemas.openxmlformats.org/officeDocument/2006/relationships/hyperlink" Id="rId121" Target="https://doi.org/10.1111/J.1745-3992.2000.TB00033.X" TargetMode="External" /><Relationship Type="http://schemas.openxmlformats.org/officeDocument/2006/relationships/hyperlink" Id="rId115"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45" Target="https://doi.org/10.1177/0013164413495237" TargetMode="External" /><Relationship Type="http://schemas.openxmlformats.org/officeDocument/2006/relationships/hyperlink" Id="rId132" Target="https://doi.org/10.1177/0956797611417632" TargetMode="External" /><Relationship Type="http://schemas.openxmlformats.org/officeDocument/2006/relationships/hyperlink" Id="rId101" Target="https://doi.org/10.1177/109442819800100106" TargetMode="External" /><Relationship Type="http://schemas.openxmlformats.org/officeDocument/2006/relationships/hyperlink" Id="rId119" Target="https://doi.org/10.3389/neuro.11.010.2008" TargetMode="External" /><Relationship Type="http://schemas.openxmlformats.org/officeDocument/2006/relationships/hyperlink" Id="rId111"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3"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34" Target="http://essay.utwente.nl/72507/" TargetMode="External" /><Relationship Type="http://schemas.openxmlformats.org/officeDocument/2006/relationships/hyperlink" Id="rId97" Target="http://link.springer.com/chapter/10.1007/978-3-322-80058-9_19" TargetMode="External" /><Relationship Type="http://schemas.openxmlformats.org/officeDocument/2006/relationships/hyperlink" Id="rId143"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28" Target="https://doi.org/10.1007/978-3-030-46380-9" TargetMode="External" /><Relationship Type="http://schemas.openxmlformats.org/officeDocument/2006/relationships/hyperlink" Id="rId126" Target="https://doi.org/10.1007/978-3-030-46380-9_6"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3" Target="https://doi.org/10.1007/s12369-016-0380-9" TargetMode="External" /><Relationship Type="http://schemas.openxmlformats.org/officeDocument/2006/relationships/hyperlink" Id="rId113" Target="https://doi.org/10.1016/j.cognition.2015.09.008" TargetMode="External" /><Relationship Type="http://schemas.openxmlformats.org/officeDocument/2006/relationships/hyperlink" Id="rId137" Target="https://doi.org/10.1016/j.ijhcs.2006.06.009" TargetMode="External" /><Relationship Type="http://schemas.openxmlformats.org/officeDocument/2006/relationships/hyperlink" Id="rId139" Target="https://doi.org/10.1016/j.ijhcs.2012.06.003" TargetMode="External" /><Relationship Type="http://schemas.openxmlformats.org/officeDocument/2006/relationships/hyperlink" Id="rId109" Target="https://doi.org/10.1037/met0000230" TargetMode="External" /><Relationship Type="http://schemas.openxmlformats.org/officeDocument/2006/relationships/hyperlink" Id="rId106" Target="https://doi.org/10.1046/j.1525-1497.2001.016009606.x" TargetMode="External" /><Relationship Type="http://schemas.openxmlformats.org/officeDocument/2006/relationships/hyperlink" Id="rId99" Target="https://doi.org/10.1080/073700242010500139" TargetMode="External" /><Relationship Type="http://schemas.openxmlformats.org/officeDocument/2006/relationships/hyperlink" Id="rId141" Target="https://doi.org/10.1080/14639220210123806" TargetMode="External" /><Relationship Type="http://schemas.openxmlformats.org/officeDocument/2006/relationships/hyperlink" Id="rId121" Target="https://doi.org/10.1111/J.1745-3992.2000.TB00033.X" TargetMode="External" /><Relationship Type="http://schemas.openxmlformats.org/officeDocument/2006/relationships/hyperlink" Id="rId115"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45" Target="https://doi.org/10.1177/0013164413495237" TargetMode="External" /><Relationship Type="http://schemas.openxmlformats.org/officeDocument/2006/relationships/hyperlink" Id="rId132" Target="https://doi.org/10.1177/0956797611417632" TargetMode="External" /><Relationship Type="http://schemas.openxmlformats.org/officeDocument/2006/relationships/hyperlink" Id="rId101" Target="https://doi.org/10.1177/109442819800100106" TargetMode="External" /><Relationship Type="http://schemas.openxmlformats.org/officeDocument/2006/relationships/hyperlink" Id="rId119" Target="https://doi.org/10.3389/neuro.11.010.2008" TargetMode="External" /><Relationship Type="http://schemas.openxmlformats.org/officeDocument/2006/relationships/hyperlink" Id="rId111"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3"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2025-10-05T16:47:34Z</dcterms:created>
  <dcterms:modified xsi:type="dcterms:W3CDTF">2025-10-05T16:47:34Z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