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9.png" ContentType="image/png"/>
  <Override PartName="/word/media/rId61.png" ContentType="image/png"/>
  <Override PartName="/word/media/rId64.png" ContentType="image/png"/>
  <Override PartName="/word/media/rId55.png" ContentType="image/png"/>
  <Override PartName="/word/media/rId58.png" ContentType="image/png"/>
  <Override PartName="/word/media/rId49.png" ContentType="image/png"/>
  <Override PartName="/word/media/rId5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psychometrically sound rating scales represents a methodologically rigorous endeavor. Psychometrics, defined as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 Bargas-Avila and Hoernbaek 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proposition advanced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utilized in traditional psychometric analyses.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frameworks provides the theoretical framework specifying conditions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p>
      <w:pPr>
        <w:pStyle w:val="BodyText"/>
      </w:pPr>
      <w:r>
        <w:t xml:space="preserve">Unlike physiological measurements that may require only single observations (e.g., body temperature), psychological assessments necessitate multiple items due to inherent measurement error across self-report scales, reaction time measures, and physiological indicators.</w:t>
      </w:r>
      <w:r>
        <w:t xml:space="preserve"> </w:t>
      </w:r>
      <w:r>
        <w:t xml:space="preserve">The central theoretical insight of CTT is that taking repeated measures improves measurement precision through error reduction, as formalized by the Law of Large Numbers.</w:t>
      </w:r>
    </w:p>
    <w:bookmarkStart w:id="20" w:name="item-selection-and-scale-development"/>
    <w:p>
      <w:pPr>
        <w:pStyle w:val="Heading3"/>
      </w:pPr>
      <w:r>
        <w:t xml:space="preserve">Item Selection and Scale Development</w:t>
      </w:r>
    </w:p>
    <w:p>
      <w:pPr>
        <w:pStyle w:val="FirstParagraph"/>
      </w:pPr>
      <w:r>
        <w:t xml:space="preserve">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 While extremely repetitive items (e.g., simple reaction time trials) may achieve near-perfect agreement, practical applications typically exhibit moderate item intercorrelations.</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p>
      <w:pPr>
        <w:pStyle w:val="BodyText"/>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The Five-Factor Model exemplifies this approach, proposing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typically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 Well-fitting CFA models supersede Cronbach’s alpha by providing item loadings that inform selection decisions.</w:t>
      </w:r>
    </w:p>
    <w:p>
      <w:pPr>
        <w:pStyle w:val="BodyText"/>
      </w:pPr>
      <w:r>
        <w:t xml:space="preserve">Exploratory Factor Analysis (EFA) serves to identify novel factor structures when robust theoretical frameworks are unavailable (</w:t>
      </w:r>
      <w:r>
        <w:t xml:space="preserve">Costello &amp; Osborne (2005)</w:t>
      </w:r>
      <w:r>
        <w:t xml:space="preserve">). EFA requires researchers to specify the number of factors and their correlation structure. However, with modern resampling techniques the optimal number of factors can be identified</w:t>
      </w:r>
      <w:r>
        <w:t xml:space="preserve"> </w:t>
      </w:r>
      <w:r>
        <w:t xml:space="preserve">(Lim &amp; Jahng, 2019)</w:t>
      </w:r>
      <w:r>
        <w:t xml:space="preserve">. Factor rotation decisions depend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w:t>
      </w:r>
      <w:r>
        <w:t xml:space="preserve"> </w:t>
      </w:r>
      <w:r>
        <w:t xml:space="preserve">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analytical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The fundamental principle governing minimum sample size requirements stipulates that observations must exceed the number of free parameters in the analytical model (Bollen, 1989).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procedures are sample-dependent, with solutions potentially capitalizing on chance characteristics.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w:t>
      </w:r>
      <w:r>
        <w:t xml:space="preserve"> </w:t>
      </w:r>
      <w:r>
        <w:t xml:space="preserve">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a response box cannot be processed with psychometric tools. While</w:t>
      </w:r>
      <w:r>
        <w:t xml:space="preserve"> </w:t>
      </w:r>
      <w:r>
        <w:t xml:space="preserve">“deep”</w:t>
      </w:r>
      <w:r>
        <w:t xml:space="preserve"> </w:t>
      </w:r>
      <w:r>
        <w:t xml:space="preserve">designometric models can be constructed using multi-level models</w:t>
      </w:r>
      <w:r>
        <w:t xml:space="preserve"> </w:t>
      </w:r>
      <w:r>
        <w:t xml:space="preserve">(Schmettow, 2021, pp. 307–323)</w:t>
      </w:r>
      <w:r>
        <w:t xml:space="preserve">, a practical solution exists. By averaging over one of the dimensions, a two-dimensional response matrix can be constructed.</w:t>
      </w:r>
      <w:r>
        <w:t xml:space="preserve"> </w:t>
      </w:r>
      <w:r>
        <w:t xml:space="preserve">Crucially, the correct dimension to be collapsed over is Person, as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w:t>
      </w:r>
      <w:r>
        <w:t xml:space="preserve"> </w:t>
      </w:r>
      <w:r>
        <w:t xml:space="preserve">Take as an example a hypothetical scale to measure trustworthiness of robot faces, with two sub-scales, Realism and Likability.</w:t>
      </w:r>
      <w:r>
        <w:t xml:space="preserve"> </w:t>
      </w:r>
      <w:r>
        <w:t xml:space="preserve">The impression of realism can be triggered by different features of the face, such as skull shape, details in the eyes region and skin texture.</w:t>
      </w:r>
      <w:r>
        <w:t xml:space="preserve"> </w:t>
      </w:r>
      <w:r>
        <w:t xml:space="preserve">For a proper scale on realism, it would be required that these features correlate, and this essentially is a property of the robot face design process.</w:t>
      </w:r>
      <w:r>
        <w:t xml:space="preserve"> </w:t>
      </w:r>
      <w:r>
        <w:t xml:space="preserve">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psychometrics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measurent can take from several minutes to hours and a complete designometric encounter becomes impractical. A way to mitigate this problem is to use an experimental design that is</w:t>
      </w:r>
      <w:r>
        <w:t xml:space="preserve"> </w:t>
      </w:r>
      <w:r>
        <w:rPr>
          <w:i/>
          <w:iCs/>
        </w:rPr>
        <w:t xml:space="preserve">planned incomplete</w:t>
      </w:r>
      <w:r>
        <w:t xml:space="preserve">.</w:t>
      </w:r>
      <w:r>
        <w:t xml:space="preserve"> </w:t>
      </w:r>
      <w:r>
        <w:t xml:space="preserve">Essentially, a planned incomplete validation study has all participants encounter only a partition of the design sample.</w:t>
      </w:r>
      <w:r>
        <w:t xml:space="preserve"> </w:t>
      </w:r>
      <w:r>
        <w:t xml:space="preserve">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study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use of standard psychometric tools may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w:t>
      </w:r>
      <w:r>
        <w:t xml:space="preserve"> </w:t>
      </w:r>
      <w:r>
        <w:t xml:space="preserve">Rather, the metric will refer to the capability of the item to discriminate persons by their sensitivity to the design feature in question.</w:t>
      </w:r>
      <w:r>
        <w:t xml:space="preserve"> </w:t>
      </w:r>
      <w:r>
        <w:t xml:space="preserve">For example, a scale for comparing designs by beauty would become a scale to rank persons by how critical they are with respect to interface beauty.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When swapping roles, validation studies that included multiple, but only a few, designs, may not be repairable.</w:t>
      </w:r>
      <w:r>
        <w:t xml:space="preserve"> </w:t>
      </w:r>
      <w:r>
        <w:t xml:space="preserve">One example is the study by</w:t>
      </w:r>
      <w:r>
        <w:t xml:space="preserve"> </w:t>
      </w:r>
      <w:r>
        <w:t xml:space="preserve">Ho &amp; MacDorman (2017)</w:t>
      </w:r>
      <w:r>
        <w:t xml:space="preserve"> </w:t>
      </w:r>
      <w:r>
        <w:t xml:space="preserve">validated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w:t>
      </w:r>
      <w:r>
        <w:t xml:space="preserve"> </w:t>
      </w:r>
      <w:r>
        <w:t xml:space="preserve">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instrument is used in practice to take measures on a single design. The result will inevitable look like a psychometric response matrix and, given that publication rules (e.g. APA guidelines) often require to report test reliabilities, it may be tempting for the researcher to run a psychometric test on reliability. While the run-time fallacy does not have the same impact as development-time fallacies, it may cause confusion when a validated instrument seems to have poor reliability.</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(psych)</w:t>
      </w:r>
      <w:r>
        <w:br/>
      </w:r>
      <w:r>
        <w:rPr>
          <w:rStyle w:val="FunctionTok"/>
        </w:rPr>
        <w:t xml:space="preserve">library</w:t>
      </w:r>
      <w:r>
        <w:rPr>
          <w:rStyle w:val="NormalTok"/>
        </w:rPr>
        <w:t xml:space="preserve">(mascutils)</w:t>
      </w:r>
      <w:r>
        <w:br/>
      </w:r>
      <w:r>
        <w:rPr>
          <w:rStyle w:val="FunctionTok"/>
        </w:rPr>
        <w:t xml:space="preserve">library</w:t>
      </w:r>
      <w:r>
        <w:rPr>
          <w:rStyle w:val="NormalTok"/>
        </w:rPr>
        <w:t xml:space="preserve">(printr)</w:t>
      </w:r>
      <w:r>
        <w:br/>
      </w:r>
      <w:r>
        <w:rPr>
          <w:rStyle w:val="CommentTok"/>
        </w:rPr>
        <w:t xml:space="preserve">#library(lavaan)</w:t>
      </w:r>
      <w:r>
        <w:br/>
      </w:r>
      <w:r>
        <w:rPr>
          <w:rStyle w:val="FunctionTok"/>
        </w:rPr>
        <w:t xml:space="preserve">options</w:t>
      </w:r>
      <w:r>
        <w:rPr>
          <w:rStyle w:val="NormalTok"/>
        </w:rPr>
        <w:t xml:space="preserve">(</w:t>
      </w:r>
      <w:r>
        <w:rPr>
          <w:rStyle w:val="AttributeTok"/>
        </w:rPr>
        <w:t xml:space="preserve">mc.cores =</w:t>
      </w:r>
      <w:r>
        <w:rPr>
          <w:rStyle w:val="NormalTok"/>
        </w:rPr>
        <w:t xml:space="preserve"> </w:t>
      </w:r>
      <w:r>
        <w:rPr>
          <w:rStyle w:val="DecValTok"/>
        </w:rPr>
        <w:t xml:space="preserve">8</w:t>
      </w:r>
      <w:r>
        <w:rPr>
          <w:rStyle w:val="NormalTok"/>
        </w:rPr>
        <w:t xml:space="preserve">)</w:t>
      </w:r>
      <w:r>
        <w:br/>
      </w:r>
      <w:r>
        <w:br/>
      </w:r>
      <w:r>
        <w:rPr>
          <w:rStyle w:val="NormalTok"/>
        </w:rPr>
        <w:t xml:space="preserve">purp.analysis </w:t>
      </w:r>
      <w:r>
        <w:rPr>
          <w:rStyle w:val="OtherTok"/>
        </w:rPr>
        <w:t xml:space="preserve">&lt;-</w:t>
      </w:r>
      <w:r>
        <w:rPr>
          <w:rStyle w:val="NormalTok"/>
        </w:rPr>
        <w:t xml:space="preserve"> T</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 situation, where a fictional three-item scale for Coolness is highly reliable for persons, but seemingly has no reliability at all for discerning the tested designs. Such a pattern can occur for the trivial reason that the design sample bears little variance with respect to the property in question. In the following simulation, we assume that the Coolness scale has been tested on a sample of 50 premium law firm home pages and 50 participants of various ages and socvial background. The key here is that participants vary strongly in their appreciation of Coolness (</w:t>
      </w:r>
      <m:oMath>
        <m:sSub>
          <m:e>
            <m:r>
              <m:t>σ</m:t>
            </m:r>
          </m:e>
          <m:sub>
            <m:r>
              <m:rPr>
                <m:nor/>
                <m:sty m:val="p"/>
              </m:rPr>
              <m:t>Part</m:t>
            </m:r>
          </m:sub>
        </m:sSub>
        <m:r>
          <m:rPr>
            <m:sty m:val="p"/>
          </m:rPr>
          <m:t>=</m:t>
        </m:r>
        <m:r>
          <m:t>.2</m:t>
        </m:r>
      </m:oMath>
      <w:r>
        <w:t xml:space="preserve">), whereas the sample of designs varies little in Coolness (</w:t>
      </w:r>
      <m:oMath>
        <m:sSub>
          <m:e>
            <m:r>
              <m:t>σ</m:t>
            </m:r>
          </m:e>
          <m:sub>
            <m:r>
              <m:rPr>
                <m:nor/>
                <m:sty m:val="p"/>
              </m:rPr>
              <m:t>Design</m:t>
            </m:r>
          </m:sub>
        </m:sSub>
        <m:r>
          <m:rPr>
            <m:sty m:val="p"/>
          </m:rPr>
          <m:t>=</m:t>
        </m:r>
        <m:r>
          <m:t>.02</m:t>
        </m:r>
      </m:oMath>
      <w:r>
        <w:t xml:space="preserve">).</w:t>
      </w:r>
    </w:p>
    <w:p>
      <w:pPr>
        <w:pStyle w:val="SourceCode"/>
      </w:pPr>
      <w:r>
        <w:rPr>
          <w:rStyle w:val="VerbatimChar"/>
        </w:rPr>
        <w:t xml:space="preserve">Some items ( 1 ) were negatively correlated with the first principal component and </w:t>
      </w:r>
      <w:r>
        <w:br/>
      </w:r>
      <w:r>
        <w:rPr>
          <w:rStyle w:val="VerbatimChar"/>
        </w:rPr>
        <w:t xml:space="preserve">probably should be reversed.  </w:t>
      </w:r>
      <w:r>
        <w:br/>
      </w:r>
      <w:r>
        <w:rPr>
          <w:rStyle w:val="VerbatimChar"/>
        </w:rPr>
        <w:t xml:space="preserve">To do this, run the function again with the 'check.keys=TRUE' option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0.0829783</w:t>
            </w:r>
          </w:p>
        </w:tc>
        <w:tc>
          <w:tcPr/>
          <w:p>
            <w:pPr>
              <w:pStyle w:val="Compact"/>
              <w:jc w:val="right"/>
            </w:pPr>
            <w:r>
              <w:t xml:space="preserve">-0.8213251</w:t>
            </w:r>
          </w:p>
        </w:tc>
        <w:tc>
          <w:tcPr/>
          <w:p>
            <w:pPr>
              <w:pStyle w:val="Compact"/>
              <w:jc w:val="right"/>
            </w:pPr>
            <w:r>
              <w:t xml:space="preserve">0.5569494</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0.9310051</w:t>
            </w:r>
          </w:p>
        </w:tc>
        <w:tc>
          <w:tcPr/>
          <w:p>
            <w:pPr>
              <w:pStyle w:val="Compact"/>
              <w:jc w:val="right"/>
            </w:pPr>
            <w:r>
              <w:t xml:space="preserve">0.8761495</w:t>
            </w:r>
          </w:p>
        </w:tc>
        <w:tc>
          <w:tcPr/>
          <w:p>
            <w:pPr>
              <w:pStyle w:val="Compact"/>
              <w:jc w:val="right"/>
            </w:pPr>
            <w:r>
              <w:t xml:space="preserve">0.9614886</w:t>
            </w:r>
          </w:p>
        </w:tc>
      </w:tr>
    </w:tbl>
    <w:p>
      <w:pPr>
        <w:pStyle w:val="BodyText"/>
      </w:pPr>
      <w:r>
        <w:t xml:space="preserve">This simple example demonstrate that a scale can produce excellent reliability when measuring person sensitivity, but poor and uncertain reliability on designs. Under the psychometric fallacy it can happen that excellent reliability is reported, while it is actually unknown, or very poor.</w:t>
      </w:r>
    </w:p>
    <w:bookmarkEnd w:id="30"/>
    <w:bookmarkStart w:id="38" w:name="methods"/>
    <w:p>
      <w:pPr>
        <w:pStyle w:val="Heading1"/>
      </w:pPr>
      <w:r>
        <w:t xml:space="preserve">Methods</w:t>
      </w:r>
    </w:p>
    <w:p>
      <w:pPr>
        <w:pStyle w:val="FirstParagraph"/>
      </w:pPr>
      <w:r>
        <w:t xml:space="preserve">In order to assess the biases introduced by the psychometric fallacy, a secondary data analysis was conducted using data from seven prior experiments (</w:t>
      </w:r>
      <w:r>
        <w:t xml:space="preserve">(</w:t>
      </w:r>
      <w:r>
        <w:rPr>
          <w:b/>
          <w:bCs/>
        </w:rPr>
        <w:t xml:space="preserve">tab-data-summary?</w:t>
      </w:r>
      <w:r>
        <w:t xml:space="preserve">)</w:t>
      </w:r>
      <w:r>
        <w:t xml:space="preserve">), which were originally testing original hypotheses on User Experience and Human-Robot Interaction. All data sets could be stripped down to designometric response boxes, with sufficient numbers of participants and designs.</w:t>
      </w:r>
    </w:p>
    <w:p>
      <w:pPr>
        <w:pStyle w:val="BodyText"/>
      </w:pPr>
      <w:r>
        <w:t xml:space="preserve">In QB, JK, SP and DN participants saw screen shots of home pages and responded to several user experience scales, whereas in AH, DK and PS the stimuli were robot faces.</w:t>
      </w:r>
      <w:r>
        <w:t xml:space="preserve"> </w:t>
      </w:r>
      <w:r>
        <w:t xml:space="preserve">All experiments used manipulation of presentation time to collect data on subconscious cognitive processing. For the analysis here, presentation times lower than 500ms were discarded.</w:t>
      </w:r>
      <w:r>
        <w:t xml:space="preserve"> </w:t>
      </w:r>
      <w:r>
        <w:t xml:space="preserve">All experiments used a (mildly) incomplete design in that participants encountered all designs and items several times, but not in every possible combination.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n_Design</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n_Obs</w:t>
            </w:r>
          </w:p>
        </w:tc>
        <w:tc>
          <w:tcPr/>
          <w:p>
            <w:pPr>
              <w:pStyle w:val="Compact"/>
              <w:jc w:val="left"/>
            </w:pPr>
            <w:r>
              <w:t xml:space="preserve">Reference</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66</w:t>
            </w:r>
          </w:p>
        </w:tc>
        <w:tc>
          <w:tcPr/>
          <w:p>
            <w:pPr>
              <w:pStyle w:val="Compact"/>
              <w:jc w:val="right"/>
            </w:pPr>
            <w:r>
              <w:t xml:space="preserve">6</w:t>
            </w:r>
          </w:p>
        </w:tc>
        <w:tc>
          <w:tcPr/>
          <w:p>
            <w:pPr>
              <w:pStyle w:val="Compact"/>
              <w:jc w:val="right"/>
            </w:pPr>
            <w:r>
              <w:t xml:space="preserve">40</w:t>
            </w:r>
          </w:p>
        </w:tc>
        <w:tc>
          <w:tcPr/>
          <w:p>
            <w:pPr>
              <w:pStyle w:val="Compact"/>
              <w:jc w:val="right"/>
            </w:pPr>
            <w:r>
              <w:t xml:space="preserve">1440</w:t>
            </w:r>
          </w:p>
        </w:tc>
        <w:tc>
          <w:tcPr/>
          <w:p>
            <w:pPr>
              <w:pStyle w:val="Compact"/>
              <w:jc w:val="left"/>
            </w:pPr>
            <w:r>
              <w:t xml:space="preserve">Polst &amp; Schmettow (2014)</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JK</w:t>
            </w:r>
          </w:p>
        </w:tc>
        <w:tc>
          <w:tcPr/>
          <w:p>
            <w:pPr>
              <w:pStyle w:val="Compact"/>
              <w:jc w:val="left"/>
            </w:pPr>
            <w:r>
              <w:t xml:space="preserve">Credib</w:t>
            </w:r>
          </w:p>
        </w:tc>
        <w:tc>
          <w:tcPr/>
          <w:p>
            <w:pPr>
              <w:pStyle w:val="Compact"/>
              <w:jc w:val="right"/>
            </w:pPr>
            <w:r>
              <w:t xml:space="preserve">76</w:t>
            </w:r>
          </w:p>
        </w:tc>
        <w:tc>
          <w:tcPr/>
          <w:p>
            <w:pPr>
              <w:pStyle w:val="Compact"/>
              <w:jc w:val="right"/>
            </w:pPr>
            <w:r>
              <w:t xml:space="preserve">5</w:t>
            </w:r>
          </w:p>
        </w:tc>
        <w:tc>
          <w:tcPr/>
          <w:p>
            <w:pPr>
              <w:pStyle w:val="Compact"/>
              <w:jc w:val="right"/>
            </w:pPr>
            <w:r>
              <w:t xml:space="preserve">25</w:t>
            </w:r>
          </w:p>
        </w:tc>
        <w:tc>
          <w:tcPr/>
          <w:p>
            <w:pPr>
              <w:pStyle w:val="Compact"/>
              <w:jc w:val="right"/>
            </w:pPr>
            <w:r>
              <w:t xml:space="preserve">500</w:t>
            </w:r>
          </w:p>
        </w:tc>
        <w:tc>
          <w:tcPr/>
          <w:p>
            <w:pPr>
              <w:pStyle w:val="Compact"/>
              <w:jc w:val="left"/>
            </w:pPr>
            <w:r>
              <w:t xml:space="preserve">Kuurstra &amp; Schmettow (2013)</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20</w:t>
            </w:r>
          </w:p>
        </w:tc>
        <w:tc>
          <w:tcPr/>
          <w:p>
            <w:pPr>
              <w:pStyle w:val="Compact"/>
              <w:jc w:val="right"/>
            </w:pPr>
            <w:r>
              <w:t xml:space="preserve">8</w:t>
            </w:r>
          </w:p>
        </w:tc>
        <w:tc>
          <w:tcPr/>
          <w:p>
            <w:pPr>
              <w:pStyle w:val="Compact"/>
              <w:jc w:val="right"/>
            </w:pPr>
            <w:r>
              <w:t xml:space="preserve">45</w:t>
            </w:r>
          </w:p>
        </w:tc>
        <w:tc>
          <w:tcPr/>
          <w:p>
            <w:pPr>
              <w:pStyle w:val="Compact"/>
              <w:jc w:val="right"/>
            </w:pPr>
            <w:r>
              <w:t xml:space="preserve">10800</w:t>
            </w:r>
          </w:p>
        </w:tc>
        <w:tc>
          <w:tcPr/>
          <w:p>
            <w:pPr>
              <w:pStyle w:val="Compact"/>
              <w:jc w:val="left"/>
            </w:pPr>
            <w:r>
              <w:t xml:space="preserve">Haeske &amp; Schmettow (2016)</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80</w:t>
            </w:r>
          </w:p>
        </w:tc>
        <w:tc>
          <w:tcPr/>
          <w:p>
            <w:pPr>
              <w:pStyle w:val="Compact"/>
              <w:jc w:val="right"/>
            </w:pPr>
            <w:r>
              <w:t xml:space="preserve">8</w:t>
            </w:r>
          </w:p>
        </w:tc>
        <w:tc>
          <w:tcPr/>
          <w:p>
            <w:pPr>
              <w:pStyle w:val="Compact"/>
              <w:jc w:val="right"/>
            </w:pPr>
            <w:r>
              <w:t xml:space="preserve">35</w:t>
            </w:r>
          </w:p>
        </w:tc>
        <w:tc>
          <w:tcPr/>
          <w:p>
            <w:pPr>
              <w:pStyle w:val="Compact"/>
              <w:jc w:val="right"/>
            </w:pPr>
            <w:r>
              <w:t xml:space="preserve">2800</w:t>
            </w:r>
          </w:p>
        </w:tc>
        <w:tc>
          <w:tcPr/>
          <w:p>
            <w:pPr>
              <w:pStyle w:val="Compact"/>
              <w:jc w:val="left"/>
            </w:pPr>
            <w:r>
              <w:t xml:space="preserve">Keeris &amp; Schmettow (2016)</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87</w:t>
            </w:r>
          </w:p>
        </w:tc>
        <w:tc>
          <w:tcPr/>
          <w:p>
            <w:pPr>
              <w:pStyle w:val="Compact"/>
              <w:jc w:val="right"/>
            </w:pPr>
            <w:r>
              <w:t xml:space="preserve">8</w:t>
            </w:r>
          </w:p>
        </w:tc>
        <w:tc>
          <w:tcPr/>
          <w:p>
            <w:pPr>
              <w:pStyle w:val="Compact"/>
              <w:jc w:val="right"/>
            </w:pPr>
            <w:r>
              <w:t xml:space="preserve">39</w:t>
            </w:r>
          </w:p>
        </w:tc>
        <w:tc>
          <w:tcPr/>
          <w:p>
            <w:pPr>
              <w:pStyle w:val="Compact"/>
              <w:jc w:val="right"/>
            </w:pPr>
            <w:r>
              <w:t xml:space="preserve">2808</w:t>
            </w:r>
          </w:p>
        </w:tc>
        <w:tc>
          <w:tcPr/>
          <w:p>
            <w:pPr>
              <w:pStyle w:val="Compact"/>
              <w:jc w:val="left"/>
            </w:pPr>
            <w:r>
              <w:t xml:space="preserve">Slijkhuis &amp; Schmettow (2017)</w:t>
            </w:r>
          </w:p>
        </w:tc>
      </w:tr>
    </w:tbl>
    <w:bookmarkStart w:id="31" w:name="item-and-and-design-samples"/>
    <w:p>
      <w:pPr>
        <w:pStyle w:val="Heading2"/>
      </w:pPr>
      <w:r>
        <w:t xml:space="preserve">Item and and Design samples</w:t>
      </w:r>
    </w:p>
    <w:p>
      <w:pPr>
        <w:pStyle w:val="FirstParagraph"/>
      </w:pPr>
      <w:r>
        <w:t xml:space="preserve">In total, eight rating scales were applied to four design samples.</w:t>
      </w:r>
    </w:p>
    <w:p>
      <w:pPr>
        <w:pStyle w:val="BodyText"/>
      </w:pPr>
      <w:r>
        <w:t xml:space="preserve">The bipolar</w:t>
      </w:r>
      <w:r>
        <w:t xml:space="preserve"> </w:t>
      </w:r>
      <w:r>
        <w:rPr>
          <w:i/>
          <w:iCs/>
        </w:rPr>
        <w:t xml:space="preserve">Eeriness</w:t>
      </w:r>
      <w:r>
        <w:t xml:space="preserve"> </w:t>
      </w:r>
      <w:r>
        <w:t xml:space="preserve">scale (already mentioned above) is a primary research tool on the Uncanny Valley phenomenon and measures negative emotional responses towards artificial faces. Factor structure and reliability were originally established under psychometric perspective, whereas experimental validation correctly compared designs</w:t>
      </w:r>
      <w:r>
        <w:t xml:space="preserve"> </w:t>
      </w:r>
      <w:r>
        <w:t xml:space="preserve">(Ho &amp; MacDorman, 2017)</w:t>
      </w:r>
      <w:r>
        <w:t xml:space="preserve">.</w:t>
      </w:r>
      <w:r>
        <w:t xml:space="preserve"> </w:t>
      </w:r>
      <w:r>
        <w:t xml:space="preserve">AH used morphing levels between human and robot faces as stimuli, whereas the other two experiments used a subset of</w:t>
      </w:r>
      <w:r>
        <w:t xml:space="preserve"> </w:t>
      </w:r>
      <w:r>
        <w:t xml:space="preserve">Mathur &amp; Reichling (2016)</w:t>
      </w:r>
      <w:r>
        <w:t xml:space="preserve">, with a few new designs added.</w:t>
      </w:r>
    </w:p>
    <w:p>
      <w:pPr>
        <w:pStyle w:val="BodyText"/>
      </w:pPr>
      <w:r>
        <w:t xml:space="preserve">All other scales were applied a sample of commercial home pages collected by</w:t>
      </w:r>
      <w:r>
        <w:t xml:space="preserve"> </w:t>
      </w:r>
      <w:r>
        <w:t xml:space="preserve">Tuch et al. (2012)</w:t>
      </w:r>
      <w:r>
        <w:t xml:space="preserve"> </w:t>
      </w:r>
      <w:r>
        <w:t xml:space="preserve">(a subset in DN):</w:t>
      </w:r>
    </w:p>
    <w:p>
      <w:pPr>
        <w:numPr>
          <w:ilvl w:val="0"/>
          <w:numId w:val="1001"/>
        </w:numPr>
      </w:pPr>
      <w:r>
        <w:t xml:space="preserve">The</w:t>
      </w:r>
      <w:r>
        <w:t xml:space="preserve"> </w:t>
      </w:r>
      <w:r>
        <w:rPr>
          <w:i/>
          <w:iCs/>
        </w:rPr>
        <w:t xml:space="preserve">Attractiveness</w:t>
      </w:r>
      <w:r>
        <w:t xml:space="preserve"> </w:t>
      </w:r>
      <w:r>
        <w:t xml:space="preserve">scale is unipolar subscale of the User Experience Questionnaire (UEQ) inventory and has undergone basic psychometric evaluation in six studies with a single design each</w:t>
      </w:r>
      <w:r>
        <w:t xml:space="preserve"> </w:t>
      </w:r>
      <w:r>
        <w:t xml:space="preserve">(Theo et al., 2008)</w:t>
      </w:r>
      <w:r>
        <w:t xml:space="preserve">.</w:t>
      </w:r>
    </w:p>
    <w:p>
      <w:pPr>
        <w:numPr>
          <w:ilvl w:val="0"/>
          <w:numId w:val="1001"/>
        </w:numPr>
      </w:pPr>
      <w:r>
        <w:t xml:space="preserve">The two 7-item bipolar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primary psychometric validation on three designs</w:t>
      </w:r>
      <w:r>
        <w:t xml:space="preserve"> </w:t>
      </w:r>
      <w:r>
        <w:t xml:space="preserve">(Hassenzahl et al., 2003)</w:t>
      </w:r>
      <w:r>
        <w:t xml:space="preserve">. The scales</w:t>
      </w:r>
      <w:r>
        <w:t xml:space="preserve"> </w:t>
      </w:r>
      <w:r>
        <w:rPr>
          <w:i/>
          <w:iCs/>
        </w:rPr>
        <w:t xml:space="preserve">Hedonism</w:t>
      </w:r>
      <w:r>
        <w:t xml:space="preserve"> </w:t>
      </w:r>
      <w:r>
        <w:t xml:space="preserve">and</w:t>
      </w:r>
      <w:r>
        <w:t xml:space="preserve"> </w:t>
      </w:r>
      <w:r>
        <w:rPr>
          <w:i/>
          <w:iCs/>
        </w:rPr>
        <w:t xml:space="preserve">Usability</w:t>
      </w:r>
      <w:r>
        <w:t xml:space="preserve"> </w:t>
      </w:r>
      <w:r>
        <w:t xml:space="preserve">were taken from the short version of AttrakDiff2, but will be considered separately in this analysis.</w:t>
      </w:r>
    </w:p>
    <w:p>
      <w:pPr>
        <w:numPr>
          <w:ilvl w:val="0"/>
          <w:numId w:val="1001"/>
        </w:numPr>
      </w:pPr>
      <w:r>
        <w:t xml:space="preserve">DN composed the Beauty scale from the item used in</w:t>
      </w:r>
      <w:r>
        <w:t xml:space="preserve"> </w:t>
      </w:r>
      <w:r>
        <w:t xml:space="preserve">Hassenzahl &amp; Monk (2010)</w:t>
      </w:r>
      <w:r>
        <w:t xml:space="preserve"> </w:t>
      </w:r>
      <w:r>
        <w:t xml:space="preserve">and three items representing classic aesthetics from</w:t>
      </w:r>
      <w:r>
        <w:t xml:space="preserve"> </w:t>
      </w:r>
      <w:r>
        <w:t xml:space="preserve">Tractinsky et al. (2006)</w:t>
      </w:r>
      <w:r>
        <w:t xml:space="preserve">.</w:t>
      </w:r>
    </w:p>
    <w:p>
      <w:pPr>
        <w:numPr>
          <w:ilvl w:val="0"/>
          <w:numId w:val="1001"/>
        </w:numPr>
      </w:pPr>
      <w:r>
        <w:t xml:space="preserve">The</w:t>
      </w:r>
      <w:r>
        <w:t xml:space="preserve"> </w:t>
      </w:r>
      <w:r>
        <w:rPr>
          <w:i/>
          <w:iCs/>
        </w:rPr>
        <w:t xml:space="preserve">Credibility</w:t>
      </w:r>
      <w:r>
        <w:t xml:space="preserve"> </w:t>
      </w:r>
      <w:r>
        <w:t xml:space="preserve">scale was originally designed to compare people’s attitude towards media (newspapers, TV, radio). The validation study used exploratory factor analysis for psychometric item selection with 1468 participants</w:t>
      </w:r>
      <w:r>
        <w:t xml:space="preserve"> </w:t>
      </w:r>
      <w:r>
        <w:t xml:space="preserve">(McGrath &amp; Gaziano, 1986)</w:t>
      </w:r>
      <w:r>
        <w:t xml:space="preserve">.</w:t>
      </w:r>
    </w:p>
    <w:bookmarkEnd w:id="31"/>
    <w:bookmarkStart w:id="32" w:name="apparatus"/>
    <w:p>
      <w:pPr>
        <w:pStyle w:val="Heading2"/>
      </w:pPr>
      <w:r>
        <w:t xml:space="preserve">Apparatus</w:t>
      </w:r>
    </w:p>
    <w:p>
      <w:pPr>
        <w:pStyle w:val="FirstParagraph"/>
      </w:pPr>
      <w:r>
        <w:t xml:space="preserve">DN used OpenSesame for stimulus presentation and implemented the collection as graded responses</w:t>
      </w:r>
      <w:r>
        <w:t xml:space="preserve"> </w:t>
      </w:r>
      <w:r>
        <w:t xml:space="preserve">(Mathôt et al., 2012)</w:t>
      </w:r>
      <w:r>
        <w:t xml:space="preserve">. All other experiments used the same PsychoPy program and collected continuous responses using a visual analog scale</w:t>
      </w:r>
      <w:r>
        <w:t xml:space="preserve"> </w:t>
      </w:r>
      <w:r>
        <w:t xml:space="preserve">(Peirce, 2008)</w:t>
      </w:r>
      <w:r>
        <w:t xml:space="preserve">.</w:t>
      </w:r>
    </w:p>
    <w:bookmarkEnd w:id="32"/>
    <w:bookmarkStart w:id="36" w:name="participant-samples"/>
    <w:p>
      <w:pPr>
        <w:pStyle w:val="Heading2"/>
      </w:pPr>
      <w:r>
        <w:t xml:space="preserve">Participant samples</w:t>
      </w:r>
    </w:p>
    <w:p>
      <w:pPr>
        <w:pStyle w:val="FirstParagraph"/>
      </w:pPr>
      <w:r>
        <w:t xml:space="preserve">Participants were sampled by convenience with sizes between between 25 and 45 and a strong over-representation of university students and their social circles.</w:t>
      </w:r>
    </w:p>
    <w:p>
      <w:pPr>
        <w:pStyle w:val="BodyText"/>
      </w:pPr>
      <w:r>
        <w:drawing>
          <wp:inline>
            <wp:extent cx="4620126" cy="3696101"/>
            <wp:effectExtent b="0" l="0" r="0" t="0"/>
            <wp:docPr descr="" title="" id="34" name="Picture"/>
            <a:graphic>
              <a:graphicData uri="http://schemas.openxmlformats.org/drawingml/2006/picture">
                <pic:pic>
                  <pic:nvPicPr>
                    <pic:cNvPr descr="DMX_1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(Scale, Design)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n_Design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(Scale, Part)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n_Part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(Scale)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n_Obs =</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  </w:t>
      </w:r>
      <w:r>
        <w:rPr>
          <w:rStyle w:val="SpecialCharTok"/>
        </w:rPr>
        <w:t xml:space="preserve">|&gt;</w:t>
      </w:r>
      <w:r>
        <w:rPr>
          <w:rStyle w:val="NormalTok"/>
        </w:rPr>
        <w:t xml:space="preserve"> knitr</w:t>
      </w:r>
      <w:r>
        <w:rPr>
          <w:rStyle w:val="SpecialCharTok"/>
        </w:rPr>
        <w:t xml:space="preserve">::</w:t>
      </w:r>
      <w:r>
        <w:rPr>
          <w:rStyle w:val="FunctionTok"/>
        </w:rPr>
        <w:t xml:space="preserve">kable</w:t>
      </w:r>
      <w:r>
        <w:rPr>
          <w:rStyle w:val="NormalTok"/>
        </w:rPr>
        <w:t xml:space="preserve">()</w:t>
      </w:r>
    </w:p>
    <w:bookmarkEnd w:id="36"/>
    <w:bookmarkStart w:id="37" w:name="data-analysis"/>
    <w:p>
      <w:pPr>
        <w:pStyle w:val="Heading2"/>
      </w:pPr>
      <w:r>
        <w:t xml:space="preserve">Data Analysis</w:t>
      </w:r>
    </w:p>
    <w:p>
      <w:pPr>
        <w:pStyle w:val="FirstParagraph"/>
      </w:pPr>
      <w:r>
        <w:t xml:space="preserve">Goal of the analysis is to examine in what ways the psychometric fallacy compromises the evaluation of rating scales. Three basic psychometric techniques were applied, scale reliability, item consistency and number of factors, using well established functions from the R package Psych</w:t>
      </w:r>
      <w:r>
        <w:t xml:space="preserve"> </w:t>
      </w:r>
      <w:r>
        <w:t xml:space="preserve">(William Revelle, 2025)</w:t>
      </w:r>
      <w:r>
        <w:t xml:space="preserve">.</w:t>
      </w:r>
    </w:p>
    <w:p>
      <w:pPr>
        <w:pStyle w:val="BodyText"/>
      </w:pPr>
      <w:r>
        <w:rPr>
          <w:i/>
          <w:iCs/>
        </w:rPr>
        <w:t xml:space="preserve">Scale reliability</w:t>
      </w:r>
      <w:r>
        <w:t xml:space="preserve"> </w:t>
      </w:r>
      <w:r>
        <w:t xml:space="preserve">was measured using Cronbach</w:t>
      </w:r>
      <w:r>
        <w:t xml:space="preserve"> </w:t>
      </w:r>
      <m:oMath>
        <m:r>
          <m:t>α</m:t>
        </m:r>
      </m:oMath>
      <w:r>
        <w:t xml:space="preserve"> </w:t>
      </w:r>
      <w:r>
        <w:t xml:space="preserve">using the function</w:t>
      </w:r>
      <w:r>
        <w:t xml:space="preserve"> </w:t>
      </w:r>
      <w:r>
        <w:rPr>
          <w:rStyle w:val="VerbatimChar"/>
        </w:rPr>
        <w:t xml:space="preserve">psych::alpha</w:t>
      </w:r>
      <w:r>
        <w:t xml:space="preserve">. The same function also provides</w:t>
      </w:r>
      <w:r>
        <w:t xml:space="preserve"> </w:t>
      </w:r>
      <w:r>
        <w:rPr>
          <w:i/>
          <w:iCs/>
        </w:rPr>
        <w:t xml:space="preserve">item consistency</w:t>
      </w:r>
      <w:r>
        <w:t xml:space="preserve"> </w:t>
      </w:r>
      <w:r>
        <w:t xml:space="preserve">measures and the corrected item-total correlation was used.</w:t>
      </w:r>
      <w:r>
        <w:t xml:space="preserve"> </w:t>
      </w:r>
      <w:r>
        <w:t xml:space="preserve">The</w:t>
      </w:r>
      <w:r>
        <w:t xml:space="preserve"> </w:t>
      </w: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w:t>
      </w:r>
    </w:p>
    <w:bookmarkEnd w:id="37"/>
    <w:bookmarkEnd w:id="38"/>
    <w:bookmarkStart w:id="68" w:name="results"/>
    <w:p>
      <w:pPr>
        <w:pStyle w:val="Heading1"/>
      </w:pPr>
      <w:r>
        <w:t xml:space="preserve">Results</w:t>
      </w:r>
    </w:p>
    <w:bookmarkStart w:id="43" w:name="scale-reliability"/>
    <w:p>
      <w:pPr>
        <w:pStyle w:val="Heading2"/>
      </w:pPr>
      <w:r>
        <w:t xml:space="preserve">Scale reliability</w:t>
      </w:r>
    </w:p>
    <w:p>
      <w:pPr>
        <w:pStyle w:val="SourceCode"/>
      </w:pPr>
      <w:r>
        <w:rPr>
          <w:rStyle w:val="VerbatimChar"/>
        </w:rPr>
        <w:t xml:space="preserve">Some items ( Att4 Att6 ) were negatively correlated with the first principal component and </w:t>
      </w:r>
      <w:r>
        <w:br/>
      </w:r>
      <w:r>
        <w:rPr>
          <w:rStyle w:val="VerbatimChar"/>
        </w:rPr>
        <w:t xml:space="preserve">probably should be reversed.  </w:t>
      </w:r>
      <w:r>
        <w:br/>
      </w:r>
      <w:r>
        <w:rPr>
          <w:rStyle w:val="VerbatimChar"/>
        </w:rPr>
        <w:t xml:space="preserve">To do this, run the function again with the 'check.keys=TRUE' option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Attractiveness</w:t>
            </w:r>
          </w:p>
        </w:tc>
        <w:tc>
          <w:tcPr/>
          <w:p>
            <w:pPr>
              <w:pStyle w:val="Compact"/>
              <w:jc w:val="left"/>
            </w:pPr>
            <w:r>
              <w:t xml:space="preserve">designometric</w:t>
            </w:r>
          </w:p>
        </w:tc>
        <w:tc>
          <w:tcPr/>
          <w:p>
            <w:pPr>
              <w:pStyle w:val="Compact"/>
              <w:jc w:val="right"/>
            </w:pPr>
            <w:r>
              <w:t xml:space="preserve">0.6262575</w:t>
            </w:r>
          </w:p>
        </w:tc>
        <w:tc>
          <w:tcPr/>
          <w:p>
            <w:pPr>
              <w:pStyle w:val="Compact"/>
              <w:jc w:val="right"/>
            </w:pPr>
            <w:r>
              <w:t xml:space="preserve">0.3968968</w:t>
            </w:r>
          </w:p>
        </w:tc>
        <w:tc>
          <w:tcPr/>
          <w:p>
            <w:pPr>
              <w:pStyle w:val="Compact"/>
              <w:jc w:val="right"/>
            </w:pPr>
            <w:r>
              <w:t xml:space="preserve">0.7534362</w:t>
            </w:r>
          </w:p>
        </w:tc>
      </w:tr>
      <w:tr>
        <w:tc>
          <w:tcPr/>
          <w:p>
            <w:pPr>
              <w:pStyle w:val="Compact"/>
              <w:jc w:val="left"/>
            </w:pPr>
            <w:r>
              <w:t xml:space="preserve">Attractiveness</w:t>
            </w:r>
          </w:p>
        </w:tc>
        <w:tc>
          <w:tcPr/>
          <w:p>
            <w:pPr>
              <w:pStyle w:val="Compact"/>
              <w:jc w:val="left"/>
            </w:pPr>
            <w:r>
              <w:t xml:space="preserve">psychometric</w:t>
            </w:r>
          </w:p>
        </w:tc>
        <w:tc>
          <w:tcPr/>
          <w:p>
            <w:pPr>
              <w:pStyle w:val="Compact"/>
              <w:jc w:val="right"/>
            </w:pPr>
            <w:r>
              <w:t xml:space="preserve">0.3493274</w:t>
            </w:r>
          </w:p>
        </w:tc>
        <w:tc>
          <w:tcPr/>
          <w:p>
            <w:pPr>
              <w:pStyle w:val="Compact"/>
              <w:jc w:val="right"/>
            </w:pPr>
            <w:r>
              <w:t xml:space="preserve">-0.0799348</w:t>
            </w:r>
          </w:p>
        </w:tc>
        <w:tc>
          <w:tcPr/>
          <w:p>
            <w:pPr>
              <w:pStyle w:val="Compact"/>
              <w:jc w:val="right"/>
            </w:pPr>
            <w:r>
              <w:t xml:space="preserve">0.6250488</w:t>
            </w:r>
          </w:p>
        </w:tc>
      </w:tr>
      <w:tr>
        <w:tc>
          <w:tcPr/>
          <w:p>
            <w:pPr>
              <w:pStyle w:val="Compact"/>
              <w:jc w:val="left"/>
            </w:pPr>
            <w:r>
              <w:t xml:space="preserve">Beauty</w:t>
            </w:r>
          </w:p>
        </w:tc>
        <w:tc>
          <w:tcPr/>
          <w:p>
            <w:pPr>
              <w:pStyle w:val="Compact"/>
              <w:jc w:val="left"/>
            </w:pPr>
            <w:r>
              <w:t xml:space="preserve">designometric</w:t>
            </w:r>
          </w:p>
        </w:tc>
        <w:tc>
          <w:tcPr/>
          <w:p>
            <w:pPr>
              <w:pStyle w:val="Compact"/>
              <w:jc w:val="right"/>
            </w:pPr>
            <w:r>
              <w:t xml:space="preserve">0.9691754</w:t>
            </w:r>
          </w:p>
        </w:tc>
        <w:tc>
          <w:tcPr/>
          <w:p>
            <w:pPr>
              <w:pStyle w:val="Compact"/>
              <w:jc w:val="right"/>
            </w:pPr>
            <w:r>
              <w:t xml:space="preserve">0.9572392</w:t>
            </w:r>
          </w:p>
        </w:tc>
        <w:tc>
          <w:tcPr/>
          <w:p>
            <w:pPr>
              <w:pStyle w:val="Compact"/>
              <w:jc w:val="right"/>
            </w:pPr>
            <w:r>
              <w:t xml:space="preserve">0.9786002</w:t>
            </w:r>
          </w:p>
        </w:tc>
      </w:tr>
      <w:tr>
        <w:tc>
          <w:tcPr/>
          <w:p>
            <w:pPr>
              <w:pStyle w:val="Compact"/>
              <w:jc w:val="left"/>
            </w:pPr>
            <w:r>
              <w:t xml:space="preserve">Beauty</w:t>
            </w:r>
          </w:p>
        </w:tc>
        <w:tc>
          <w:tcPr/>
          <w:p>
            <w:pPr>
              <w:pStyle w:val="Compact"/>
              <w:jc w:val="left"/>
            </w:pPr>
            <w:r>
              <w:t xml:space="preserve">psychometric</w:t>
            </w:r>
          </w:p>
        </w:tc>
        <w:tc>
          <w:tcPr/>
          <w:p>
            <w:pPr>
              <w:pStyle w:val="Compact"/>
              <w:jc w:val="right"/>
            </w:pPr>
            <w:r>
              <w:t xml:space="preserve">0.5912002</w:t>
            </w:r>
          </w:p>
        </w:tc>
        <w:tc>
          <w:tcPr/>
          <w:p>
            <w:pPr>
              <w:pStyle w:val="Compact"/>
              <w:jc w:val="right"/>
            </w:pPr>
            <w:r>
              <w:t xml:space="preserve">0.3022487</w:t>
            </w:r>
          </w:p>
        </w:tc>
        <w:tc>
          <w:tcPr/>
          <w:p>
            <w:pPr>
              <w:pStyle w:val="Compact"/>
              <w:jc w:val="right"/>
            </w:pPr>
            <w:r>
              <w:t xml:space="preserve">0.7594905</w:t>
            </w:r>
          </w:p>
        </w:tc>
      </w:tr>
      <w:tr>
        <w:tc>
          <w:tcPr/>
          <w:p>
            <w:pPr>
              <w:pStyle w:val="Compact"/>
              <w:jc w:val="left"/>
            </w:pPr>
            <w:r>
              <w:t xml:space="preserve">Credib</w:t>
            </w:r>
          </w:p>
        </w:tc>
        <w:tc>
          <w:tcPr/>
          <w:p>
            <w:pPr>
              <w:pStyle w:val="Compact"/>
              <w:jc w:val="left"/>
            </w:pPr>
            <w:r>
              <w:t xml:space="preserve">designometric</w:t>
            </w:r>
          </w:p>
        </w:tc>
        <w:tc>
          <w:tcPr/>
          <w:p>
            <w:pPr>
              <w:pStyle w:val="Compact"/>
              <w:jc w:val="right"/>
            </w:pPr>
            <w:r>
              <w:t xml:space="preserve">0.5877316</w:t>
            </w:r>
          </w:p>
        </w:tc>
        <w:tc>
          <w:tcPr/>
          <w:p>
            <w:pPr>
              <w:pStyle w:val="Compact"/>
              <w:jc w:val="right"/>
            </w:pPr>
            <w:r>
              <w:t xml:space="preserve">0.3657634</w:t>
            </w:r>
          </w:p>
        </w:tc>
        <w:tc>
          <w:tcPr/>
          <w:p>
            <w:pPr>
              <w:pStyle w:val="Compact"/>
              <w:jc w:val="right"/>
            </w:pPr>
            <w:r>
              <w:t xml:space="preserve">0.7505330</w:t>
            </w:r>
          </w:p>
        </w:tc>
      </w:tr>
      <w:tr>
        <w:tc>
          <w:tcPr/>
          <w:p>
            <w:pPr>
              <w:pStyle w:val="Compact"/>
              <w:jc w:val="left"/>
            </w:pPr>
            <w:r>
              <w:t xml:space="preserve">Credib</w:t>
            </w:r>
          </w:p>
        </w:tc>
        <w:tc>
          <w:tcPr/>
          <w:p>
            <w:pPr>
              <w:pStyle w:val="Compact"/>
              <w:jc w:val="left"/>
            </w:pPr>
            <w:r>
              <w:t xml:space="preserve">psychometric</w:t>
            </w:r>
          </w:p>
        </w:tc>
        <w:tc>
          <w:tcPr/>
          <w:p>
            <w:pPr>
              <w:pStyle w:val="Compact"/>
              <w:jc w:val="right"/>
            </w:pPr>
            <w:r>
              <w:t xml:space="preserve">0.4385623</w:t>
            </w:r>
          </w:p>
        </w:tc>
        <w:tc>
          <w:tcPr/>
          <w:p>
            <w:pPr>
              <w:pStyle w:val="Compact"/>
              <w:jc w:val="right"/>
            </w:pPr>
            <w:r>
              <w:t xml:space="preserve">-0.1895393</w:t>
            </w:r>
          </w:p>
        </w:tc>
        <w:tc>
          <w:tcPr/>
          <w:p>
            <w:pPr>
              <w:pStyle w:val="Compact"/>
              <w:jc w:val="right"/>
            </w:pPr>
            <w:r>
              <w:t xml:space="preserve">0.6983153</w:t>
            </w:r>
          </w:p>
        </w:tc>
      </w:tr>
      <w:tr>
        <w:tc>
          <w:tcPr/>
          <w:p>
            <w:pPr>
              <w:pStyle w:val="Compact"/>
              <w:jc w:val="left"/>
            </w:pPr>
            <w:r>
              <w:t xml:space="preserve">HQI</w:t>
            </w:r>
          </w:p>
        </w:tc>
        <w:tc>
          <w:tcPr/>
          <w:p>
            <w:pPr>
              <w:pStyle w:val="Compact"/>
              <w:jc w:val="left"/>
            </w:pPr>
            <w:r>
              <w:t xml:space="preserve">designometric</w:t>
            </w:r>
          </w:p>
        </w:tc>
        <w:tc>
          <w:tcPr/>
          <w:p>
            <w:pPr>
              <w:pStyle w:val="Compact"/>
              <w:jc w:val="right"/>
            </w:pPr>
            <w:r>
              <w:t xml:space="preserve">0.6866673</w:t>
            </w:r>
          </w:p>
        </w:tc>
        <w:tc>
          <w:tcPr/>
          <w:p>
            <w:pPr>
              <w:pStyle w:val="Compact"/>
              <w:jc w:val="right"/>
            </w:pPr>
            <w:r>
              <w:t xml:space="preserve">0.5630141</w:t>
            </w:r>
          </w:p>
        </w:tc>
        <w:tc>
          <w:tcPr/>
          <w:p>
            <w:pPr>
              <w:pStyle w:val="Compact"/>
              <w:jc w:val="right"/>
            </w:pPr>
            <w:r>
              <w:t xml:space="preserve">0.7901964</w:t>
            </w:r>
          </w:p>
        </w:tc>
      </w:tr>
      <w:tr>
        <w:tc>
          <w:tcPr/>
          <w:p>
            <w:pPr>
              <w:pStyle w:val="Compact"/>
              <w:jc w:val="left"/>
            </w:pPr>
            <w:r>
              <w:t xml:space="preserve">HQI</w:t>
            </w:r>
          </w:p>
        </w:tc>
        <w:tc>
          <w:tcPr/>
          <w:p>
            <w:pPr>
              <w:pStyle w:val="Compact"/>
              <w:jc w:val="left"/>
            </w:pPr>
            <w:r>
              <w:t xml:space="preserve">psychometric</w:t>
            </w:r>
          </w:p>
        </w:tc>
        <w:tc>
          <w:tcPr/>
          <w:p>
            <w:pPr>
              <w:pStyle w:val="Compact"/>
              <w:jc w:val="right"/>
            </w:pPr>
            <w:r>
              <w:t xml:space="preserve">0.6377301</w:t>
            </w:r>
          </w:p>
        </w:tc>
        <w:tc>
          <w:tcPr/>
          <w:p>
            <w:pPr>
              <w:pStyle w:val="Compact"/>
              <w:jc w:val="right"/>
            </w:pPr>
            <w:r>
              <w:t xml:space="preserve">0.1344088</w:t>
            </w:r>
          </w:p>
        </w:tc>
        <w:tc>
          <w:tcPr/>
          <w:p>
            <w:pPr>
              <w:pStyle w:val="Compact"/>
              <w:jc w:val="right"/>
            </w:pPr>
            <w:r>
              <w:t xml:space="preserve">0.8554820</w:t>
            </w:r>
          </w:p>
        </w:tc>
      </w:tr>
      <w:tr>
        <w:tc>
          <w:tcPr/>
          <w:p>
            <w:pPr>
              <w:pStyle w:val="Compact"/>
              <w:jc w:val="left"/>
            </w:pPr>
            <w:r>
              <w:t xml:space="preserve">HQS</w:t>
            </w:r>
          </w:p>
        </w:tc>
        <w:tc>
          <w:tcPr/>
          <w:p>
            <w:pPr>
              <w:pStyle w:val="Compact"/>
              <w:jc w:val="left"/>
            </w:pPr>
            <w:r>
              <w:t xml:space="preserve">designometric</w:t>
            </w:r>
          </w:p>
        </w:tc>
        <w:tc>
          <w:tcPr/>
          <w:p>
            <w:pPr>
              <w:pStyle w:val="Compact"/>
              <w:jc w:val="right"/>
            </w:pPr>
            <w:r>
              <w:t xml:space="preserve">0.7312659</w:t>
            </w:r>
          </w:p>
        </w:tc>
        <w:tc>
          <w:tcPr/>
          <w:p>
            <w:pPr>
              <w:pStyle w:val="Compact"/>
              <w:jc w:val="right"/>
            </w:pPr>
            <w:r>
              <w:t xml:space="preserve">0.6243172</w:t>
            </w:r>
          </w:p>
        </w:tc>
        <w:tc>
          <w:tcPr/>
          <w:p>
            <w:pPr>
              <w:pStyle w:val="Compact"/>
              <w:jc w:val="right"/>
            </w:pPr>
            <w:r>
              <w:t xml:space="preserve">0.8284638</w:t>
            </w:r>
          </w:p>
        </w:tc>
      </w:tr>
      <w:tr>
        <w:tc>
          <w:tcPr/>
          <w:p>
            <w:pPr>
              <w:pStyle w:val="Compact"/>
              <w:jc w:val="left"/>
            </w:pPr>
            <w:r>
              <w:t xml:space="preserve">HQS</w:t>
            </w:r>
          </w:p>
        </w:tc>
        <w:tc>
          <w:tcPr/>
          <w:p>
            <w:pPr>
              <w:pStyle w:val="Compact"/>
              <w:jc w:val="left"/>
            </w:pPr>
            <w:r>
              <w:t xml:space="preserve">psychometric</w:t>
            </w:r>
          </w:p>
        </w:tc>
        <w:tc>
          <w:tcPr/>
          <w:p>
            <w:pPr>
              <w:pStyle w:val="Compact"/>
              <w:jc w:val="right"/>
            </w:pPr>
            <w:r>
              <w:t xml:space="preserve">0.7035217</w:t>
            </w:r>
          </w:p>
        </w:tc>
        <w:tc>
          <w:tcPr/>
          <w:p>
            <w:pPr>
              <w:pStyle w:val="Compact"/>
              <w:jc w:val="right"/>
            </w:pPr>
            <w:r>
              <w:t xml:space="preserve">0.3937996</w:t>
            </w:r>
          </w:p>
        </w:tc>
        <w:tc>
          <w:tcPr/>
          <w:p>
            <w:pPr>
              <w:pStyle w:val="Compact"/>
              <w:jc w:val="right"/>
            </w:pPr>
            <w:r>
              <w:t xml:space="preserve">0.8539470</w:t>
            </w:r>
          </w:p>
        </w:tc>
      </w:tr>
      <w:tr>
        <w:tc>
          <w:tcPr/>
          <w:p>
            <w:pPr>
              <w:pStyle w:val="Compact"/>
              <w:jc w:val="left"/>
            </w:pPr>
            <w:r>
              <w:t xml:space="preserve">Hedonism</w:t>
            </w:r>
          </w:p>
        </w:tc>
        <w:tc>
          <w:tcPr/>
          <w:p>
            <w:pPr>
              <w:pStyle w:val="Compact"/>
              <w:jc w:val="left"/>
            </w:pPr>
            <w:r>
              <w:t xml:space="preserve">designometric</w:t>
            </w:r>
          </w:p>
        </w:tc>
        <w:tc>
          <w:tcPr/>
          <w:p>
            <w:pPr>
              <w:pStyle w:val="Compact"/>
              <w:jc w:val="right"/>
            </w:pPr>
            <w:r>
              <w:t xml:space="preserve">0.9672357</w:t>
            </w:r>
          </w:p>
        </w:tc>
        <w:tc>
          <w:tcPr/>
          <w:p>
            <w:pPr>
              <w:pStyle w:val="Compact"/>
              <w:jc w:val="right"/>
            </w:pPr>
            <w:r>
              <w:t xml:space="preserve">0.9520666</w:t>
            </w:r>
          </w:p>
        </w:tc>
        <w:tc>
          <w:tcPr/>
          <w:p>
            <w:pPr>
              <w:pStyle w:val="Compact"/>
              <w:jc w:val="right"/>
            </w:pPr>
            <w:r>
              <w:t xml:space="preserve">0.9783741</w:t>
            </w:r>
          </w:p>
        </w:tc>
      </w:tr>
      <w:tr>
        <w:tc>
          <w:tcPr/>
          <w:p>
            <w:pPr>
              <w:pStyle w:val="Compact"/>
              <w:jc w:val="left"/>
            </w:pPr>
            <w:r>
              <w:t xml:space="preserve">Hedonism</w:t>
            </w:r>
          </w:p>
        </w:tc>
        <w:tc>
          <w:tcPr/>
          <w:p>
            <w:pPr>
              <w:pStyle w:val="Compact"/>
              <w:jc w:val="left"/>
            </w:pPr>
            <w:r>
              <w:t xml:space="preserve">psychometric</w:t>
            </w:r>
          </w:p>
        </w:tc>
        <w:tc>
          <w:tcPr/>
          <w:p>
            <w:pPr>
              <w:pStyle w:val="Compact"/>
              <w:jc w:val="right"/>
            </w:pPr>
            <w:r>
              <w:t xml:space="preserve">0.6092398</w:t>
            </w:r>
          </w:p>
        </w:tc>
        <w:tc>
          <w:tcPr/>
          <w:p>
            <w:pPr>
              <w:pStyle w:val="Compact"/>
              <w:jc w:val="right"/>
            </w:pPr>
            <w:r>
              <w:t xml:space="preserve">0.3789795</w:t>
            </w:r>
          </w:p>
        </w:tc>
        <w:tc>
          <w:tcPr/>
          <w:p>
            <w:pPr>
              <w:pStyle w:val="Compact"/>
              <w:jc w:val="right"/>
            </w:pPr>
            <w:r>
              <w:t xml:space="preserve">0.7584401</w:t>
            </w:r>
          </w:p>
        </w:tc>
      </w:tr>
      <w:tr>
        <w:tc>
          <w:tcPr/>
          <w:p>
            <w:pPr>
              <w:pStyle w:val="Compact"/>
              <w:jc w:val="left"/>
            </w:pPr>
            <w:r>
              <w:t xml:space="preserve">Usability</w:t>
            </w:r>
          </w:p>
        </w:tc>
        <w:tc>
          <w:tcPr/>
          <w:p>
            <w:pPr>
              <w:pStyle w:val="Compact"/>
              <w:jc w:val="left"/>
            </w:pPr>
            <w:r>
              <w:t xml:space="preserve">designometric</w:t>
            </w:r>
          </w:p>
        </w:tc>
        <w:tc>
          <w:tcPr/>
          <w:p>
            <w:pPr>
              <w:pStyle w:val="Compact"/>
              <w:jc w:val="right"/>
            </w:pPr>
            <w:r>
              <w:t xml:space="preserve">0.8665241</w:t>
            </w:r>
          </w:p>
        </w:tc>
        <w:tc>
          <w:tcPr/>
          <w:p>
            <w:pPr>
              <w:pStyle w:val="Compact"/>
              <w:jc w:val="right"/>
            </w:pPr>
            <w:r>
              <w:t xml:space="preserve">0.7875873</w:t>
            </w:r>
          </w:p>
        </w:tc>
        <w:tc>
          <w:tcPr/>
          <w:p>
            <w:pPr>
              <w:pStyle w:val="Compact"/>
              <w:jc w:val="right"/>
            </w:pPr>
            <w:r>
              <w:t xml:space="preserve">0.9198792</w:t>
            </w:r>
          </w:p>
        </w:tc>
      </w:tr>
      <w:tr>
        <w:tc>
          <w:tcPr/>
          <w:p>
            <w:pPr>
              <w:pStyle w:val="Compact"/>
              <w:jc w:val="left"/>
            </w:pPr>
            <w:r>
              <w:t xml:space="preserve">Usability</w:t>
            </w:r>
          </w:p>
        </w:tc>
        <w:tc>
          <w:tcPr/>
          <w:p>
            <w:pPr>
              <w:pStyle w:val="Compact"/>
              <w:jc w:val="left"/>
            </w:pPr>
            <w:r>
              <w:t xml:space="preserve">psychometric</w:t>
            </w:r>
          </w:p>
        </w:tc>
        <w:tc>
          <w:tcPr/>
          <w:p>
            <w:pPr>
              <w:pStyle w:val="Compact"/>
              <w:jc w:val="right"/>
            </w:pPr>
            <w:r>
              <w:t xml:space="preserve">0.6442126</w:t>
            </w:r>
          </w:p>
        </w:tc>
        <w:tc>
          <w:tcPr/>
          <w:p>
            <w:pPr>
              <w:pStyle w:val="Compact"/>
              <w:jc w:val="right"/>
            </w:pPr>
            <w:r>
              <w:t xml:space="preserve">0.4281737</w:t>
            </w:r>
          </w:p>
        </w:tc>
        <w:tc>
          <w:tcPr/>
          <w:p>
            <w:pPr>
              <w:pStyle w:val="Compact"/>
              <w:jc w:val="right"/>
            </w:pPr>
            <w:r>
              <w:t xml:space="preserve">0.8038475</w:t>
            </w:r>
          </w:p>
        </w:tc>
      </w:tr>
      <w:tr>
        <w:tc>
          <w:tcPr/>
          <w:p>
            <w:pPr>
              <w:pStyle w:val="Compact"/>
              <w:jc w:val="left"/>
            </w:pPr>
            <w:r>
              <w:t xml:space="preserve">nEeriness</w:t>
            </w:r>
          </w:p>
        </w:tc>
        <w:tc>
          <w:tcPr/>
          <w:p>
            <w:pPr>
              <w:pStyle w:val="Compact"/>
              <w:jc w:val="left"/>
            </w:pPr>
            <w:r>
              <w:t xml:space="preserve">designometric</w:t>
            </w:r>
          </w:p>
        </w:tc>
        <w:tc>
          <w:tcPr/>
          <w:p>
            <w:pPr>
              <w:pStyle w:val="Compact"/>
              <w:jc w:val="right"/>
            </w:pPr>
            <w:r>
              <w:t xml:space="preserve">0.8820027</w:t>
            </w:r>
          </w:p>
        </w:tc>
        <w:tc>
          <w:tcPr/>
          <w:p>
            <w:pPr>
              <w:pStyle w:val="Compact"/>
              <w:jc w:val="right"/>
            </w:pPr>
            <w:r>
              <w:t xml:space="preserve">0.8452073</w:t>
            </w:r>
          </w:p>
        </w:tc>
        <w:tc>
          <w:tcPr/>
          <w:p>
            <w:pPr>
              <w:pStyle w:val="Compact"/>
              <w:jc w:val="right"/>
            </w:pPr>
            <w:r>
              <w:t xml:space="preserve">0.9115310</w:t>
            </w:r>
          </w:p>
        </w:tc>
      </w:tr>
      <w:tr>
        <w:tc>
          <w:tcPr/>
          <w:p>
            <w:pPr>
              <w:pStyle w:val="Compact"/>
              <w:jc w:val="left"/>
            </w:pPr>
            <w:r>
              <w:t xml:space="preserve">nEeriness</w:t>
            </w:r>
          </w:p>
        </w:tc>
        <w:tc>
          <w:tcPr/>
          <w:p>
            <w:pPr>
              <w:pStyle w:val="Compact"/>
              <w:jc w:val="left"/>
            </w:pPr>
            <w:r>
              <w:t xml:space="preserve">psychometric</w:t>
            </w:r>
          </w:p>
        </w:tc>
        <w:tc>
          <w:tcPr/>
          <w:p>
            <w:pPr>
              <w:pStyle w:val="Compact"/>
              <w:jc w:val="right"/>
            </w:pPr>
            <w:r>
              <w:t xml:space="preserve">0.8065574</w:t>
            </w:r>
          </w:p>
        </w:tc>
        <w:tc>
          <w:tcPr/>
          <w:p>
            <w:pPr>
              <w:pStyle w:val="Compact"/>
              <w:jc w:val="right"/>
            </w:pPr>
            <w:r>
              <w:t xml:space="preserve">0.7172495</w:t>
            </w:r>
          </w:p>
        </w:tc>
        <w:tc>
          <w:tcPr/>
          <w:p>
            <w:pPr>
              <w:pStyle w:val="Compact"/>
              <w:jc w:val="right"/>
            </w:pPr>
            <w:r>
              <w:t xml:space="preserve">0.8691492</w:t>
            </w:r>
          </w:p>
        </w:tc>
      </w:tr>
    </w:tbl>
    <w:tbl>
      <w:tblPr>
        <w:tblStyle w:val="Table"/>
        <w:tblW w:type="pct" w:w="5000"/>
        <w:tblLayout w:type="fixed"/>
        <w:tblLook w:firstRow="0" w:lastRow="0" w:firstColumn="0" w:lastColumn="0" w:noHBand="0" w:noVBand="0" w:val="0000"/>
      </w:tblPr>
      <w:tblGrid>
        <w:gridCol w:w="7920"/>
      </w:tblGrid>
      <w:tr>
        <w:tc>
          <w:tcPr/>
          <w:bookmarkStart w:id="42" w:name="fig-scale-reliability"/>
          <w:p>
            <w:pPr>
              <w:pStyle w:val="Compact"/>
              <w:jc w:val="center"/>
            </w:pPr>
            <w:r>
              <w:drawing>
                <wp:inline>
                  <wp:extent cx="5334000" cy="5334000"/>
                  <wp:effectExtent b="0" l="0" r="0" t="0"/>
                  <wp:docPr descr="" title="" id="40" name="Picture"/>
                  <a:graphic>
                    <a:graphicData uri="http://schemas.openxmlformats.org/drawingml/2006/picture">
                      <pic:pic>
                        <pic:nvPicPr>
                          <pic:cNvPr descr="DMX_1_files/figure-docx/fig-scale-reliability-1.png" id="41"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Cronbach alpha item-level reliability estimates compared by perspective and scale</w:t>
            </w:r>
          </w:p>
          <w:bookmarkEnd w:id="42"/>
        </w:tc>
      </w:tr>
    </w:tbl>
    <w:p>
      <w:pPr>
        <w:pStyle w:val="BodyText"/>
      </w:pPr>
      <w:r>
        <w:t xml:space="preserve">Overall scale reliabilities cover a broad range from excellent to unusable</w:t>
      </w:r>
      <w:r>
        <w:t xml:space="preserve"> </w:t>
      </w:r>
      <w:hyperlink w:anchor="fig-scale-reliability">
        <w:r>
          <w:rPr>
            <w:rStyle w:val="Hyperlink"/>
          </w:rPr>
          <w:t xml:space="preserve">Figure 1</w:t>
        </w:r>
      </w:hyperlink>
      <w:r>
        <w:t xml:space="preserve">. All scales improve under the designometric perspective, albeit, the difference ranges from barely noticable (HQS, HQI) to very strong (Hedonism, Usability, Beauty and Attractiveness). The most dramatic difference can be seen in Hedonism and Beauty, which both have excellent designometric reliability, but unusable otherwise.</w:t>
      </w:r>
    </w:p>
    <w:bookmarkEnd w:id="43"/>
    <w:bookmarkStart w:id="48" w:name="item-consistency"/>
    <w:p>
      <w:pPr>
        <w:pStyle w:val="Heading2"/>
      </w:pPr>
      <w:r>
        <w:t xml:space="preserve">Item consistency</w:t>
      </w:r>
    </w:p>
    <w:p>
      <w:pPr>
        <w:pStyle w:val="SourceCode"/>
      </w:pPr>
      <w:r>
        <w:rPr>
          <w:rStyle w:val="VerbatimChar"/>
        </w:rPr>
        <w:t xml:space="preserve">Some items ( Att4 Att6 ) were negatively correlated with the first principal component and </w:t>
      </w:r>
      <w:r>
        <w:br/>
      </w:r>
      <w:r>
        <w:rPr>
          <w:rStyle w:val="VerbatimChar"/>
        </w:rPr>
        <w:t xml:space="preserve">probably should be reversed.  </w:t>
      </w:r>
      <w:r>
        <w:br/>
      </w:r>
      <w:r>
        <w:rPr>
          <w:rStyle w:val="VerbatimChar"/>
        </w:rPr>
        <w:t xml:space="preserve">To do this, run the function again with the 'check.keys=TRUE' option</w:t>
      </w:r>
    </w:p>
    <w:p>
      <w:pPr>
        <w:pStyle w:val="SourceCode"/>
      </w:pPr>
    </w:p>
    <w:tbl>
      <w:tblPr>
        <w:tblStyle w:val="Table"/>
        <w:tblW w:type="pct" w:w="5000"/>
        <w:tblLayout w:type="fixed"/>
        <w:tblLook w:firstRow="0" w:lastRow="0" w:firstColumn="0" w:lastColumn="0" w:noHBand="0" w:noVBand="0" w:val="0000"/>
      </w:tblPr>
      <w:tblGrid>
        <w:gridCol w:w="7920"/>
      </w:tblGrid>
      <w:tr>
        <w:tc>
          <w:tcPr/>
          <w:bookmarkStart w:id="47" w:name="fig-item-reliability"/>
          <w:p>
            <w:pPr>
              <w:pStyle w:val="Compact"/>
              <w:jc w:val="center"/>
            </w:pPr>
            <w:r>
              <w:drawing>
                <wp:inline>
                  <wp:extent cx="5334000" cy="5334000"/>
                  <wp:effectExtent b="0" l="0" r="0" t="0"/>
                  <wp:docPr descr="" title="" id="45" name="Picture"/>
                  <a:graphic>
                    <a:graphicData uri="http://schemas.openxmlformats.org/drawingml/2006/picture">
                      <pic:pic>
                        <pic:nvPicPr>
                          <pic:cNvPr descr="DMX_1_files/figure-docx/fig-item-reliability-1.png" id="46"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Cronbach alpha item-level reliability estimates compared by perspective and scale</w:t>
            </w:r>
          </w:p>
          <w:bookmarkEnd w:id="47"/>
        </w:tc>
      </w:tr>
    </w:tbl>
    <w:p>
      <w:pPr>
        <w:pStyle w:val="BodyText"/>
      </w:pPr>
      <w:hyperlink w:anchor="fig-item-reliability">
        <w:r>
          <w:rPr>
            <w:rStyle w:val="Hyperlink"/>
          </w:rPr>
          <w:t xml:space="preserve">Figure 2</w:t>
        </w:r>
      </w:hyperlink>
      <w:r>
        <w:t xml:space="preserve"> </w:t>
      </w:r>
      <w:r>
        <w:t xml:space="preserve">shows item consistency as corrected item-total correlations as a measure for item consistency. Beauty and Hedonism stand out, because all items take a similar sharp drop in reliability under pmx. To some extent this also seems to hold for Usability and Eeriness. For Credibility, HQ-I, HQ-S and Attractiveness some items drop under pmx, whereas others improve, with two extreme cases: Items Att4 andf Att6 are already on a very low level of reliability under dmx, but under pmx, they even become negatively correlated. Items HQI5 and HQI6 perform poorly under dmx, but are among the overall best performing items under pmx.</w:t>
      </w:r>
    </w:p>
    <w:bookmarkEnd w:id="48"/>
    <w:bookmarkStart w:id="67" w:name="number-of-factors"/>
    <w:p>
      <w:pPr>
        <w:pStyle w:val="Heading2"/>
      </w:pPr>
      <w:r>
        <w:t xml:space="preserve">Number of factors</w:t>
      </w:r>
    </w:p>
    <w:p>
      <w:pPr>
        <w:pStyle w:val="FirstParagraph"/>
      </w:pPr>
      <w:r>
        <w:t xml:space="preserve">Often, different scales are used in combination to create a more complete picture. It is usually the aim that a scale measures exactly one construct (or latent variable) and that different scales measure different constructs.</w:t>
      </w:r>
    </w:p>
    <w:p>
      <w:pPr>
        <w:pStyle w:val="BodyText"/>
      </w:pPr>
      <w:r>
        <w:t xml:space="preserve">In contrast, the AttrakDiff2 questionnaire comprises two scales to capture supposedly different aspects.</w:t>
      </w:r>
    </w:p>
    <w:p>
      <w:pPr>
        <w:pStyle w:val="BodyText"/>
      </w:pPr>
      <w:r>
        <w:t xml:space="preserve">Given a response matrix, the number of factors can be estimated using parallel analysis. Ideally, this procedure returns exactly as many factors as there are separate scales. Here, we use parallel analysis to assess whether the two perspectives produce the expected number of factors, or at least agree on a number.</w:t>
      </w:r>
    </w:p>
    <w:p>
      <w:pPr>
        <w:pStyle w:val="BodyText"/>
      </w:pPr>
      <w:r>
        <w:t xml:space="preserve">((MacDorman)) found that the Eeriness scale decomposes into two slightly different aspects, summarized as</w:t>
      </w:r>
      <w:r>
        <w:t xml:space="preserve"> </w:t>
      </w:r>
      <w:r>
        <w:t xml:space="preserve">“eery”</w:t>
      </w:r>
      <w:r>
        <w:t xml:space="preserve"> </w:t>
      </w:r>
      <w:r>
        <w:t xml:space="preserve">and</w:t>
      </w:r>
      <w:r>
        <w:t xml:space="preserve"> </w:t>
      </w:r>
      <w:r>
        <w:t xml:space="preserve">“spine-tingling”</w:t>
      </w:r>
      <w:r>
        <w:t xml:space="preserve">.</w:t>
      </w:r>
    </w:p>
    <w:p>
      <w:pPr>
        <w:pStyle w:val="CaptionedFigure"/>
      </w:pPr>
      <w:r>
        <w:drawing>
          <wp:inline>
            <wp:extent cx="5334000" cy="5334000"/>
            <wp:effectExtent b="0" l="0" r="0" t="0"/>
            <wp:docPr descr="Suggested number of factors for the Eeriness scale compared by perspective" title="" id="50" name="Picture"/>
            <a:graphic>
              <a:graphicData uri="http://schemas.openxmlformats.org/drawingml/2006/picture">
                <pic:pic>
                  <pic:nvPicPr>
                    <pic:cNvPr descr="DMX_1_files/figure-docx/nfactors-eeriness-1.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SourceCode"/>
      </w:pPr>
      <w:r>
        <w:rPr>
          <w:rStyle w:val="VerbatimChar"/>
        </w:rPr>
        <w:t xml:space="preserve">Parallel analysis suggests that the number of factors =  1  and the number of components =  NA </w:t>
      </w:r>
    </w:p>
    <w:p>
      <w:pPr>
        <w:pStyle w:val="CaptionedFigure"/>
      </w:pPr>
      <w:r>
        <w:drawing>
          <wp:inline>
            <wp:extent cx="5334000" cy="5334000"/>
            <wp:effectExtent b="0" l="0" r="0" t="0"/>
            <wp:docPr descr="Suggested number of factors for the Eeriness scale compared by perspective" title="" id="53" name="Picture"/>
            <a:graphic>
              <a:graphicData uri="http://schemas.openxmlformats.org/drawingml/2006/picture">
                <pic:pic>
                  <pic:nvPicPr>
                    <pic:cNvPr descr="DMX_1_files/figure-docx/nfactors-eeriness-2.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SourceCode"/>
      </w:pPr>
      <w:r>
        <w:rPr>
          <w:rStyle w:val="VerbatimChar"/>
        </w:rPr>
        <w:t xml:space="preserve">Parallel analysis suggests that the number of factors =  1  and the number of components =  NA </w:t>
      </w:r>
    </w:p>
    <w:p>
      <w:pPr>
        <w:pStyle w:val="FirstParagraph"/>
      </w:pPr>
      <w:r>
        <w:t xml:space="preserve">The results suggest that under dmx only one latent variables exists, whereas pmx produces two.</w:t>
      </w:r>
    </w:p>
    <w:p>
      <w:pPr>
        <w:pStyle w:val="BodyText"/>
      </w:pPr>
      <w:r>
        <w:t xml:space="preserve">On theoretical grounds, the AttrakDiff2 inventory splits hedonistic quality into two components, Identity and Stimulation, while the credibility scale is a completely separate construct. We would expect three factors to emerge.</w:t>
      </w:r>
    </w:p>
    <w:p>
      <w:pPr>
        <w:pStyle w:val="CaptionedFigure"/>
      </w:pPr>
      <w:r>
        <w:drawing>
          <wp:inline>
            <wp:extent cx="5334000" cy="5334000"/>
            <wp:effectExtent b="0" l="0" r="0" t="0"/>
            <wp:docPr descr="Suggested number of factors for AttrakDiff inventory plus Credibility compared by perspective" title="" id="56" name="Picture"/>
            <a:graphic>
              <a:graphicData uri="http://schemas.openxmlformats.org/drawingml/2006/picture">
                <pic:pic>
                  <pic:nvPicPr>
                    <pic:cNvPr descr="DMX_1_files/figure-docx/nfactors-attrakdiff-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SourceCode"/>
      </w:pPr>
      <w:r>
        <w:rPr>
          <w:rStyle w:val="VerbatimChar"/>
        </w:rPr>
        <w:t xml:space="preserve">Parallel analysis suggests that the number of factors =  5  and the number of components =  NA </w:t>
      </w:r>
    </w:p>
    <w:p>
      <w:pPr>
        <w:pStyle w:val="CaptionedFigure"/>
      </w:pPr>
      <w:r>
        <w:drawing>
          <wp:inline>
            <wp:extent cx="5334000" cy="5334000"/>
            <wp:effectExtent b="0" l="0" r="0" t="0"/>
            <wp:docPr descr="Suggested number of factors for AttrakDiff inventory plus Credibility compared by perspective" title="" id="59" name="Picture"/>
            <a:graphic>
              <a:graphicData uri="http://schemas.openxmlformats.org/drawingml/2006/picture">
                <pic:pic>
                  <pic:nvPicPr>
                    <pic:cNvPr descr="DMX_1_files/figure-docx/nfactors-attrakdiff-2.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SourceCode"/>
      </w:pPr>
      <w:r>
        <w:rPr>
          <w:rStyle w:val="VerbatimChar"/>
        </w:rPr>
        <w:t xml:space="preserve">Parallel analysis suggests that the number of factors =  1  and the number of components =  NA </w:t>
      </w:r>
    </w:p>
    <w:p>
      <w:pPr>
        <w:pStyle w:val="FirstParagraph"/>
      </w:pPr>
      <w:r>
        <w:t xml:space="preserve">Under a desginometric perspective, the three scales have five underlying factors, but merging into one under pmx.</w:t>
      </w:r>
    </w:p>
    <w:p>
      <w:pPr>
        <w:pStyle w:val="BodyText"/>
      </w:pPr>
      <w:r>
        <w:t xml:space="preserve">Finally, in study DN three independent scales, Hedonism, Usability and Beauty, were used. But, parallel analysis suggests that these capture the same latent variable under both perspectives.</w:t>
      </w:r>
    </w:p>
    <w:p>
      <w:pPr>
        <w:pStyle w:val="CaptionedFigure"/>
      </w:pPr>
      <w:r>
        <w:drawing>
          <wp:inline>
            <wp:extent cx="5334000" cy="5334000"/>
            <wp:effectExtent b="0" l="0" r="0" t="0"/>
            <wp:docPr descr="Suggested number of factors for Hedonism, Usability and Beauty scales compared by perspective" title="" id="62" name="Picture"/>
            <a:graphic>
              <a:graphicData uri="http://schemas.openxmlformats.org/drawingml/2006/picture">
                <pic:pic>
                  <pic:nvPicPr>
                    <pic:cNvPr descr="DMX_1_files/figure-docx/nfactors-HUB-1.png" id="63"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p>
      <w:pPr>
        <w:pStyle w:val="SourceCode"/>
      </w:pPr>
      <w:r>
        <w:rPr>
          <w:rStyle w:val="VerbatimChar"/>
        </w:rPr>
        <w:t xml:space="preserve">Parallel analysis suggests that the number of factors =  1  and the number of components =  NA </w:t>
      </w:r>
    </w:p>
    <w:p>
      <w:pPr>
        <w:pStyle w:val="CaptionedFigure"/>
      </w:pPr>
      <w:r>
        <w:drawing>
          <wp:inline>
            <wp:extent cx="5334000" cy="5334000"/>
            <wp:effectExtent b="0" l="0" r="0" t="0"/>
            <wp:docPr descr="Suggested number of factors for Hedonism, Usability and Beauty scales compared by perspective" title="" id="65" name="Picture"/>
            <a:graphic>
              <a:graphicData uri="http://schemas.openxmlformats.org/drawingml/2006/picture">
                <pic:pic>
                  <pic:nvPicPr>
                    <pic:cNvPr descr="DMX_1_files/figure-docx/nfactors-HUB-2.png" id="66"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p>
      <w:pPr>
        <w:pStyle w:val="SourceCode"/>
      </w:pPr>
      <w:r>
        <w:rPr>
          <w:rStyle w:val="VerbatimChar"/>
        </w:rPr>
        <w:t xml:space="preserve">Parallel analysis suggests that the number of factors =  1  and the number of components =  NA </w:t>
      </w:r>
    </w:p>
    <w:bookmarkEnd w:id="67"/>
    <w:bookmarkEnd w:id="68"/>
    <w:bookmarkStart w:id="73"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very poor.</w:t>
      </w:r>
    </w:p>
    <w:p>
      <w:pPr>
        <w:pStyle w:val="BodyText"/>
      </w:pPr>
      <w:r>
        <w:t xml:space="preserve">We used data from five experiments to assess the severity of the psychometric fallacy in real practice. Overall, the results show that the psychometric fallacy produces dramatic biases for all tested methods. For practicioners using these scales the good news is that all scales performed better under the correct desgnometric perspective, and most of them even fairly well.</w:t>
      </w:r>
    </w:p>
    <w:p>
      <w:pPr>
        <w:pStyle w:val="BodyText"/>
      </w:pPr>
      <w:r>
        <w:t xml:space="preserve">In contrast, item consistency and factor analysis showed that the psychometric fallacy can lead to strong biases. Items can suddenly become negatively correlated, as in the case of Attractiveness. The two Hedonism scales from AttrakDiff and the Credibility scale showed an extreme pattern, where the majority of items remained relatively stable, whereas two items switched from poor reliability to excellent reliability under pmx. With these patterns in mind, it is almost not surprising that factor analysis can also produce quite different results. Most strikingly, under dmx not a single result matched the theoretical expectations.</w:t>
      </w:r>
    </w:p>
    <w:bookmarkStart w:id="69" w:name="dev-time-implications"/>
    <w:p>
      <w:pPr>
        <w:pStyle w:val="Heading2"/>
      </w:pPr>
      <w:r>
        <w:t xml:space="preserve">Dev time implications</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Interestingly, on item level Credibility and HQ-I show the same pattern, where two items perform well under pmx, but extremely poor under dmx. This may be a co-incidence, or the result of developing a dmx scale under pmx is to</w:t>
      </w:r>
      <w:r>
        <w:t xml:space="preserve"> </w:t>
      </w:r>
      <w:r>
        <w:rPr>
          <w:i/>
          <w:iCs/>
        </w:rPr>
        <w:t xml:space="preserve">false favor</w:t>
      </w:r>
      <w:r>
        <w:t xml:space="preserve"> </w:t>
      </w:r>
      <w:r>
        <w:t xml:space="preserve">items that are well-behaved in ranking persons, but are inefficient for designs. To make the case,</w:t>
      </w:r>
      <w:r>
        <w:t xml:space="preserve"> </w:t>
      </w:r>
      <w:r>
        <w:t xml:space="preserve">(</w:t>
      </w:r>
      <w:r>
        <w:rPr>
          <w:b/>
          <w:bCs/>
        </w:rPr>
        <w:t xml:space="preserve">Tab-rel-after-removal?</w:t>
      </w:r>
      <w:r>
        <w:t xml:space="preserve">)</w:t>
      </w:r>
      <w:r>
        <w:t xml:space="preserve"> </w:t>
      </w:r>
      <w:r>
        <w:t xml:space="preserve">compares dmx scale reliability on these three scales with and without their two ill-behaved items.</w:t>
      </w:r>
    </w:p>
    <w:p>
      <w:pPr>
        <w:pStyle w:val="SourceCode"/>
      </w:pPr>
      <w:r>
        <w:rPr>
          <w:rStyle w:val="VerbatimChar"/>
        </w:rPr>
        <w:t xml:space="preserve">[1] "TODO"</w:t>
      </w:r>
    </w:p>
    <w:p>
      <w:pPr>
        <w:pStyle w:val="FirstParagraph"/>
      </w:pPr>
      <w:r>
        <w:t xml:space="preserve">A pmx perspective may also</w:t>
      </w:r>
      <w:r>
        <w:t xml:space="preserve"> </w:t>
      </w:r>
      <w:r>
        <w:rPr>
          <w:i/>
          <w:iCs/>
        </w:rPr>
        <w:t xml:space="preserve">false reject</w:t>
      </w:r>
      <w:r>
        <w:t xml:space="preserve"> </w:t>
      </w:r>
      <w:r>
        <w:t xml:space="preserve">items that are actually well-behaved in ranking designs. Creating an item pool is by itself a time-consuming process, and the psychometric fallacy can make it even more difficult by unnecessarily rejecting items. A possible example is the development of the BUS-11 scale, where face validity demands (and factor analysis has confirmed) ((REF Simone)) that</w:t>
      </w:r>
      <w:r>
        <w:t xml:space="preserve"> </w:t>
      </w:r>
      <w:r>
        <w:rPr>
          <w:i/>
          <w:iCs/>
        </w:rPr>
        <w:t xml:space="preserve">Privacy</w:t>
      </w:r>
      <w:r>
        <w:t xml:space="preserve"> </w:t>
      </w:r>
      <w:r>
        <w:t xml:space="preserve">is a separate construct. Unfortunately, only one item was left after item selection.</w:t>
      </w:r>
    </w:p>
    <w:bookmarkEnd w:id="69"/>
    <w:bookmarkStart w:id="70" w:name="run-time-implications"/>
    <w:p>
      <w:pPr>
        <w:pStyle w:val="Heading2"/>
      </w:pPr>
      <w:r>
        <w:t xml:space="preserve">Run time implications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pmx being the lowest ranked under dmx.</w:t>
      </w:r>
    </w:p>
    <w:bookmarkEnd w:id="70"/>
    <w:bookmarkStart w:id="71" w:name="future-applications"/>
    <w:p>
      <w:pPr>
        <w:pStyle w:val="Heading2"/>
      </w:pPr>
      <w:r>
        <w:t xml:space="preserve">Future Applications</w:t>
      </w:r>
    </w:p>
    <w:p>
      <w:pPr>
        <w:pStyle w:val="FirstParagraph"/>
      </w:pPr>
      <w:r>
        <w:t xml:space="preserve">A key idea in usability engineering is that interaction designers must learned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At the same time, humoid and animalistic robot design is coming out of its niche, and virtual reality applications are on their way to mainstream. These three domains have in common that, compared to classic computer applications, they are tapping into new territories of the users mind, the social mind and the sensation of physical reality. When Social Experience (SX) or Virtual Experience (VX) become the new UX, it may start with the same abundance of new instruments trying to map the uncharted design space. From a practical perspective, our results suggest that the psychometric fallacy can be harmful in the item selection process. Design researchers</w:t>
      </w:r>
    </w:p>
    <w:bookmarkEnd w:id="71"/>
    <w:bookmarkStart w:id="72" w:name="towards-deep-designometrics"/>
    <w:p>
      <w:pPr>
        <w:pStyle w:val="Heading2"/>
      </w:pPr>
      <w:r>
        <w:t xml:space="preserve">Towards Deep Designometrics</w:t>
      </w:r>
    </w:p>
    <w:p>
      <w:pPr>
        <w:pStyle w:val="FirstParagraph"/>
      </w:pPr>
      <w:r>
        <w:t xml:space="preserve">By comparing the two perspectives, we illustrated that designometric analysis can fully be done with standard psychometric tools, as long as one uses the correct response matrix. However, by reducing the designometric box to a flat matrix, we loose all information on users. Formally, it would even be possible to evaluate a designometric model on the responses of a</w:t>
      </w:r>
      <w:r>
        <w:t xml:space="preserve"> </w:t>
      </w:r>
      <w:r>
        <w:rPr>
          <w:i/>
          <w:iCs/>
        </w:rPr>
        <w:t xml:space="preserve">single user</w:t>
      </w:r>
      <w:r>
        <w:t xml:space="preserve">, while the situation</w:t>
      </w:r>
    </w:p>
    <w:p>
      <w:pPr>
        <w:pStyle w:val="BodyText"/>
      </w:pPr>
      <w:r>
        <w:t xml:space="preserve">If the cube is collapsed to a psychometric matrix, which can be used to estimate</w:t>
      </w:r>
      <w:r>
        <w:t xml:space="preserve"> </w:t>
      </w:r>
      <w:r>
        <w:rPr>
          <w:i/>
          <w:iCs/>
        </w:rPr>
        <w:t xml:space="preserve">user sensitivity</w:t>
      </w:r>
      <w:r>
        <w:t xml:space="preserve">. Legitimate cases exist to use a designometric scale for psychometric purposes. For example, an instrument to measure trustworthiness of designs could be used to estimate faithfulness levels of participants in a study (or a training) on cyber security.</w:t>
      </w:r>
    </w:p>
    <w:p>
      <w:pPr>
        <w:pStyle w:val="BodyText"/>
      </w:pPr>
      <w:r>
        <w:t xml:space="preserve">By flattening the designometric box one way, then the other, we still loose information that is needed to secure that items are truly well-behaved. In educational psychometrics</w:t>
      </w:r>
      <w:r>
        <w:t xml:space="preserve"> </w:t>
      </w:r>
      <w:r>
        <w:rPr>
          <w:i/>
          <w:iCs/>
        </w:rPr>
        <w:t xml:space="preserve">differential item functioning</w:t>
      </w:r>
      <w:r>
        <w:t xml:space="preserve"> </w:t>
      </w:r>
      <w:r>
        <w:t xml:space="preserve">is the idea that items must be fair and function the same for every tested person. This also is a desirable property for a designometric scale, but a statistical model for verification would need individual parameters for participants, designs and items, simultaneously. Schmettow(2021) proposed multi-level models for capturing designometric situations in their full dimension, which could be well-suited for run-time use or basic scale development.</w:t>
      </w:r>
    </w:p>
    <w:p>
      <w:pPr>
        <w:pStyle w:val="BodyText"/>
      </w:pPr>
      <w:r>
        <w:t xml:space="preserve">Another consideration is that the designometric encounter may not be end of story. For example, for comparing multi-purpose designs a researcher may want to add tasks as fourth population of interest. With the mentioned limitations, multi-level models extend to such a case (Schmettow, 2016, Egan’s assumption). For development-time purposes, Generalizability Theory may provide …</w:t>
      </w:r>
    </w:p>
    <w:p>
      <w:pPr>
        <w:pStyle w:val="BodyText"/>
      </w:pPr>
      <w:r>
        <w:t xml:space="preserve">An unsolved issue is to identify exploratory methods that can operate on deep designometric data. EFA is often used with CFA to find and confirm candidate structures.</w:t>
      </w:r>
    </w:p>
    <w:bookmarkEnd w:id="72"/>
    <w:bookmarkEnd w:id="73"/>
    <w:bookmarkStart w:id="134" w:name="references"/>
    <w:p>
      <w:pPr>
        <w:pStyle w:val="Heading1"/>
      </w:pPr>
      <w:r>
        <w:t xml:space="preserve">References</w:t>
      </w:r>
    </w:p>
    <w:bookmarkStart w:id="133" w:name="refs"/>
    <w:bookmarkStart w:id="74"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4"/>
    <w:bookmarkStart w:id="75"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5"/>
    <w:bookmarkStart w:id="77"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76">
        <w:r>
          <w:rPr>
            <w:rStyle w:val="Hyperlink"/>
          </w:rPr>
          <w:t xml:space="preserve">https://doi.org/10.1007/s00779-024-01834-4</w:t>
        </w:r>
      </w:hyperlink>
    </w:p>
    <w:bookmarkEnd w:id="77"/>
    <w:bookmarkStart w:id="78"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78"/>
    <w:bookmarkStart w:id="79"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79"/>
    <w:bookmarkStart w:id="81"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80">
        <w:r>
          <w:rPr>
            <w:rStyle w:val="Hyperlink"/>
          </w:rPr>
          <w:t xml:space="preserve">https://doi.org/10.7275/jyj1-4868</w:t>
        </w:r>
      </w:hyperlink>
    </w:p>
    <w:bookmarkEnd w:id="81"/>
    <w:bookmarkStart w:id="83"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82">
        <w:r>
          <w:rPr>
            <w:rStyle w:val="Hyperlink"/>
          </w:rPr>
          <w:t xml:space="preserve">https://doi.org/10.1007/BF02310555</w:t>
        </w:r>
      </w:hyperlink>
    </w:p>
    <w:bookmarkEnd w:id="83"/>
    <w:bookmarkStart w:id="85"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84">
        <w:r>
          <w:rPr>
            <w:rStyle w:val="Hyperlink"/>
          </w:rPr>
          <w:t xml:space="preserve">https://doi.org/10.4324/9781410605269</w:t>
        </w:r>
      </w:hyperlink>
    </w:p>
    <w:bookmarkEnd w:id="85"/>
    <w:bookmarkStart w:id="86"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86"/>
    <w:bookmarkStart w:id="87"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87"/>
    <w:bookmarkStart w:id="89"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88">
        <w:r>
          <w:rPr>
            <w:rStyle w:val="Hyperlink"/>
          </w:rPr>
          <w:t xml:space="preserve">http://link.springer.com/chapter/10.1007/978-3-322-80058-9_19</w:t>
        </w:r>
      </w:hyperlink>
    </w:p>
    <w:bookmarkEnd w:id="89"/>
    <w:bookmarkStart w:id="91" w:name="ref-Hassenzahl2010"/>
    <w:p>
      <w:pPr>
        <w:pStyle w:val="Bibliography"/>
      </w:pPr>
      <w:r>
        <w:t xml:space="preserve">Hassenzahl, M., &amp; Monk, A. (2010). The inference of perceived usability from beauty.</w:t>
      </w:r>
      <w:r>
        <w:t xml:space="preserve"> </w:t>
      </w:r>
      <w:r>
        <w:rPr>
          <w:i/>
          <w:iCs/>
        </w:rPr>
        <w:t xml:space="preserve">Human–Computer Interaction</w:t>
      </w:r>
      <w:r>
        <w:t xml:space="preserve">,</w:t>
      </w:r>
      <w:r>
        <w:t xml:space="preserve"> </w:t>
      </w:r>
      <w:r>
        <w:rPr>
          <w:i/>
          <w:iCs/>
        </w:rPr>
        <w:t xml:space="preserve">25</w:t>
      </w:r>
      <w:r>
        <w:t xml:space="preserve">, 235–260.</w:t>
      </w:r>
      <w:r>
        <w:t xml:space="preserve"> </w:t>
      </w:r>
      <w:hyperlink r:id="rId90">
        <w:r>
          <w:rPr>
            <w:rStyle w:val="Hyperlink"/>
          </w:rPr>
          <w:t xml:space="preserve">https://doi.org/10.1080/073700242010500139</w:t>
        </w:r>
      </w:hyperlink>
    </w:p>
    <w:bookmarkEnd w:id="91"/>
    <w:bookmarkStart w:id="93"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92">
        <w:r>
          <w:rPr>
            <w:rStyle w:val="Hyperlink"/>
          </w:rPr>
          <w:t xml:space="preserve">https://doi.org/10.1177/109442819800100106</w:t>
        </w:r>
      </w:hyperlink>
    </w:p>
    <w:bookmarkEnd w:id="93"/>
    <w:bookmarkStart w:id="95"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94">
        <w:r>
          <w:rPr>
            <w:rStyle w:val="Hyperlink"/>
          </w:rPr>
          <w:t xml:space="preserve">https://doi.org/10.1007/s12369-016-0380-9</w:t>
        </w:r>
      </w:hyperlink>
    </w:p>
    <w:bookmarkEnd w:id="95"/>
    <w:bookmarkStart w:id="96"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96"/>
    <w:bookmarkStart w:id="98"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97">
        <w:r>
          <w:rPr>
            <w:rStyle w:val="Hyperlink"/>
          </w:rPr>
          <w:t xml:space="preserve">https://doi.org/10.1046/j.1525-1497.2001.016009606.x</w:t>
        </w:r>
      </w:hyperlink>
    </w:p>
    <w:bookmarkEnd w:id="98"/>
    <w:bookmarkStart w:id="99" w:name="ref-JK"/>
    <w:p>
      <w:pPr>
        <w:pStyle w:val="Bibliography"/>
      </w:pPr>
      <w:r>
        <w:t xml:space="preserve">Kuurstra, J., &amp; Schmettow, M. (2013).</w:t>
      </w:r>
      <w:r>
        <w:t xml:space="preserve"> </w:t>
      </w:r>
      <w:r>
        <w:rPr>
          <w:i/>
          <w:iCs/>
        </w:rPr>
        <w:t xml:space="preserve">The influence of visual complexity and prototypicality on credibility judgments of websites</w:t>
      </w:r>
      <w:r>
        <w:t xml:space="preserve"> </w:t>
      </w:r>
      <w:r>
        <w:t xml:space="preserve">[B.S. thesis]. University of Twente.</w:t>
      </w:r>
    </w:p>
    <w:bookmarkEnd w:id="99"/>
    <w:bookmarkStart w:id="101"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100">
        <w:r>
          <w:rPr>
            <w:rStyle w:val="Hyperlink"/>
          </w:rPr>
          <w:t xml:space="preserve">https://doi.org/10.1037/met0000230</w:t>
        </w:r>
      </w:hyperlink>
    </w:p>
    <w:bookmarkEnd w:id="101"/>
    <w:bookmarkStart w:id="103" w:name="ref-OpenSesame"/>
    <w:p>
      <w:pPr>
        <w:pStyle w:val="Bibliography"/>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 314–324.</w:t>
      </w:r>
      <w:r>
        <w:t xml:space="preserve"> </w:t>
      </w:r>
      <w:hyperlink r:id="rId102">
        <w:r>
          <w:rPr>
            <w:rStyle w:val="Hyperlink"/>
          </w:rPr>
          <w:t xml:space="preserve">https://doi.org/10.3758/s13428-011-0168-7</w:t>
        </w:r>
      </w:hyperlink>
    </w:p>
    <w:bookmarkEnd w:id="103"/>
    <w:bookmarkStart w:id="105" w:name="ref-Mathur2016"/>
    <w:p>
      <w:pPr>
        <w:pStyle w:val="Bibliography"/>
      </w:pPr>
      <w:r>
        <w:t xml:space="preserve">Mathur, M. B., &amp; Reichling, D. B. (2016). Navigating a social world with robot partners: A quantitative cartography of the uncanny valley.</w:t>
      </w:r>
      <w:r>
        <w:t xml:space="preserve"> </w:t>
      </w:r>
      <w:r>
        <w:rPr>
          <w:i/>
          <w:iCs/>
        </w:rPr>
        <w:t xml:space="preserve">Cognition</w:t>
      </w:r>
      <w:r>
        <w:t xml:space="preserve">,</w:t>
      </w:r>
      <w:r>
        <w:t xml:space="preserve"> </w:t>
      </w:r>
      <w:r>
        <w:rPr>
          <w:i/>
          <w:iCs/>
        </w:rPr>
        <w:t xml:space="preserve">146</w:t>
      </w:r>
      <w:r>
        <w:t xml:space="preserve">, 22–32.</w:t>
      </w:r>
      <w:r>
        <w:t xml:space="preserve"> </w:t>
      </w:r>
      <w:hyperlink r:id="rId104">
        <w:r>
          <w:rPr>
            <w:rStyle w:val="Hyperlink"/>
          </w:rPr>
          <w:t xml:space="preserve">https://doi.org/10.1016/j.cognition.2015.09.008</w:t>
        </w:r>
      </w:hyperlink>
    </w:p>
    <w:bookmarkEnd w:id="105"/>
    <w:bookmarkStart w:id="107"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106">
        <w:r>
          <w:rPr>
            <w:rStyle w:val="Hyperlink"/>
          </w:rPr>
          <w:t xml:space="preserve">https://doi.org/10.1111/j.1467-6494.1992.tb00976.x</w:t>
        </w:r>
      </w:hyperlink>
    </w:p>
    <w:bookmarkEnd w:id="107"/>
    <w:bookmarkStart w:id="108"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108"/>
    <w:bookmarkStart w:id="109"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09"/>
    <w:bookmarkStart w:id="111" w:name="ref-Peirce2008"/>
    <w:p>
      <w:pPr>
        <w:pStyle w:val="Bibliography"/>
      </w:pPr>
      <w:r>
        <w:t xml:space="preserve">Peirce, J. W. (2008). Generating stimuli for neuroscience using PsychoPy.</w:t>
      </w:r>
      <w:r>
        <w:t xml:space="preserve"> </w:t>
      </w:r>
      <w:r>
        <w:rPr>
          <w:i/>
          <w:iCs/>
        </w:rPr>
        <w:t xml:space="preserve">Frontiers in Neuroinformatics</w:t>
      </w:r>
      <w:r>
        <w:t xml:space="preserve">,</w:t>
      </w:r>
      <w:r>
        <w:t xml:space="preserve"> </w:t>
      </w:r>
      <w:r>
        <w:rPr>
          <w:i/>
          <w:iCs/>
        </w:rPr>
        <w:t xml:space="preserve">2</w:t>
      </w:r>
      <w:r>
        <w:t xml:space="preserve">, 10.</w:t>
      </w:r>
      <w:r>
        <w:t xml:space="preserve"> </w:t>
      </w:r>
      <w:hyperlink r:id="rId110">
        <w:r>
          <w:rPr>
            <w:rStyle w:val="Hyperlink"/>
          </w:rPr>
          <w:t xml:space="preserve">https://doi.org/10.3389/neuro.11.010.2008</w:t>
        </w:r>
      </w:hyperlink>
    </w:p>
    <w:bookmarkEnd w:id="111"/>
    <w:bookmarkStart w:id="113"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12">
        <w:r>
          <w:rPr>
            <w:rStyle w:val="Hyperlink"/>
          </w:rPr>
          <w:t xml:space="preserve">https://doi.org/10.1111/J.1745-3992.2000.TB00033.X</w:t>
        </w:r>
      </w:hyperlink>
    </w:p>
    <w:bookmarkEnd w:id="113"/>
    <w:bookmarkStart w:id="115" w:name="ref-SP"/>
    <w:p>
      <w:pPr>
        <w:pStyle w:val="Bibliography"/>
      </w:pPr>
      <w:r>
        <w:t xml:space="preserve">Polst, S., &amp; Schmettow, M. (2014).</w:t>
      </w:r>
      <w:r>
        <w:t xml:space="preserve"> </w:t>
      </w:r>
      <w:r>
        <w:rPr>
          <w:i/>
          <w:iCs/>
        </w:rPr>
        <w:t xml:space="preserve">The user experience questionnaire and the impact of early information processing</w:t>
      </w:r>
      <w:r>
        <w:t xml:space="preserve"> </w:t>
      </w:r>
      <w:r>
        <w:t xml:space="preserve">[B.S. thesis]. University of Twente.</w:t>
      </w:r>
      <w:r>
        <w:t xml:space="preserve"> </w:t>
      </w:r>
      <w:hyperlink r:id="rId114">
        <w:r>
          <w:rPr>
            <w:rStyle w:val="Hyperlink"/>
          </w:rPr>
          <w:t xml:space="preserve">https://purl.utwente.nl/essays/65768</w:t>
        </w:r>
      </w:hyperlink>
    </w:p>
    <w:bookmarkEnd w:id="115"/>
    <w:bookmarkStart w:id="116"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16"/>
    <w:bookmarkStart w:id="118" w:name="ref-Schmettow2021"/>
    <w:p>
      <w:pPr>
        <w:pStyle w:val="Bibliography"/>
      </w:pPr>
      <w:r>
        <w:t xml:space="preserve">Schmettow, M. (2021).</w:t>
      </w:r>
      <w:r>
        <w:t xml:space="preserve"> </w:t>
      </w:r>
      <w:r>
        <w:rPr>
          <w:i/>
          <w:iCs/>
        </w:rPr>
        <w:t xml:space="preserve">New statistics for design researchers</w:t>
      </w:r>
      <w:r>
        <w:t xml:space="preserve">. Springer International Publishing.</w:t>
      </w:r>
      <w:r>
        <w:t xml:space="preserve"> </w:t>
      </w:r>
      <w:hyperlink r:id="rId117">
        <w:r>
          <w:rPr>
            <w:rStyle w:val="Hyperlink"/>
          </w:rPr>
          <w:t xml:space="preserve">https://doi.org/10.1007/978-3-030-46380-9</w:t>
        </w:r>
      </w:hyperlink>
    </w:p>
    <w:bookmarkEnd w:id="118"/>
    <w:bookmarkStart w:id="119"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19"/>
    <w:bookmarkStart w:id="121"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20">
        <w:r>
          <w:rPr>
            <w:rStyle w:val="Hyperlink"/>
          </w:rPr>
          <w:t xml:space="preserve">http://essay.utwente.nl/72507/</w:t>
        </w:r>
      </w:hyperlink>
    </w:p>
    <w:bookmarkEnd w:id="121"/>
    <w:bookmarkStart w:id="122"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22"/>
    <w:bookmarkStart w:id="124" w:name="ref-Tractinsky2006"/>
    <w:p>
      <w:pPr>
        <w:pStyle w:val="Bibliography"/>
      </w:pPr>
      <w:r>
        <w:t xml:space="preserve">Tractinsky, N., Cokhavi, A., Kirschenbaum, M., &amp; Sharfi, T. (2006). Evaluating the consistency of immediate aesthetic perceptions of web pages.</w:t>
      </w:r>
      <w:r>
        <w:t xml:space="preserve"> </w:t>
      </w:r>
      <w:r>
        <w:rPr>
          <w:i/>
          <w:iCs/>
        </w:rPr>
        <w:t xml:space="preserve">International Journal of Human-Computer Studies</w:t>
      </w:r>
      <w:r>
        <w:t xml:space="preserve">,</w:t>
      </w:r>
      <w:r>
        <w:t xml:space="preserve"> </w:t>
      </w:r>
      <w:r>
        <w:rPr>
          <w:i/>
          <w:iCs/>
        </w:rPr>
        <w:t xml:space="preserve">64</w:t>
      </w:r>
      <w:r>
        <w:t xml:space="preserve">, 1071–1083.</w:t>
      </w:r>
      <w:r>
        <w:t xml:space="preserve"> </w:t>
      </w:r>
      <w:hyperlink r:id="rId123">
        <w:r>
          <w:rPr>
            <w:rStyle w:val="Hyperlink"/>
          </w:rPr>
          <w:t xml:space="preserve">https://doi.org/10.1016/j.ijhcs.2006.06.009</w:t>
        </w:r>
      </w:hyperlink>
    </w:p>
    <w:bookmarkEnd w:id="124"/>
    <w:bookmarkStart w:id="126" w:name="ref-Tuch2012"/>
    <w:p>
      <w:pPr>
        <w:pStyle w:val="Bibliography"/>
      </w:pPr>
      <w:r>
        <w:t xml:space="preserve">Tuch, A. N., Presslaber, E. E., Stöcklin, M., Opwis, K., &amp; Bargas-Avila, J. a. (2012). The role of visual complexity and prototypicality regarding first impression of websites: Working towards understanding aesthetic judgments.</w:t>
      </w:r>
      <w:r>
        <w:t xml:space="preserve"> </w:t>
      </w:r>
      <w:r>
        <w:rPr>
          <w:i/>
          <w:iCs/>
        </w:rPr>
        <w:t xml:space="preserve">International Journal of Human-Computer Studies</w:t>
      </w:r>
      <w:r>
        <w:t xml:space="preserve">,</w:t>
      </w:r>
      <w:r>
        <w:t xml:space="preserve"> </w:t>
      </w:r>
      <w:r>
        <w:rPr>
          <w:i/>
          <w:iCs/>
        </w:rPr>
        <w:t xml:space="preserve">70</w:t>
      </w:r>
      <w:r>
        <w:t xml:space="preserve">, 794–811.</w:t>
      </w:r>
      <w:r>
        <w:t xml:space="preserve"> </w:t>
      </w:r>
      <w:hyperlink r:id="rId125">
        <w:r>
          <w:rPr>
            <w:rStyle w:val="Hyperlink"/>
          </w:rPr>
          <w:t xml:space="preserve">https://doi.org/10.1016/j.ijhcs.2012.06.003</w:t>
        </w:r>
      </w:hyperlink>
    </w:p>
    <w:bookmarkEnd w:id="126"/>
    <w:bookmarkStart w:id="128"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27">
        <w:r>
          <w:rPr>
            <w:rStyle w:val="Hyperlink"/>
          </w:rPr>
          <w:t xml:space="preserve">https://doi.org/10.1080/14639220210123806</w:t>
        </w:r>
      </w:hyperlink>
    </w:p>
    <w:bookmarkEnd w:id="128"/>
    <w:bookmarkStart w:id="130"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29">
        <w:r>
          <w:rPr>
            <w:rStyle w:val="Hyperlink"/>
          </w:rPr>
          <w:t xml:space="preserve">https://CRAN.R-project.org/package=psych</w:t>
        </w:r>
      </w:hyperlink>
    </w:p>
    <w:bookmarkEnd w:id="130"/>
    <w:bookmarkStart w:id="132"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31">
        <w:r>
          <w:rPr>
            <w:rStyle w:val="Hyperlink"/>
          </w:rPr>
          <w:t xml:space="preserve">https://doi.org/10.1177/0013164413495237</w:t>
        </w:r>
      </w:hyperlink>
    </w:p>
    <w:bookmarkEnd w:id="132"/>
    <w:bookmarkEnd w:id="133"/>
    <w:bookmarkEnd w:id="1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3" Target="media/rId33.png" /><Relationship Type="http://schemas.openxmlformats.org/officeDocument/2006/relationships/hyperlink" Id="rId120" Target="http://essay.utwente.nl/72507/" TargetMode="External" /><Relationship Type="http://schemas.openxmlformats.org/officeDocument/2006/relationships/hyperlink" Id="rId88" Target="http://link.springer.com/chapter/10.1007/978-3-322-80058-9_19" TargetMode="External" /><Relationship Type="http://schemas.openxmlformats.org/officeDocument/2006/relationships/hyperlink" Id="rId129" Target="https://CRAN.R-project.org/package=psych" TargetMode="External" /><Relationship Type="http://schemas.openxmlformats.org/officeDocument/2006/relationships/hyperlink" Id="rId117" Target="https://doi.org/10.1007/978-3-030-46380-9" TargetMode="External" /><Relationship Type="http://schemas.openxmlformats.org/officeDocument/2006/relationships/hyperlink" Id="rId82" Target="https://doi.org/10.1007/BF02310555" TargetMode="External" /><Relationship Type="http://schemas.openxmlformats.org/officeDocument/2006/relationships/hyperlink" Id="rId76" Target="https://doi.org/10.1007/s00779-024-01834-4" TargetMode="External" /><Relationship Type="http://schemas.openxmlformats.org/officeDocument/2006/relationships/hyperlink" Id="rId94" Target="https://doi.org/10.1007/s12369-016-0380-9" TargetMode="External" /><Relationship Type="http://schemas.openxmlformats.org/officeDocument/2006/relationships/hyperlink" Id="rId104" Target="https://doi.org/10.1016/j.cognition.2015.09.008" TargetMode="External" /><Relationship Type="http://schemas.openxmlformats.org/officeDocument/2006/relationships/hyperlink" Id="rId123" Target="https://doi.org/10.1016/j.ijhcs.2006.06.009" TargetMode="External" /><Relationship Type="http://schemas.openxmlformats.org/officeDocument/2006/relationships/hyperlink" Id="rId125" Target="https://doi.org/10.1016/j.ijhcs.2012.06.003" TargetMode="External" /><Relationship Type="http://schemas.openxmlformats.org/officeDocument/2006/relationships/hyperlink" Id="rId100" Target="https://doi.org/10.1037/met0000230" TargetMode="External" /><Relationship Type="http://schemas.openxmlformats.org/officeDocument/2006/relationships/hyperlink" Id="rId97" Target="https://doi.org/10.1046/j.1525-1497.2001.016009606.x" TargetMode="External" /><Relationship Type="http://schemas.openxmlformats.org/officeDocument/2006/relationships/hyperlink" Id="rId90" Target="https://doi.org/10.1080/073700242010500139" TargetMode="External" /><Relationship Type="http://schemas.openxmlformats.org/officeDocument/2006/relationships/hyperlink" Id="rId127" Target="https://doi.org/10.1080/14639220210123806" TargetMode="External" /><Relationship Type="http://schemas.openxmlformats.org/officeDocument/2006/relationships/hyperlink" Id="rId112" Target="https://doi.org/10.1111/J.1745-3992.2000.TB00033.X" TargetMode="External" /><Relationship Type="http://schemas.openxmlformats.org/officeDocument/2006/relationships/hyperlink" Id="rId106" Target="https://doi.org/10.1111/j.1467-6494.1992.tb00976.x" TargetMode="External" /><Relationship Type="http://schemas.openxmlformats.org/officeDocument/2006/relationships/hyperlink" Id="rId131" Target="https://doi.org/10.1177/0013164413495237" TargetMode="External" /><Relationship Type="http://schemas.openxmlformats.org/officeDocument/2006/relationships/hyperlink" Id="rId92" Target="https://doi.org/10.1177/109442819800100106" TargetMode="External" /><Relationship Type="http://schemas.openxmlformats.org/officeDocument/2006/relationships/hyperlink" Id="rId110" Target="https://doi.org/10.3389/neuro.11.010.2008" TargetMode="External" /><Relationship Type="http://schemas.openxmlformats.org/officeDocument/2006/relationships/hyperlink" Id="rId102" Target="https://doi.org/10.3758/s13428-011-0168-7" TargetMode="External" /><Relationship Type="http://schemas.openxmlformats.org/officeDocument/2006/relationships/hyperlink" Id="rId84" Target="https://doi.org/10.4324/9781410605269" TargetMode="External" /><Relationship Type="http://schemas.openxmlformats.org/officeDocument/2006/relationships/hyperlink" Id="rId80" Target="https://doi.org/10.7275/jyj1-4868" TargetMode="External" /><Relationship Type="http://schemas.openxmlformats.org/officeDocument/2006/relationships/hyperlink" Id="rId114" Target="https://purl.utwente.nl/essays/65768" TargetMode="External" /></Relationships>
</file>

<file path=word/_rels/footnotes.xml.rels><?xml version="1.0" encoding="UTF-8"?><Relationships xmlns="http://schemas.openxmlformats.org/package/2006/relationships"><Relationship Type="http://schemas.openxmlformats.org/officeDocument/2006/relationships/hyperlink" Id="rId120" Target="http://essay.utwente.nl/72507/" TargetMode="External" /><Relationship Type="http://schemas.openxmlformats.org/officeDocument/2006/relationships/hyperlink" Id="rId88" Target="http://link.springer.com/chapter/10.1007/978-3-322-80058-9_19" TargetMode="External" /><Relationship Type="http://schemas.openxmlformats.org/officeDocument/2006/relationships/hyperlink" Id="rId129" Target="https://CRAN.R-project.org/package=psych" TargetMode="External" /><Relationship Type="http://schemas.openxmlformats.org/officeDocument/2006/relationships/hyperlink" Id="rId117" Target="https://doi.org/10.1007/978-3-030-46380-9" TargetMode="External" /><Relationship Type="http://schemas.openxmlformats.org/officeDocument/2006/relationships/hyperlink" Id="rId82" Target="https://doi.org/10.1007/BF02310555" TargetMode="External" /><Relationship Type="http://schemas.openxmlformats.org/officeDocument/2006/relationships/hyperlink" Id="rId76" Target="https://doi.org/10.1007/s00779-024-01834-4" TargetMode="External" /><Relationship Type="http://schemas.openxmlformats.org/officeDocument/2006/relationships/hyperlink" Id="rId94" Target="https://doi.org/10.1007/s12369-016-0380-9" TargetMode="External" /><Relationship Type="http://schemas.openxmlformats.org/officeDocument/2006/relationships/hyperlink" Id="rId104" Target="https://doi.org/10.1016/j.cognition.2015.09.008" TargetMode="External" /><Relationship Type="http://schemas.openxmlformats.org/officeDocument/2006/relationships/hyperlink" Id="rId123" Target="https://doi.org/10.1016/j.ijhcs.2006.06.009" TargetMode="External" /><Relationship Type="http://schemas.openxmlformats.org/officeDocument/2006/relationships/hyperlink" Id="rId125" Target="https://doi.org/10.1016/j.ijhcs.2012.06.003" TargetMode="External" /><Relationship Type="http://schemas.openxmlformats.org/officeDocument/2006/relationships/hyperlink" Id="rId100" Target="https://doi.org/10.1037/met0000230" TargetMode="External" /><Relationship Type="http://schemas.openxmlformats.org/officeDocument/2006/relationships/hyperlink" Id="rId97" Target="https://doi.org/10.1046/j.1525-1497.2001.016009606.x" TargetMode="External" /><Relationship Type="http://schemas.openxmlformats.org/officeDocument/2006/relationships/hyperlink" Id="rId90" Target="https://doi.org/10.1080/073700242010500139" TargetMode="External" /><Relationship Type="http://schemas.openxmlformats.org/officeDocument/2006/relationships/hyperlink" Id="rId127" Target="https://doi.org/10.1080/14639220210123806" TargetMode="External" /><Relationship Type="http://schemas.openxmlformats.org/officeDocument/2006/relationships/hyperlink" Id="rId112" Target="https://doi.org/10.1111/J.1745-3992.2000.TB00033.X" TargetMode="External" /><Relationship Type="http://schemas.openxmlformats.org/officeDocument/2006/relationships/hyperlink" Id="rId106" Target="https://doi.org/10.1111/j.1467-6494.1992.tb00976.x" TargetMode="External" /><Relationship Type="http://schemas.openxmlformats.org/officeDocument/2006/relationships/hyperlink" Id="rId131" Target="https://doi.org/10.1177/0013164413495237" TargetMode="External" /><Relationship Type="http://schemas.openxmlformats.org/officeDocument/2006/relationships/hyperlink" Id="rId92" Target="https://doi.org/10.1177/109442819800100106" TargetMode="External" /><Relationship Type="http://schemas.openxmlformats.org/officeDocument/2006/relationships/hyperlink" Id="rId110" Target="https://doi.org/10.3389/neuro.11.010.2008" TargetMode="External" /><Relationship Type="http://schemas.openxmlformats.org/officeDocument/2006/relationships/hyperlink" Id="rId102" Target="https://doi.org/10.3758/s13428-011-0168-7" TargetMode="External" /><Relationship Type="http://schemas.openxmlformats.org/officeDocument/2006/relationships/hyperlink" Id="rId84" Target="https://doi.org/10.4324/9781410605269" TargetMode="External" /><Relationship Type="http://schemas.openxmlformats.org/officeDocument/2006/relationships/hyperlink" Id="rId80" Target="https://doi.org/10.7275/jyj1-4868" TargetMode="External" /><Relationship Type="http://schemas.openxmlformats.org/officeDocument/2006/relationships/hyperlink" Id="rId114" Target="https://purl.utwente.nl/essays/65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2025-09-11T19:34:54Z</dcterms:created>
  <dcterms:modified xsi:type="dcterms:W3CDTF">2025-09-11T19:34:54Z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