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Override PartName="/word/media/rId2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Psychphysics Study on Glance reading accuracy in the peripheral field</w:t>
      </w:r>
    </w:p>
    <w:p>
      <w:pPr>
        <w:pStyle w:val="Author"/>
      </w:pPr>
      <w:r>
        <w:t xml:space="preserve">Martin Schmettow</w:t>
      </w:r>
    </w:p>
    <w:p>
      <w:pPr>
        <w:pStyle w:val="Date"/>
      </w:pPr>
      <w:r>
        <w:t xml:space="preserve">2026-04-24</w:t>
      </w:r>
    </w:p>
    <w:bookmarkStart w:id="20" w:name="data-reading"/>
    <w:p>
      <w:pPr>
        <w:pStyle w:val="Heading1"/>
      </w:pPr>
      <w:r>
        <w:t xml:space="preserve">Data reading</w:t>
      </w:r>
    </w:p>
    <w:p>
      <w:pPr>
        <w:pStyle w:val="SourceCode"/>
      </w:pPr>
      <w:r>
        <w:rPr>
          <w:rStyle w:val="VerbatimChar"/>
        </w:rPr>
        <w:t xml:space="preserve"># A tibble: 180 × 11</w:t>
      </w:r>
      <w:r>
        <w:br/>
      </w:r>
      <w:r>
        <w:rPr>
          <w:rStyle w:val="VerbatimChar"/>
        </w:rPr>
        <w:t xml:space="preserve">   participant  xPos stimulusSet whichImage thisN blockNumber direction angle</w:t>
      </w:r>
      <w:r>
        <w:br/>
      </w:r>
      <w:r>
        <w:rPr>
          <w:rStyle w:val="VerbatimChar"/>
        </w:rPr>
        <w:t xml:space="preserve">   &lt;chr&gt;       &lt;dbl&gt; &lt;chr&gt;       &lt;chr&gt;      &lt;dbl&gt;       &lt;dbl&gt; &lt;chr&gt;     &lt;dbl&gt;</w:t>
      </w:r>
      <w:r>
        <w:br/>
      </w:r>
      <w:r>
        <w:rPr>
          <w:rStyle w:val="VerbatimChar"/>
        </w:rPr>
        <w:t xml:space="preserve"> 1 results1      4.5 ecc10pos    left           0           1 direct       20</w:t>
      </w:r>
      <w:r>
        <w:br/>
      </w:r>
      <w:r>
        <w:rPr>
          <w:rStyle w:val="VerbatimChar"/>
        </w:rPr>
        <w:t xml:space="preserve"> 2 results1      4.5 ecc10pos    left           1           1 right        19</w:t>
      </w:r>
      <w:r>
        <w:br/>
      </w:r>
      <w:r>
        <w:rPr>
          <w:rStyle w:val="VerbatimChar"/>
        </w:rPr>
        <w:t xml:space="preserve"> 3 results1      4.5 ecc10pos    left           2           1 right        18</w:t>
      </w:r>
      <w:r>
        <w:br/>
      </w:r>
      <w:r>
        <w:rPr>
          <w:rStyle w:val="VerbatimChar"/>
        </w:rPr>
        <w:t xml:space="preserve"> 4 results1      4.5 ecc10pos    left           3           1 right        17</w:t>
      </w:r>
      <w:r>
        <w:br/>
      </w:r>
      <w:r>
        <w:rPr>
          <w:rStyle w:val="VerbatimChar"/>
        </w:rPr>
        <w:t xml:space="preserve"> 5 results1      4.5 ecc10pos    left           4           1 left         18</w:t>
      </w:r>
      <w:r>
        <w:br/>
      </w:r>
      <w:r>
        <w:rPr>
          <w:rStyle w:val="VerbatimChar"/>
        </w:rPr>
        <w:t xml:space="preserve"> 6 results1      4.5 ecc10pos    left           5           1 right        17</w:t>
      </w:r>
      <w:r>
        <w:br/>
      </w:r>
      <w:r>
        <w:rPr>
          <w:rStyle w:val="VerbatimChar"/>
        </w:rPr>
        <w:t xml:space="preserve"> 7 results1      4.5 ecc10pos    left           6           1 left         18</w:t>
      </w:r>
      <w:r>
        <w:br/>
      </w:r>
      <w:r>
        <w:rPr>
          <w:rStyle w:val="VerbatimChar"/>
        </w:rPr>
        <w:t xml:space="preserve"> 8 results1      4.5 ecc10pos    left           7           1 left         19</w:t>
      </w:r>
      <w:r>
        <w:br/>
      </w:r>
      <w:r>
        <w:rPr>
          <w:rStyle w:val="VerbatimChar"/>
        </w:rPr>
        <w:t xml:space="preserve"> 9 results1      4.5 ecc10pos    left           8           1 right        20</w:t>
      </w:r>
      <w:r>
        <w:br/>
      </w:r>
      <w:r>
        <w:rPr>
          <w:rStyle w:val="VerbatimChar"/>
        </w:rPr>
        <w:t xml:space="preserve">10 results1      4.5 ecc10pos    left           9           1 left         19</w:t>
      </w:r>
      <w:r>
        <w:br/>
      </w:r>
      <w:r>
        <w:rPr>
          <w:rStyle w:val="VerbatimChar"/>
        </w:rPr>
        <w:t xml:space="preserve"># ℹ 170 more rows</w:t>
      </w:r>
      <w:r>
        <w:br/>
      </w:r>
      <w:r>
        <w:rPr>
          <w:rStyle w:val="VerbatimChar"/>
        </w:rPr>
        <w:t xml:space="preserve"># ℹ 3 more variables: stimulus &lt;chr&gt;, response &lt;chr&gt;, correct &lt;dbl&gt;</w:t>
      </w:r>
    </w:p>
    <w:p>
      <w:pPr>
        <w:pStyle w:val="SourceCode"/>
      </w:pPr>
      <w:r>
        <w:rPr>
          <w:rStyle w:val="VerbatimChar"/>
        </w:rPr>
        <w:t xml:space="preserve">      Obs              Part          trial            angle        eccentricity</w:t>
      </w:r>
      <w:r>
        <w:br/>
      </w:r>
      <w:r>
        <w:rPr>
          <w:rStyle w:val="VerbatimChar"/>
        </w:rPr>
        <w:t xml:space="preserve"> Min.   :   1   results1 : 180   Min.   :  1.00   Min.   : 1.00   Min.   : 5   </w:t>
      </w:r>
      <w:r>
        <w:br/>
      </w:r>
      <w:r>
        <w:rPr>
          <w:rStyle w:val="VerbatimChar"/>
        </w:rPr>
        <w:t xml:space="preserve"> 1st Qu.:1486   results10: 180   1st Qu.: 45.75   1st Qu.:14.00   1st Qu.: 5   </w:t>
      </w:r>
      <w:r>
        <w:br/>
      </w:r>
      <w:r>
        <w:rPr>
          <w:rStyle w:val="VerbatimChar"/>
        </w:rPr>
        <w:t xml:space="preserve"> Median :2970   results11: 180   Median : 90.50   Median :17.00   Median :10   </w:t>
      </w:r>
      <w:r>
        <w:br/>
      </w:r>
      <w:r>
        <w:rPr>
          <w:rStyle w:val="VerbatimChar"/>
        </w:rPr>
        <w:t xml:space="preserve"> Mean   :2970   results12: 180   Mean   : 90.50   Mean   :15.83   Mean   :10   </w:t>
      </w:r>
      <w:r>
        <w:br/>
      </w:r>
      <w:r>
        <w:rPr>
          <w:rStyle w:val="VerbatimChar"/>
        </w:rPr>
        <w:t xml:space="preserve"> 3rd Qu.:4455   results13: 180   3rd Qu.:135.25   3rd Qu.:19.00   3rd Qu.:15   </w:t>
      </w:r>
      <w:r>
        <w:br/>
      </w:r>
      <w:r>
        <w:rPr>
          <w:rStyle w:val="VerbatimChar"/>
        </w:rPr>
        <w:t xml:space="preserve"> Max.   :5940   results14: 180   Max.   :180.00   Max.   :20.00   Max.   :15   </w:t>
      </w:r>
      <w:r>
        <w:br/>
      </w:r>
      <w:r>
        <w:rPr>
          <w:rStyle w:val="VerbatimChar"/>
        </w:rPr>
        <w:t xml:space="preserve">                (Other)  :4860                                                 </w:t>
      </w:r>
      <w:r>
        <w:br/>
      </w:r>
      <w:r>
        <w:rPr>
          <w:rStyle w:val="VerbatimChar"/>
        </w:rPr>
        <w:t xml:space="preserve">    correct      </w:t>
      </w:r>
      <w:r>
        <w:br/>
      </w:r>
      <w:r>
        <w:rPr>
          <w:rStyle w:val="VerbatimChar"/>
        </w:rPr>
        <w:t xml:space="preserve"> Min.   :0.0000  </w:t>
      </w:r>
      <w:r>
        <w:br/>
      </w:r>
      <w:r>
        <w:rPr>
          <w:rStyle w:val="VerbatimChar"/>
        </w:rPr>
        <w:t xml:space="preserve"> 1st Qu.:0.0000  </w:t>
      </w:r>
      <w:r>
        <w:br/>
      </w:r>
      <w:r>
        <w:rPr>
          <w:rStyle w:val="VerbatimChar"/>
        </w:rPr>
        <w:t xml:space="preserve"> Median :1.0000  </w:t>
      </w:r>
      <w:r>
        <w:br/>
      </w:r>
      <w:r>
        <w:rPr>
          <w:rStyle w:val="VerbatimChar"/>
        </w:rPr>
        <w:t xml:space="preserve"> Mean   :0.5104  </w:t>
      </w:r>
      <w:r>
        <w:br/>
      </w:r>
      <w:r>
        <w:rPr>
          <w:rStyle w:val="VerbatimChar"/>
        </w:rPr>
        <w:t xml:space="preserve"> 3rd Qu.:1.0000  </w:t>
      </w:r>
      <w:r>
        <w:br/>
      </w:r>
      <w:r>
        <w:rPr>
          <w:rStyle w:val="VerbatimChar"/>
        </w:rPr>
        <w:t xml:space="preserve"> Max.   :1.0000  </w:t>
      </w:r>
      <w:r>
        <w:br/>
      </w:r>
      <w:r>
        <w:rPr>
          <w:rStyle w:val="VerbatimChar"/>
        </w:rPr>
        <w:t xml:space="preserve">                 </w:t>
      </w:r>
    </w:p>
    <w:bookmarkEnd w:id="20"/>
    <w:bookmarkStart w:id="28" w:name="exploration"/>
    <w:p>
      <w:pPr>
        <w:pStyle w:val="Heading1"/>
      </w:pPr>
      <w:r>
        <w:t xml:space="preserve">Exploration</w:t>
      </w:r>
    </w:p>
    <w:p>
      <w:pPr>
        <w:pStyle w:val="FirstParagraph"/>
      </w:pPr>
      <w:r>
        <w:t xml:space="preserve">The following plot shows the population level proportion of correct responses as a function of the angle and eccentricity. There is huge fluctuations with angles below 10 degree, which is due to the adaptive staircase procedure, which results in fewer observations for these angles. The tendency above 10 degree is</w:t>
      </w:r>
    </w:p>
    <w:p>
      <w:pPr>
        <w:pStyle w:val="BodyText"/>
      </w:pPr>
      <w:r>
        <w:drawing>
          <wp:inline>
            <wp:extent cx="5334000" cy="8001000"/>
            <wp:effectExtent b="0" l="0" r="0" t="0"/>
            <wp:docPr descr="" title="" id="22" name="Picture"/>
            <a:graphic>
              <a:graphicData uri="http://schemas.openxmlformats.org/drawingml/2006/picture">
                <pic:pic>
                  <pic:nvPicPr>
                    <pic:cNvPr descr="GR_1_files/figure-docx/unnamed-chunk-2-1.png" id="23" name="Picture"/>
                    <pic:cNvPicPr>
                      <a:picLocks noChangeArrowheads="1" noChangeAspect="1"/>
                    </pic:cNvPicPr>
                  </pic:nvPicPr>
                  <pic:blipFill>
                    <a:blip r:embed="rId21"/>
                    <a:stretch>
                      <a:fillRect/>
                    </a:stretch>
                  </pic:blipFill>
                  <pic:spPr bwMode="auto">
                    <a:xfrm>
                      <a:off x="0" y="0"/>
                      <a:ext cx="5334000" cy="8001000"/>
                    </a:xfrm>
                    <a:prstGeom prst="rect">
                      <a:avLst/>
                    </a:prstGeom>
                    <a:noFill/>
                    <a:ln w="9525">
                      <a:noFill/>
                      <a:headEnd/>
                      <a:tailEnd/>
                    </a:ln>
                  </pic:spPr>
                </pic:pic>
              </a:graphicData>
            </a:graphic>
          </wp:inline>
        </w:drawing>
      </w:r>
    </w:p>
    <w:p>
      <w:pPr>
        <w:pStyle w:val="BodyText"/>
      </w:pPr>
      <w:r>
        <w:t xml:space="preserve">The figure below shows the proportion of correct responses as a function of the Angle (in three ranges) and eccentricity, separately for each participant.</w:t>
      </w:r>
    </w:p>
    <w:p>
      <w:pPr>
        <w:pStyle w:val="BodyText"/>
      </w:pPr>
      <w:r>
        <w:drawing>
          <wp:inline>
            <wp:extent cx="5334000" cy="8001000"/>
            <wp:effectExtent b="0" l="0" r="0" t="0"/>
            <wp:docPr descr="" title="" id="25" name="Picture"/>
            <a:graphic>
              <a:graphicData uri="http://schemas.openxmlformats.org/drawingml/2006/picture">
                <pic:pic>
                  <pic:nvPicPr>
                    <pic:cNvPr descr="GR_1_files/figure-docx/unnamed-chunk-3-1.png" id="26" name="Picture"/>
                    <pic:cNvPicPr>
                      <a:picLocks noChangeArrowheads="1" noChangeAspect="1"/>
                    </pic:cNvPicPr>
                  </pic:nvPicPr>
                  <pic:blipFill>
                    <a:blip r:embed="rId24"/>
                    <a:stretch>
                      <a:fillRect/>
                    </a:stretch>
                  </pic:blipFill>
                  <pic:spPr bwMode="auto">
                    <a:xfrm>
                      <a:off x="0" y="0"/>
                      <a:ext cx="5334000" cy="8001000"/>
                    </a:xfrm>
                    <a:prstGeom prst="rect">
                      <a:avLst/>
                    </a:prstGeom>
                    <a:noFill/>
                    <a:ln w="9525">
                      <a:noFill/>
                      <a:headEnd/>
                      <a:tailEnd/>
                    </a:ln>
                  </pic:spPr>
                </pic:pic>
              </a:graphicData>
            </a:graphic>
          </wp:inline>
        </w:drawing>
      </w:r>
    </w:p>
    <w:bookmarkStart w:id="27" w:name="conclusion"/>
    <w:p>
      <w:pPr>
        <w:pStyle w:val="Heading2"/>
      </w:pPr>
      <w:r>
        <w:t xml:space="preserve">Conclusion</w:t>
      </w:r>
    </w:p>
    <w:p>
      <w:pPr>
        <w:pStyle w:val="FirstParagraph"/>
      </w:pPr>
      <w:r>
        <w:t xml:space="preserve">Many participants even the easiest condition don’t improve beyond chance level. Only in a few do we observe a regular pattern that matches our expectations. Still, a subset of participants can perhaps be used with the model. Legit participants should show performance above chance level and have clear upwards trend, as well as the expected ordering of eccentricity.</w:t>
      </w:r>
    </w:p>
    <w:bookmarkEnd w:id="27"/>
    <w:bookmarkEnd w:id="28"/>
    <w:bookmarkStart w:id="39" w:name="modelling"/>
    <w:p>
      <w:pPr>
        <w:pStyle w:val="Heading1"/>
      </w:pPr>
      <w:r>
        <w:t xml:space="preserve">Modelling</w:t>
      </w:r>
    </w:p>
    <w:p>
      <w:pPr>
        <w:pStyle w:val="FirstParagraph"/>
      </w:pPr>
      <w:r>
        <w:t xml:space="preserve">The theoretically complete Psychophysics function would have:</w:t>
      </w:r>
      <w:r>
        <w:t xml:space="preserve"> </w:t>
      </w:r>
      <w:r>
        <w:t xml:space="preserve">+ dprime</w:t>
      </w:r>
      <w:r>
        <w:t xml:space="preserve"> </w:t>
      </w:r>
      <w:r>
        <w:t xml:space="preserve">+ a guessing rate</w:t>
      </w:r>
      <w:r>
        <w:t xml:space="preserve"> </w:t>
      </w:r>
      <w:r>
        <w:t xml:space="preserve">+ a lapse rate (readout error)</w:t>
      </w:r>
      <w:r>
        <w:t xml:space="preserve"> </w:t>
      </w:r>
      <w:r>
        <w:t xml:space="preserve">+ a decision bias</w:t>
      </w:r>
    </w:p>
    <w:p>
      <w:pPr>
        <w:pStyle w:val="BodyText"/>
      </w:pPr>
      <w:r>
        <w:t xml:space="preserve">The theoretical base for lapse is that the response depends on the sensory characteristics and the readout process</w:t>
      </w:r>
      <w:r>
        <w:t xml:space="preserve"> </w:t>
      </w:r>
      <w:r>
        <w:t xml:space="preserve">(Gold and Ding 2013)</w:t>
      </w:r>
      <w:r>
        <w:t xml:space="preserve">.</w:t>
      </w:r>
    </w:p>
    <w:p>
      <w:pPr>
        <w:pStyle w:val="BodyText"/>
      </w:pPr>
      <w:r>
        <w:drawing>
          <wp:inline>
            <wp:extent cx="4620126" cy="3696101"/>
            <wp:effectExtent b="0" l="0" r="0" t="0"/>
            <wp:docPr descr="" title="" id="30" name="Picture"/>
            <a:graphic>
              <a:graphicData uri="http://schemas.openxmlformats.org/drawingml/2006/picture">
                <pic:pic>
                  <pic:nvPicPr>
                    <pic:cNvPr descr="GR_1_files/figure-docx/unnamed-chunk-5-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lapse rate and decision bias are modeled as functions of the participant, but not of the eccentricity, because it is assumed to be a readout error that is independent of the stimulus. Dprime is modelled as a function of eccentricity.</w:t>
      </w:r>
    </w:p>
    <w:p>
      <w:pPr>
        <w:pStyle w:val="BodyText"/>
      </w:pPr>
      <w:r>
        <w:t xml:space="preserve">Since we have no data at the upper end of performance, the lapse parameter cannot be estimated neither on participant level nor on population level. The same holds for the bias parameter. Therefore, a much simplified model is used.</w:t>
      </w:r>
    </w:p>
    <w:p>
      <w:pPr>
        <w:pStyle w:val="BodyText"/>
      </w:pPr>
      <w:r>
        <w:t xml:space="preserve">Here we extract the posterior samples.</w:t>
      </w:r>
    </w:p>
    <w:p>
      <w:pPr>
        <w:pStyle w:val="BodyText"/>
      </w:pPr>
      <w:r>
        <w:t xml:space="preserve">This extracts the population-level parameters. Parameters are transformed back to their original scale. Note that by the back-transformation</w:t>
      </w:r>
      <w:r>
        <w:t xml:space="preserve"> </w:t>
      </w:r>
      <w:r>
        <w:rPr>
          <w:rStyle w:val="VerbatimChar"/>
        </w:rPr>
        <w:t xml:space="preserve">dprime</w:t>
      </w:r>
      <w:r>
        <w:t xml:space="preserve"> </w:t>
      </w:r>
      <w:r>
        <w:t xml:space="preserve">is a</w:t>
      </w:r>
      <w:r>
        <w:t xml:space="preserve"> </w:t>
      </w:r>
      <w:r>
        <w:rPr>
          <w:i/>
          <w:iCs/>
        </w:rPr>
        <w:t xml:space="preserve">multiplicative</w:t>
      </w:r>
      <w:r>
        <w:t xml:space="preserve"> </w:t>
      </w:r>
      <w:r>
        <w:t xml:space="preserve">parameters.</w:t>
      </w:r>
    </w:p>
    <w:p>
      <w:pPr>
        <w:pStyle w:val="TableCaption"/>
      </w:pPr>
      <w:r>
        <w:t xml:space="preserve">Coefficient estimates with 95% credibility limits</w:t>
      </w:r>
    </w:p>
    <w:tbl>
      <w:tblPr>
        <w:tblStyle w:val="Table"/>
        <w:tblW w:type="auto" w:w="0"/>
        <w:tblLook w:firstRow="1" w:lastRow="0" w:firstColumn="0" w:lastColumn="0" w:noHBand="0" w:noVBand="0" w:val="0020"/>
        <w:tblCaption w:val="Coefficient estimates with 95% credibility limits"/>
      </w:tblPr>
      <w:tblGrid>
        <w:gridCol w:w="1980"/>
        <w:gridCol w:w="1980"/>
        <w:gridCol w:w="1980"/>
        <w:gridCol w:w="1980"/>
      </w:tblGrid>
      <w:tr>
        <w:trPr>
          <w:tblHeader w:val="on"/>
        </w:trPr>
        <w:tc>
          <w:tcPr/>
          <w:p>
            <w:pPr>
              <w:pStyle w:val="Compact"/>
              <w:jc w:val="left"/>
            </w:pPr>
            <w:r>
              <w:t xml:space="preserve">fixef</w:t>
            </w:r>
          </w:p>
        </w:tc>
        <w:tc>
          <w:tcPr/>
          <w:p>
            <w:pPr>
              <w:pStyle w:val="Compact"/>
              <w:jc w:val="right"/>
            </w:pPr>
            <w:r>
              <w:t xml:space="preserve">center</w:t>
            </w:r>
          </w:p>
        </w:tc>
        <w:tc>
          <w:tcPr/>
          <w:p>
            <w:pPr>
              <w:pStyle w:val="Compact"/>
              <w:jc w:val="right"/>
            </w:pPr>
            <w:r>
              <w:t xml:space="preserve">lower</w:t>
            </w:r>
          </w:p>
        </w:tc>
        <w:tc>
          <w:tcPr/>
          <w:p>
            <w:pPr>
              <w:pStyle w:val="Compact"/>
              <w:jc w:val="right"/>
            </w:pPr>
            <w:r>
              <w:t xml:space="preserve">upper</w:t>
            </w:r>
          </w:p>
        </w:tc>
      </w:tr>
      <w:tr>
        <w:tc>
          <w:tcPr/>
          <w:p>
            <w:pPr>
              <w:pStyle w:val="Compact"/>
              <w:jc w:val="left"/>
            </w:pPr>
            <w:r>
              <w:t xml:space="preserve">Intercept</w:t>
            </w:r>
          </w:p>
        </w:tc>
        <w:tc>
          <w:tcPr/>
          <w:p>
            <w:pPr>
              <w:pStyle w:val="Compact"/>
              <w:jc w:val="right"/>
            </w:pPr>
            <w:r>
              <w:t xml:space="preserve">-0.4438282</w:t>
            </w:r>
          </w:p>
        </w:tc>
        <w:tc>
          <w:tcPr/>
          <w:p>
            <w:pPr>
              <w:pStyle w:val="Compact"/>
              <w:jc w:val="right"/>
            </w:pPr>
            <w:r>
              <w:t xml:space="preserve">-2.367825</w:t>
            </w:r>
          </w:p>
        </w:tc>
        <w:tc>
          <w:tcPr/>
          <w:p>
            <w:pPr>
              <w:pStyle w:val="Compact"/>
              <w:jc w:val="right"/>
            </w:pPr>
            <w:r>
              <w:t xml:space="preserve">1.428337</w:t>
            </w:r>
          </w:p>
        </w:tc>
      </w:tr>
      <w:tr>
        <w:tc>
          <w:tcPr/>
          <w:p>
            <w:pPr>
              <w:pStyle w:val="Compact"/>
              <w:jc w:val="left"/>
            </w:pPr>
            <w:r>
              <w:t xml:space="preserve">eccentricity</w:t>
            </w:r>
          </w:p>
        </w:tc>
        <w:tc>
          <w:tcPr/>
          <w:p>
            <w:pPr>
              <w:pStyle w:val="Compact"/>
              <w:jc w:val="right"/>
            </w:pPr>
            <w:r>
              <w:t xml:space="preserve">-2.2757021</w:t>
            </w:r>
          </w:p>
        </w:tc>
        <w:tc>
          <w:tcPr/>
          <w:p>
            <w:pPr>
              <w:pStyle w:val="Compact"/>
              <w:jc w:val="right"/>
            </w:pPr>
            <w:r>
              <w:t xml:space="preserve">-3.454772</w:t>
            </w:r>
          </w:p>
        </w:tc>
        <w:tc>
          <w:tcPr/>
          <w:p>
            <w:pPr>
              <w:pStyle w:val="Compact"/>
              <w:jc w:val="right"/>
            </w:pPr>
            <w:r>
              <w:t xml:space="preserve">-1.487004</w:t>
            </w:r>
          </w:p>
        </w:tc>
      </w:tr>
    </w:tbl>
    <w:p>
      <w:pPr>
        <w:pStyle w:val="BodyText"/>
      </w:pPr>
      <w:r>
        <w:t xml:space="preserve">This figure shows the posterior distributrions of population-level parameters.</w:t>
      </w:r>
    </w:p>
    <w:p>
      <w:pPr>
        <w:pStyle w:val="BodyText"/>
      </w:pPr>
      <w:r>
        <w:drawing>
          <wp:inline>
            <wp:extent cx="4620126" cy="3696101"/>
            <wp:effectExtent b="0" l="0" r="0" t="0"/>
            <wp:docPr descr="" title="" id="33" name="Picture"/>
            <a:graphic>
              <a:graphicData uri="http://schemas.openxmlformats.org/drawingml/2006/picture">
                <pic:pic>
                  <pic:nvPicPr>
                    <pic:cNvPr descr="GR_1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Start w:id="38" w:name="posterior-predictions"/>
    <w:p>
      <w:pPr>
        <w:pStyle w:val="Heading2"/>
      </w:pPr>
      <w:r>
        <w:t xml:space="preserve">Posterior predictions</w:t>
      </w:r>
    </w:p>
    <w:bookmarkStart w:id="37" w:name="refs"/>
    <w:bookmarkStart w:id="36" w:name="ref-Gold2013"/>
    <w:p>
      <w:pPr>
        <w:pStyle w:val="Bibliography"/>
      </w:pPr>
      <w:r>
        <w:t xml:space="preserve">Gold, Joshua I., and Long Ding. 2013.</w:t>
      </w:r>
      <w:r>
        <w:t xml:space="preserve"> </w:t>
      </w:r>
      <w:r>
        <w:t xml:space="preserve">“How Mechanisms of Perceptual Decision-Making Affect the Psychometric Function.”</w:t>
      </w:r>
      <w:r>
        <w:t xml:space="preserve"> </w:t>
      </w:r>
      <w:r>
        <w:rPr>
          <w:i/>
          <w:iCs/>
        </w:rPr>
        <w:t xml:space="preserve">Progress in Neurobiology</w:t>
      </w:r>
      <w:r>
        <w:t xml:space="preserve"> </w:t>
      </w:r>
      <w:r>
        <w:t xml:space="preserve">103: 98–114. https://doi.org/</w:t>
      </w:r>
      <w:hyperlink r:id="rId35">
        <w:r>
          <w:rPr>
            <w:rStyle w:val="Hyperlink"/>
          </w:rPr>
          <w:t xml:space="preserve">https://doi.org/10.1016/j.pneurobio.2012.05.008</w:t>
        </w:r>
      </w:hyperlink>
      <w:r>
        <w:t xml:space="preserve">.</w:t>
      </w:r>
    </w:p>
    <w:bookmarkEnd w:id="36"/>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hyperlink" Id="rId35" Target="https://doi.org/10.1016/j.pneurobio.2012.05.008"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016/j.pneurobio.2012.05.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Psychphysics Study on Glance reading accuracy in the peripheral field</dc:title>
  <dc:creator>Martin Schmettow</dc:creator>
  <cp:keywords>Psychophysics</cp:keywords>
  <dcterms:created xsi:type="dcterms:W3CDTF">2026-04-24T09:14:08Z</dcterms:created>
  <dcterms:modified xsi:type="dcterms:W3CDTF">2026-04-24T09:14:08Z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2026-04-24</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