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CAD07" w14:textId="74851065" w:rsidR="0036748D" w:rsidRDefault="0036748D" w:rsidP="0036748D">
      <w:pPr>
        <w:pStyle w:val="Heading1"/>
        <w:rPr>
          <w:lang w:val="en-US"/>
        </w:rPr>
      </w:pPr>
      <w:r>
        <w:rPr>
          <w:lang w:val="en-US"/>
        </w:rPr>
        <w:t>Introduction</w:t>
      </w:r>
    </w:p>
    <w:p w14:paraId="0938EF02" w14:textId="572F9A94" w:rsidR="00645873" w:rsidRDefault="00CC2094" w:rsidP="00645873">
      <w:pPr>
        <w:jc w:val="both"/>
        <w:rPr>
          <w:color w:val="FF0000"/>
          <w:lang w:val="en-US"/>
        </w:rPr>
      </w:pPr>
      <w:r>
        <w:rPr>
          <w:color w:val="FF0000"/>
          <w:lang w:val="en-US"/>
        </w:rPr>
        <w:t xml:space="preserve"> </w:t>
      </w:r>
    </w:p>
    <w:p w14:paraId="7F178F5F" w14:textId="77777777" w:rsidR="00EC2F23" w:rsidRDefault="0035754A" w:rsidP="00645873">
      <w:pPr>
        <w:jc w:val="both"/>
        <w:rPr>
          <w:color w:val="FF0000"/>
          <w:lang w:val="en-US"/>
        </w:rPr>
      </w:pPr>
      <w:r w:rsidRPr="00451722">
        <w:rPr>
          <w:b/>
          <w:bCs/>
          <w:color w:val="FF0000"/>
          <w:lang w:val="en-US"/>
        </w:rPr>
        <w:t>C</w:t>
      </w:r>
      <w:r w:rsidR="00AA6902" w:rsidRPr="00451722">
        <w:rPr>
          <w:b/>
          <w:bCs/>
          <w:color w:val="FF0000"/>
          <w:lang w:val="en-US"/>
        </w:rPr>
        <w:t xml:space="preserve">limate change has begun to shift environmental conditions </w:t>
      </w:r>
      <w:r w:rsidR="001B2F13" w:rsidRPr="00451722">
        <w:rPr>
          <w:b/>
          <w:bCs/>
          <w:color w:val="FF0000"/>
          <w:lang w:val="en-US"/>
        </w:rPr>
        <w:t>a</w:t>
      </w:r>
      <w:r w:rsidR="00564186" w:rsidRPr="00451722">
        <w:rPr>
          <w:b/>
          <w:bCs/>
          <w:color w:val="FF0000"/>
          <w:lang w:val="en-US"/>
        </w:rPr>
        <w:t>way from</w:t>
      </w:r>
      <w:r w:rsidR="001B2F13" w:rsidRPr="00451722">
        <w:rPr>
          <w:b/>
          <w:bCs/>
          <w:color w:val="FF0000"/>
          <w:lang w:val="en-US"/>
        </w:rPr>
        <w:t xml:space="preserve"> historic </w:t>
      </w:r>
      <w:r w:rsidR="00AC46AF">
        <w:rPr>
          <w:b/>
          <w:bCs/>
          <w:color w:val="FF0000"/>
          <w:lang w:val="en-US"/>
        </w:rPr>
        <w:t>thermal</w:t>
      </w:r>
      <w:r w:rsidR="001B2F13" w:rsidRPr="00451722">
        <w:rPr>
          <w:b/>
          <w:bCs/>
          <w:color w:val="FF0000"/>
          <w:lang w:val="en-US"/>
        </w:rPr>
        <w:t xml:space="preserve"> regimes that populations evolved under</w:t>
      </w:r>
      <w:r w:rsidR="00AA6902" w:rsidRPr="00451722">
        <w:rPr>
          <w:color w:val="FF0000"/>
          <w:lang w:val="en-US"/>
        </w:rPr>
        <w:t xml:space="preserve">. </w:t>
      </w:r>
      <w:r w:rsidR="00817080">
        <w:rPr>
          <w:color w:val="FF0000"/>
          <w:lang w:val="en-US"/>
        </w:rPr>
        <w:t>As climate continues to shift species may struggle to keep pace</w:t>
      </w:r>
      <w:r w:rsidR="000F55B9">
        <w:rPr>
          <w:color w:val="FF0000"/>
          <w:lang w:val="en-US"/>
        </w:rPr>
        <w:fldChar w:fldCharType="begin" w:fldLock="1"/>
      </w:r>
      <w:r w:rsidR="0099060A">
        <w:rPr>
          <w:color w:val="FF0000"/>
          <w:lang w:val="en-US"/>
        </w:rPr>
        <w:instrText>ADDIN CSL_CITATION {"citationItems":[{"id":"ITEM-1","itemData":{"DOI":"10.1111/j.1461-0248.2005.00796.x","ISSN":"1461023X","abstract":"Climate is a potent selective force in natural populations, yet the importance of adaptation in the response of plant species to past climate change has been questioned. As many species are unlikely to migrate fast enough to track the rapidly changing climate of the future, adaptation must play an increasingly important role in their response. In this paper we review recent work that has documented climate-related genetic diversity within populations or on the microgeographical scale. We then describe studies that have looked at the potential evolutionary responses of plant populations to future climate change. We argue that in fragmented landscapes, rapid climate change has the potential to overwhelm the capacity for adaptation in many plant populations and dramatically alter their genetic composition. The consequences are likely to include unpredictable changes in the presence and abundance of species within communities and a reduction in their ability to resist and recover from further environmental perturbations, such as pest and disease outbreaks and extreme climatic events. Overall, a range-wide increase in extinction risk is likely to result. We call for further research into understanding the causes and consequences of the maintenance and loss of climate-related genetic diversity within populations. ©2005 Blackwell Publishing Ltd/CNRS.","author":[{"dropping-particle":"","family":"Jump","given":"Alistair S.","non-dropping-particle":"","parse-names":false,"suffix":""},{"dropping-particle":"","family":"Peñuelas","given":"Josep","non-dropping-particle":"","parse-names":false,"suffix":""}],"container-title":"Ecology Letters","id":"ITEM-1","issue":"9","issued":{"date-parts":[["2005"]]},"page":"1010-1020","title":"Running to stand still: Adaptation and the response of plants to rapid climate change","type":"article-journal","volume":"8"},"uris":["http://www.mendeley.com/documents/?uuid=5be6f363-be35-4c1b-9482-0b8ccd90d996"]}],"mendeley":{"formattedCitation":"&lt;sup&gt;1&lt;/sup&gt;","plainTextFormattedCitation":"1","previouslyFormattedCitation":"&lt;sup&gt;1&lt;/sup&gt;"},"properties":{"noteIndex":0},"schema":"https://github.com/citation-style-language/schema/raw/master/csl-citation.json"}</w:instrText>
      </w:r>
      <w:r w:rsidR="000F55B9">
        <w:rPr>
          <w:color w:val="FF0000"/>
          <w:lang w:val="en-US"/>
        </w:rPr>
        <w:fldChar w:fldCharType="separate"/>
      </w:r>
      <w:r w:rsidR="000F55B9" w:rsidRPr="000F55B9">
        <w:rPr>
          <w:noProof/>
          <w:color w:val="FF0000"/>
          <w:vertAlign w:val="superscript"/>
          <w:lang w:val="en-US"/>
        </w:rPr>
        <w:t>1</w:t>
      </w:r>
      <w:r w:rsidR="000F55B9">
        <w:rPr>
          <w:color w:val="FF0000"/>
          <w:lang w:val="en-US"/>
        </w:rPr>
        <w:fldChar w:fldCharType="end"/>
      </w:r>
      <w:r w:rsidR="000F55B9">
        <w:rPr>
          <w:color w:val="FF0000"/>
          <w:lang w:val="en-US"/>
        </w:rPr>
        <w:t xml:space="preserve">. </w:t>
      </w:r>
    </w:p>
    <w:p w14:paraId="5FF5BAFB" w14:textId="77777777" w:rsidR="00EC2F23" w:rsidRDefault="00EC2F23" w:rsidP="00645873">
      <w:pPr>
        <w:jc w:val="both"/>
        <w:rPr>
          <w:color w:val="FF0000"/>
          <w:lang w:val="en-US"/>
        </w:rPr>
      </w:pPr>
    </w:p>
    <w:p w14:paraId="74DA3937" w14:textId="5E05FB30" w:rsidR="00645873" w:rsidRPr="00EC2F23" w:rsidRDefault="006F60AF" w:rsidP="00645873">
      <w:pPr>
        <w:jc w:val="both"/>
        <w:rPr>
          <w:b/>
          <w:bCs/>
          <w:color w:val="FF0000"/>
          <w:lang w:val="en-US"/>
        </w:rPr>
      </w:pPr>
      <w:r>
        <w:rPr>
          <w:color w:val="FF0000"/>
          <w:lang w:val="en-US"/>
        </w:rPr>
        <w:t>E</w:t>
      </w:r>
      <w:r w:rsidR="000F4D05" w:rsidRPr="008E741A">
        <w:rPr>
          <w:color w:val="FF0000"/>
          <w:lang w:val="en-US"/>
        </w:rPr>
        <w:t>volutionary processes</w:t>
      </w:r>
      <w:r w:rsidR="000F4D05">
        <w:rPr>
          <w:color w:val="FF0000"/>
          <w:lang w:val="en-US"/>
        </w:rPr>
        <w:t xml:space="preserve"> </w:t>
      </w:r>
      <w:r>
        <w:rPr>
          <w:color w:val="FF0000"/>
          <w:lang w:val="en-US"/>
        </w:rPr>
        <w:t>have previously been</w:t>
      </w:r>
      <w:r w:rsidR="000F4D05" w:rsidRPr="008E741A">
        <w:rPr>
          <w:color w:val="FF0000"/>
          <w:lang w:val="en-US"/>
        </w:rPr>
        <w:t xml:space="preserve"> ignored </w:t>
      </w:r>
      <w:r w:rsidR="000F4D05">
        <w:rPr>
          <w:color w:val="FF0000"/>
          <w:lang w:val="en-US"/>
        </w:rPr>
        <w:t xml:space="preserve">when projecting species responses to climate change </w:t>
      </w:r>
      <w:r w:rsidR="000F4D05" w:rsidRPr="008E741A">
        <w:rPr>
          <w:color w:val="FF0000"/>
          <w:lang w:val="en-US"/>
        </w:rPr>
        <w:t xml:space="preserve">due to the thought that they were too slow to influence measurable demographic effects </w:t>
      </w:r>
      <w:r w:rsidR="000F4D05" w:rsidRPr="008E741A">
        <w:rPr>
          <w:color w:val="FF0000"/>
          <w:lang w:val="en-US"/>
        </w:rPr>
        <w:fldChar w:fldCharType="begin" w:fldLock="1"/>
      </w:r>
      <w:r w:rsidR="00806E6D">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lt;sup&gt;2&lt;/sup&gt;","plainTextFormattedCitation":"2","previouslyFormattedCitation":"&lt;sup&gt;2&lt;/sup&gt;"},"properties":{"noteIndex":0},"schema":"https://github.com/citation-style-language/schema/raw/master/csl-citation.json"}</w:instrText>
      </w:r>
      <w:r w:rsidR="000F4D05" w:rsidRPr="008E741A">
        <w:rPr>
          <w:color w:val="FF0000"/>
          <w:lang w:val="en-US"/>
        </w:rPr>
        <w:fldChar w:fldCharType="separate"/>
      </w:r>
      <w:r w:rsidR="00453A60" w:rsidRPr="00453A60">
        <w:rPr>
          <w:noProof/>
          <w:color w:val="FF0000"/>
          <w:vertAlign w:val="superscript"/>
          <w:lang w:val="en-US"/>
        </w:rPr>
        <w:t>2</w:t>
      </w:r>
      <w:r w:rsidR="000F4D05" w:rsidRPr="008E741A">
        <w:rPr>
          <w:color w:val="FF0000"/>
          <w:lang w:val="en-US"/>
        </w:rPr>
        <w:fldChar w:fldCharType="end"/>
      </w:r>
      <w:r w:rsidR="000F4D05" w:rsidRPr="008E741A">
        <w:rPr>
          <w:color w:val="FF0000"/>
          <w:lang w:val="en-US"/>
        </w:rPr>
        <w:t xml:space="preserve">. However, species may overcome this obstacle via large effective population sizes and fecundity rates, whereby (if the necessary genetic variation is available) strong selection pressures could produce sizeable changes in allele frequency within a single generation/cohort </w:t>
      </w:r>
      <w:r w:rsidR="000F4D05" w:rsidRPr="008E741A">
        <w:rPr>
          <w:color w:val="FF0000"/>
          <w:lang w:val="en-US"/>
        </w:rPr>
        <w:fldChar w:fldCharType="begin" w:fldLock="1"/>
      </w:r>
      <w:r w:rsidR="00806E6D">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lt;sup&gt;2&lt;/sup&gt;","plainTextFormattedCitation":"2","previouslyFormattedCitation":"&lt;sup&gt;2&lt;/sup&gt;"},"properties":{"noteIndex":0},"schema":"https://github.com/citation-style-language/schema/raw/master/csl-citation.json"}</w:instrText>
      </w:r>
      <w:r w:rsidR="000F4D05" w:rsidRPr="008E741A">
        <w:rPr>
          <w:color w:val="FF0000"/>
          <w:lang w:val="en-US"/>
        </w:rPr>
        <w:fldChar w:fldCharType="separate"/>
      </w:r>
      <w:r w:rsidR="00453A60" w:rsidRPr="00453A60">
        <w:rPr>
          <w:noProof/>
          <w:color w:val="FF0000"/>
          <w:vertAlign w:val="superscript"/>
          <w:lang w:val="en-US"/>
        </w:rPr>
        <w:t>2</w:t>
      </w:r>
      <w:r w:rsidR="000F4D05" w:rsidRPr="008E741A">
        <w:rPr>
          <w:color w:val="FF0000"/>
          <w:lang w:val="en-US"/>
        </w:rPr>
        <w:fldChar w:fldCharType="end"/>
      </w:r>
      <w:r w:rsidR="000F4D05" w:rsidRPr="008E741A">
        <w:rPr>
          <w:color w:val="FF0000"/>
          <w:lang w:val="en-US"/>
        </w:rPr>
        <w:t>.</w:t>
      </w:r>
      <w:r w:rsidR="00627723">
        <w:rPr>
          <w:color w:val="FF0000"/>
          <w:lang w:val="en-US"/>
        </w:rPr>
        <w:t xml:space="preserve"> </w:t>
      </w:r>
      <w:r w:rsidR="007F288C">
        <w:rPr>
          <w:color w:val="FF0000"/>
          <w:lang w:val="en-US"/>
        </w:rPr>
        <w:t>Therefore,</w:t>
      </w:r>
      <w:r w:rsidR="00627723">
        <w:rPr>
          <w:color w:val="FF0000"/>
          <w:lang w:val="en-US"/>
        </w:rPr>
        <w:t xml:space="preserve"> important to consider evolutionary process that will influence past and future populations responses to climate change. </w:t>
      </w:r>
      <w:r w:rsidR="00EC2F23">
        <w:rPr>
          <w:b/>
          <w:bCs/>
          <w:color w:val="FF0000"/>
          <w:lang w:val="en-US"/>
        </w:rPr>
        <w:t>This information should come later maybe even just have in discussion??</w:t>
      </w:r>
    </w:p>
    <w:p w14:paraId="149C49B4" w14:textId="169C67EC" w:rsidR="00FA2616" w:rsidRPr="00624276" w:rsidRDefault="00FA2616" w:rsidP="00DF2B55">
      <w:pPr>
        <w:jc w:val="both"/>
        <w:rPr>
          <w:color w:val="FF0000"/>
          <w:lang w:val="en-US"/>
        </w:rPr>
      </w:pPr>
      <w:r w:rsidRPr="000D103C">
        <w:rPr>
          <w:b/>
          <w:bCs/>
          <w:lang w:val="en-US"/>
        </w:rPr>
        <w:t xml:space="preserve">Local adaptation occurs within metapopulations when </w:t>
      </w:r>
      <w:r>
        <w:rPr>
          <w:b/>
          <w:bCs/>
          <w:lang w:val="en-US"/>
        </w:rPr>
        <w:t xml:space="preserve">native </w:t>
      </w:r>
      <w:r w:rsidRPr="000D103C">
        <w:rPr>
          <w:b/>
          <w:bCs/>
          <w:lang w:val="en-US"/>
        </w:rPr>
        <w:t>genotypes are better adapted to local environment conditions than foreign</w:t>
      </w:r>
      <w:r>
        <w:rPr>
          <w:b/>
          <w:bCs/>
          <w:lang w:val="en-US"/>
        </w:rPr>
        <w:t xml:space="preserve"> genotypes</w:t>
      </w:r>
      <w:r>
        <w:rPr>
          <w:lang w:val="en-US"/>
        </w:rPr>
        <w:t xml:space="preserve"> </w:t>
      </w:r>
      <w:r>
        <w:rPr>
          <w:lang w:val="en-US"/>
        </w:rPr>
        <w:fldChar w:fldCharType="begin" w:fldLock="1"/>
      </w:r>
      <w:r w:rsidR="004D7888">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adaptation","type":"article-journal","volume":"7"},"uris":["http://www.mendeley.com/documents/?uuid=7b646c45-017d-4f30-8013-2298eafeb239"]},{"id":"ITEM-2","itemData":{"DOI":"10.1086/597611","ISSN":"00030147","abstract":"The long history of reciprocal transplant studies testing the hypothesis of local adaptation has shown that populations are often adapted to their local environments. Yet many studies have not demonstrated local adaptation, suggesting that sometimes native populations are no better adapted than are genotypes from foreign environments. Local adaptation may also lead to trade-offs, in which adaptation to one environment comes at a cost of adaptation to another environment. I conducted a survey of published studies of local adaptation to quantify its frequency and magnitude and the costs associated with local adaptation. I also quantified the relationship between local adaptation and environmental differences and the relationship between local adaptation and phenotypic divergence. The overall frequency of local adaptation was 0.71, and the magnitude of the native population advantage in relative fitness was 45%. Divergence between home site environments was positively associated with the magnitude of local adaptation, but phenotypic divergence was not. I found a small negative correlation between a population's relative fitness in its native environment and its fitness in a foreign environment, indicating weak trade-offs associated with local adaptation. These results suggest that populations are often locally adapted but stochastic processes such as genetic drift may limit the efficacy of divergent selection. © 2009 by the University of Chicago.","author":[{"dropping-particle":"","family":"Hereford","given":"Joe","non-dropping-particle":"","parse-names":false,"suffix":""}],"container-title":"American Naturalist","id":"ITEM-2","issue":"5","issued":{"date-parts":[["2009"]]},"page":"579-588","title":"A quantitative survey of local adaptation and fitness trade-offs","type":"article-journal","volume":"173"},"uris":["http://www.mendeley.com/documents/?uuid=b74ec027-4349-4262-aed0-966094bf0cf8"]},{"id":"ITEM-3","itemData":{"DOI":"10.1146/annurev.ecolsys.27.1.237","ISSN":"00664162","abstract":"The study of natural plant populations has provided some of the strongest and most convincing cases of the operation of natural selection currently known, partly because of amenability to reciprocal transplant experiments, common garden work, and long-term in situ manipulation. Genetic differentiation among plant populations over small scales (a few cm to a few hundred cm) has been documented and is reviewed here, in herbaceous annuals and perennials, woody perennials, aquatics, terrestrials, narrow endemics, and widely distributed species. Character differentiation has been documented for most important features of plant structure and function. Examples are known for seed characters, leaf traits, phenology, physiological and biochemical activities, heavy metal tolerance, herbicide resistance, parasite resistance, competitive ability, organellar characters, breeding systems, and life history. Among the forces that have shaped these patterns of differentiation are toxic soils, fertilizers, mowing and grazing, soil moisture, temperature, light intensity, pollinating vectors, parasitism, gene flow, and natural dynamics. The breadth and depth of the evidence reviewed here strongly support the idea that natural selection is the principal force shaping genetic architecture in natural plant populations; that view needs to be more widely appreciated than it is at present.","author":[{"dropping-particle":"","family":"Linhart","given":"Yan B.","non-dropping-particle":"","parse-names":false,"suffix":""},{"dropping-particle":"","family":"Grant","given":"Michael C.","non-dropping-particle":"","parse-names":false,"suffix":""}],"container-title":"Annual Review of Ecology and Systematics","id":"ITEM-3","issued":{"date-parts":[["1996"]]},"page":"237-277","title":"Evolutionary significance of local genetic differentiation in plants","type":"article-journal","volume":"27"},"uris":["http://www.mendeley.com/documents/?uuid=5cd2f746-1a8a-4a8c-88f6-75a3420e4af0"]}],"mendeley":{"formattedCitation":"&lt;sup&gt;3–5&lt;/sup&gt;","plainTextFormattedCitation":"3–5","previouslyFormattedCitation":"&lt;sup&gt;3–5&lt;/sup&gt;"},"properties":{"noteIndex":0},"schema":"https://github.com/citation-style-language/schema/raw/master/csl-citation.json"}</w:instrText>
      </w:r>
      <w:r>
        <w:rPr>
          <w:lang w:val="en-US"/>
        </w:rPr>
        <w:fldChar w:fldCharType="separate"/>
      </w:r>
      <w:r w:rsidR="00164449" w:rsidRPr="00164449">
        <w:rPr>
          <w:noProof/>
          <w:vertAlign w:val="superscript"/>
          <w:lang w:val="en-US"/>
        </w:rPr>
        <w:t>3–5</w:t>
      </w:r>
      <w:r>
        <w:rPr>
          <w:lang w:val="en-US"/>
        </w:rPr>
        <w:fldChar w:fldCharType="end"/>
      </w:r>
      <w:r>
        <w:rPr>
          <w:lang w:val="en-US"/>
        </w:rPr>
        <w:t>. Through gene x environment interactions, local adaptation may arise in spatially heterogenous environments if divergent selecti</w:t>
      </w:r>
      <w:r w:rsidR="00F02BF1">
        <w:rPr>
          <w:lang w:val="en-US"/>
        </w:rPr>
        <w:t xml:space="preserve">on </w:t>
      </w:r>
      <w:r>
        <w:rPr>
          <w:lang w:val="en-US"/>
        </w:rPr>
        <w:t xml:space="preserve">can overcome the homogenizing effects of gene flow and (temporal) instability in selective forces </w:t>
      </w:r>
      <w:r>
        <w:rPr>
          <w:lang w:val="en-US"/>
        </w:rPr>
        <w:fldChar w:fldCharType="begin" w:fldLock="1"/>
      </w:r>
      <w:r w:rsidR="004D7888">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10.1016/j.tree.2014.01.002","ISSN":"0169-5347","author":[{"dropping-particle":"","family":"Richardson","given":"Jonathan L","non-dropping-particle":"","parse-names":false,"suffix":""},{"dropping-particle":"","family":"Urban","given":"Mark C","non-dropping-particle":"","parse-names":false,"suffix":""},{"dropping-particle":"","family":"Bolnick","given":"Daniel I","non-dropping-particle":"","parse-names":false,"suffix":""},{"dropping-particle":"","family":"Skelly","given":"David K","non-dropping-particle":"","parse-names":false,"suffix":""}],"container-title":"Trends in Ecology &amp; Evolution","id":"ITEM-2","issue":"3","issued":{"date-parts":[["2014"]]},"page":"165-176","publisher":"Elsevier Ltd","title":"Microgeographic adaptation and the spatial scale of evolution","type":"article-journal","volume":"29"},"uris":["http://www.mendeley.com/documents/?uuid=4f063ddd-5086-411e-b6a7-fcd0aab13d95"]},{"id":"ITEM-3","itemData":{"DOI":"10.1111/j.1558-5646.1997.tb02384.x","ISSN":"00143820","abstract":"We investigate the interplay between gene flow and adaptation in peripheral populations of a widespread species. Models are developed for the evolution of a quantitative trait under clinally varying selection in a species whose density decreases from the center of the range to its periphery. Two major results emerge. First, gene flow from populations at the range center can be a strong force that inhibits peripheral populations from evolving to their local ecological optima. As a result, peripheral populations experience persistent directional selection. Second, response to local selection pressures can cause rapid and substantial evolution when a peripheral population is isolated from gene flow. The amount of evolutionary change depends on gene flow, selection, the ecological gradient, and the trait's heritability. Rapid divergence can also occur between the two halves of a formerly continuous population that is divided by a vicariant event. A general conclusion is that disruption of gene flow can cause evolutionary divergence, perhaps leading to speciation, in the absence of contributions from random genetic drift.","author":[{"dropping-particle":"","family":"García-Ramos","given":"Gisela","non-dropping-particle":"","parse-names":false,"suffix":""},{"dropping-particle":"","family":"Kirkpatrick","given":"Mark","non-dropping-particle":"","parse-names":false,"suffix":""}],"container-title":"Evolution","id":"ITEM-3","issue":"1","issued":{"date-parts":[["1997"]]},"page":"21-28","title":"Genetic models of adaptation and gene flow in peripheral populations","type":"article-journal","volume":"51"},"uris":["http://www.mendeley.com/documents/?uuid=cc31b657-7ac5-49b1-89b9-90bae02d3c2c"]},{"id":"ITEM-4","itemData":{"ISBN":"0014-3820","ISSN":"0014-3820","PMID":"11327154","abstract":"Empirical tests for the importance of population mixing in constraining adaptive divergence have not been well grounded in theory for quantitative traits in spatially discrete populations. We develop quantitative-genetic models to examine the equilibrium difference between two populations that are experiencing different selective regimes and exchanging individuals. These models demonstrate that adaptive divergence is negatively correlated with the rate of population mixing (&amp;38;mcirc;, most strongly so when &amp;38;mcirc; is low), positively correlated with the difference in phenotypic optima between populations, and positively correlated with the amount of additive genetic variance (G, most strongly so when G is low). The approach to equilibrium is quite rapid (fewer than 50 generations for two populations to evolve 90&amp;37; of the distance to equilibrium) when either heritability or mixing are not too low (h2 &amp;62; 0.2 or &amp;38;mcirc; &amp;62; 0.05). The theory can be used to aid empirical tests that: (1) compare observed divergence to that predicted using estimates of population mixing, additive genetic variance/covariance, and selection; (2) test for a negative correlation between population mixing and adaptive divergence across multiple independent population pairs; and (3) experimentally manipulate the rate of mixing. Application of the first two of these approaches to data from two well-studied natural systems suggests that population mixing has constrained adaptive divergence for color patterns in Lake Erie water snakes (Nerodia sipedon), but not for trophic traits in sympatric pairs of benthic and limnetic stickleback (Gasterosteus aculeatus). The theoretical framework we outline should provide an improved basis for future empirical tests of the role of population mixing in adaptive divergence.","author":[{"dropping-particle":"","family":"Hendry","given":"Andrew P.","non-dropping-particle":"","parse-names":false,"suffix":""}],"container-title":"Evolution","id":"ITEM-4","issue":"3","issued":{"date-parts":[["2001"]]},"page":"459-466","title":"Traits in discrete populations: A theoretical framework for empirical tests","type":"article-journal","volume":"55"},"uris":["http://www.mendeley.com/documents/?uuid=de769638-d730-4fd8-a723-e95d0ff80d87"]},{"id":"ITEM-5","itemData":{"author":[{"dropping-particle":"","family":"Endler","given":"J. A.","non-dropping-particle":"","parse-names":false,"suffix":""}],"id":"ITEM-5","issued":{"date-parts":[["1977"]]},"publisher":"Princeton University Press","publisher-place":"Princeton, New Jersey, USA","title":"Geographic variation, speciation, and clines","type":"book"},"uris":["http://www.mendeley.com/documents/?uuid=fc34e389-e388-46fc-a049-0454324f6ed1"]},{"id":"ITEM-6","itemData":{"author":[{"dropping-particle":"","family":"Bradshaw","given":"A. D.","non-dropping-particle":"","parse-names":false,"suffix":""}],"container-title":"Perspectives on plant population ecology","editor":[{"dropping-particle":"","family":"Dirzo","given":"R.","non-dropping-particle":"","parse-names":false,"suffix":""},{"dropping-particle":"","family":"Sarukhan","given":"J.","non-dropping-particle":"","parse-names":false,"suffix":""}],"id":"ITEM-6","issued":{"date-parts":[["1984"]]},"page":"213-228","publisher-place":"Sinauer, Sunderland, MA","title":"Ecological significance of genetic variation between populations","type":"chapter"},"uris":["http://www.mendeley.com/documents/?uuid=fa5f83e6-b655-427e-878d-49c81dd30a15"]}],"mendeley":{"formattedCitation":"&lt;sup&gt;3,6–10&lt;/sup&gt;","plainTextFormattedCitation":"3,6–10","previouslyFormattedCitation":"&lt;sup&gt;3,6–10&lt;/sup&gt;"},"properties":{"noteIndex":0},"schema":"https://github.com/citation-style-language/schema/raw/master/csl-citation.json"}</w:instrText>
      </w:r>
      <w:r>
        <w:rPr>
          <w:lang w:val="en-US"/>
        </w:rPr>
        <w:fldChar w:fldCharType="separate"/>
      </w:r>
      <w:r w:rsidR="00164449" w:rsidRPr="00164449">
        <w:rPr>
          <w:noProof/>
          <w:vertAlign w:val="superscript"/>
          <w:lang w:val="en-US"/>
        </w:rPr>
        <w:t>3,6–10</w:t>
      </w:r>
      <w:r>
        <w:rPr>
          <w:lang w:val="en-US"/>
        </w:rPr>
        <w:fldChar w:fldCharType="end"/>
      </w:r>
      <w:r>
        <w:rPr>
          <w:lang w:val="en-US"/>
        </w:rPr>
        <w:t>.</w:t>
      </w:r>
      <w:r w:rsidR="003C04C1">
        <w:rPr>
          <w:lang w:val="en-US"/>
        </w:rPr>
        <w:t xml:space="preserve"> </w:t>
      </w:r>
      <w:r w:rsidR="003C04C1">
        <w:rPr>
          <w:color w:val="FF0000"/>
          <w:lang w:val="en-US"/>
        </w:rPr>
        <w:t>Isolated populations a</w:t>
      </w:r>
      <w:r w:rsidR="006A29C5">
        <w:rPr>
          <w:color w:val="FF0000"/>
          <w:lang w:val="en-US"/>
        </w:rPr>
        <w:t>re particularly susceptible to local adaptation...</w:t>
      </w:r>
      <w:r>
        <w:rPr>
          <w:lang w:val="en-US"/>
        </w:rPr>
        <w:t xml:space="preserve"> </w:t>
      </w:r>
      <w:r w:rsidR="00CB345A">
        <w:rPr>
          <w:lang w:val="en-US"/>
        </w:rPr>
        <w:t xml:space="preserve">Metapopulations may therefore </w:t>
      </w:r>
      <w:r w:rsidR="00E0438C">
        <w:rPr>
          <w:lang w:val="en-US"/>
        </w:rPr>
        <w:t>be comprised of a</w:t>
      </w:r>
      <w:r>
        <w:rPr>
          <w:lang w:val="en-US"/>
        </w:rPr>
        <w:t xml:space="preserve"> mosaic of locally adapted populations that have evolved optimized traits suited to local environments. </w:t>
      </w:r>
    </w:p>
    <w:p w14:paraId="4F1B13B2" w14:textId="2286018C" w:rsidR="001C0F75" w:rsidRDefault="00E97296" w:rsidP="00DF2B55">
      <w:pPr>
        <w:jc w:val="both"/>
        <w:rPr>
          <w:color w:val="000000" w:themeColor="text1"/>
          <w:lang w:val="en-US"/>
        </w:rPr>
      </w:pPr>
      <w:r>
        <w:rPr>
          <w:b/>
          <w:bCs/>
          <w:color w:val="000000" w:themeColor="text1"/>
          <w:lang w:val="en-US"/>
        </w:rPr>
        <w:t>Thermal conditions</w:t>
      </w:r>
      <w:r w:rsidR="00205D4B">
        <w:rPr>
          <w:b/>
          <w:bCs/>
          <w:color w:val="000000" w:themeColor="text1"/>
          <w:lang w:val="en-US"/>
        </w:rPr>
        <w:t xml:space="preserve"> across latitudinal gradients </w:t>
      </w:r>
      <w:r w:rsidR="00456DD3">
        <w:rPr>
          <w:b/>
          <w:bCs/>
          <w:color w:val="000000" w:themeColor="text1"/>
          <w:lang w:val="en-US"/>
        </w:rPr>
        <w:t>can</w:t>
      </w:r>
      <w:r w:rsidR="00205D4B">
        <w:rPr>
          <w:b/>
          <w:bCs/>
          <w:color w:val="000000" w:themeColor="text1"/>
          <w:lang w:val="en-US"/>
        </w:rPr>
        <w:t xml:space="preserve"> shaped</w:t>
      </w:r>
      <w:r w:rsidR="004C05EF">
        <w:rPr>
          <w:b/>
          <w:bCs/>
          <w:color w:val="000000" w:themeColor="text1"/>
          <w:lang w:val="en-US"/>
        </w:rPr>
        <w:t xml:space="preserve"> the</w:t>
      </w:r>
      <w:r w:rsidR="00205D4B">
        <w:rPr>
          <w:b/>
          <w:bCs/>
          <w:color w:val="000000" w:themeColor="text1"/>
          <w:lang w:val="en-US"/>
        </w:rPr>
        <w:t xml:space="preserve"> </w:t>
      </w:r>
      <w:r w:rsidR="00546E19">
        <w:rPr>
          <w:b/>
          <w:bCs/>
          <w:color w:val="000000" w:themeColor="text1"/>
          <w:lang w:val="en-US"/>
        </w:rPr>
        <w:t>fitness</w:t>
      </w:r>
      <w:r w:rsidR="00205D4B">
        <w:rPr>
          <w:b/>
          <w:bCs/>
          <w:color w:val="000000" w:themeColor="text1"/>
          <w:lang w:val="en-US"/>
        </w:rPr>
        <w:t xml:space="preserve"> </w:t>
      </w:r>
      <w:r w:rsidR="00343071" w:rsidRPr="004B1ED8">
        <w:rPr>
          <w:b/>
          <w:bCs/>
          <w:lang w:val="en-US"/>
        </w:rPr>
        <w:t>landscape</w:t>
      </w:r>
      <w:r w:rsidR="00096CD9">
        <w:rPr>
          <w:b/>
          <w:bCs/>
          <w:lang w:val="en-US"/>
        </w:rPr>
        <w:t xml:space="preserve"> </w:t>
      </w:r>
      <w:r w:rsidR="004C05EF">
        <w:rPr>
          <w:b/>
          <w:bCs/>
          <w:lang w:val="en-US"/>
        </w:rPr>
        <w:t>via locally adapted traits</w:t>
      </w:r>
      <w:r w:rsidR="00343071" w:rsidRPr="004B1ED8">
        <w:rPr>
          <w:b/>
          <w:bCs/>
          <w:lang w:val="en-US"/>
        </w:rPr>
        <w:t>.</w:t>
      </w:r>
      <w:r w:rsidR="00343071">
        <w:rPr>
          <w:lang w:val="en-US"/>
        </w:rPr>
        <w:t xml:space="preserve"> </w:t>
      </w:r>
      <w:r w:rsidR="009917AB" w:rsidRPr="003A5AA4">
        <w:rPr>
          <w:strike/>
          <w:color w:val="FF0000"/>
          <w:lang w:val="en-US"/>
        </w:rPr>
        <w:t>Local adaptation typically thought of ____</w:t>
      </w:r>
      <w:proofErr w:type="gramStart"/>
      <w:r w:rsidR="009917AB" w:rsidRPr="003A5AA4">
        <w:rPr>
          <w:strike/>
          <w:color w:val="FF0000"/>
          <w:lang w:val="en-US"/>
        </w:rPr>
        <w:t>_, but</w:t>
      </w:r>
      <w:proofErr w:type="gramEnd"/>
      <w:r w:rsidR="009917AB" w:rsidRPr="003A5AA4">
        <w:rPr>
          <w:strike/>
          <w:color w:val="FF0000"/>
          <w:lang w:val="en-US"/>
        </w:rPr>
        <w:t xml:space="preserve"> can also be in the form of thermal tolerances</w:t>
      </w:r>
      <w:r w:rsidR="00221000" w:rsidRPr="003A5AA4">
        <w:rPr>
          <w:strike/>
          <w:color w:val="FF0000"/>
          <w:lang w:val="en-US"/>
        </w:rPr>
        <w:t xml:space="preserve"> (A</w:t>
      </w:r>
      <w:r w:rsidR="00071BE1" w:rsidRPr="003A5AA4">
        <w:rPr>
          <w:strike/>
          <w:color w:val="FF0000"/>
          <w:lang w:val="en-US"/>
        </w:rPr>
        <w:t>i</w:t>
      </w:r>
      <w:r w:rsidR="00221000" w:rsidRPr="003A5AA4">
        <w:rPr>
          <w:strike/>
          <w:color w:val="FF0000"/>
          <w:lang w:val="en-US"/>
        </w:rPr>
        <w:t>tkens and Travis 2010)</w:t>
      </w:r>
      <w:r w:rsidR="009917AB" w:rsidRPr="003A5AA4">
        <w:rPr>
          <w:strike/>
          <w:color w:val="FF0000"/>
          <w:lang w:val="en-US"/>
        </w:rPr>
        <w:t xml:space="preserve">. </w:t>
      </w:r>
      <w:r w:rsidR="0012292D" w:rsidRPr="003A5AA4">
        <w:rPr>
          <w:strike/>
          <w:color w:val="FF0000"/>
          <w:lang w:val="en-US"/>
        </w:rPr>
        <w:t>T</w:t>
      </w:r>
      <w:r w:rsidR="0018332E" w:rsidRPr="003A5AA4">
        <w:rPr>
          <w:strike/>
          <w:color w:val="FF0000"/>
          <w:lang w:val="en-US"/>
        </w:rPr>
        <w:t xml:space="preserve">he </w:t>
      </w:r>
      <w:r w:rsidR="00205D4B" w:rsidRPr="003A5AA4">
        <w:rPr>
          <w:strike/>
          <w:color w:val="FF0000"/>
          <w:lang w:val="en-US"/>
        </w:rPr>
        <w:t xml:space="preserve">pervasive </w:t>
      </w:r>
      <w:r w:rsidR="008B39F5" w:rsidRPr="003A5AA4">
        <w:rPr>
          <w:strike/>
          <w:color w:val="FF0000"/>
          <w:lang w:val="en-US"/>
        </w:rPr>
        <w:t>nature</w:t>
      </w:r>
      <w:r w:rsidR="0018332E" w:rsidRPr="003A5AA4">
        <w:rPr>
          <w:strike/>
          <w:color w:val="FF0000"/>
          <w:lang w:val="en-US"/>
        </w:rPr>
        <w:t xml:space="preserve"> of temperature</w:t>
      </w:r>
      <w:r w:rsidR="00205D4B" w:rsidRPr="003A5AA4">
        <w:rPr>
          <w:strike/>
          <w:color w:val="FF0000"/>
          <w:lang w:val="en-US"/>
        </w:rPr>
        <w:t xml:space="preserve"> at various biological levels (e.g. cellular biochemistry, physiolog</w:t>
      </w:r>
      <w:r w:rsidR="0027788D" w:rsidRPr="003A5AA4">
        <w:rPr>
          <w:strike/>
          <w:color w:val="FF0000"/>
          <w:lang w:val="en-US"/>
        </w:rPr>
        <w:t>ical processes</w:t>
      </w:r>
      <w:r w:rsidR="00205D4B" w:rsidRPr="003A5AA4">
        <w:rPr>
          <w:strike/>
          <w:color w:val="FF0000"/>
          <w:lang w:val="en-US"/>
        </w:rPr>
        <w:t>)</w:t>
      </w:r>
      <w:r w:rsidR="00AB2123" w:rsidRPr="003A5AA4">
        <w:rPr>
          <w:strike/>
          <w:color w:val="FF0000"/>
          <w:lang w:val="en-US"/>
        </w:rPr>
        <w:t>,</w:t>
      </w:r>
      <w:r w:rsidR="005D2775" w:rsidRPr="003A5AA4">
        <w:rPr>
          <w:strike/>
          <w:color w:val="FF0000"/>
          <w:lang w:val="en-US"/>
        </w:rPr>
        <w:t xml:space="preserve"> particularly among ectotherms,</w:t>
      </w:r>
      <w:r w:rsidR="00AB2123" w:rsidRPr="003A5AA4">
        <w:rPr>
          <w:strike/>
          <w:color w:val="FF0000"/>
          <w:lang w:val="en-US"/>
        </w:rPr>
        <w:t xml:space="preserve"> </w:t>
      </w:r>
      <w:r w:rsidR="0012292D" w:rsidRPr="003A5AA4">
        <w:rPr>
          <w:strike/>
          <w:color w:val="FF0000"/>
          <w:lang w:val="en-US"/>
        </w:rPr>
        <w:t xml:space="preserve">suggests that </w:t>
      </w:r>
      <w:r w:rsidR="00F00E27" w:rsidRPr="003A5AA4">
        <w:rPr>
          <w:strike/>
          <w:color w:val="FF0000"/>
          <w:lang w:val="en-US"/>
        </w:rPr>
        <w:t xml:space="preserve">it </w:t>
      </w:r>
      <w:r w:rsidR="00734E3F" w:rsidRPr="003A5AA4">
        <w:rPr>
          <w:strike/>
          <w:color w:val="FF0000"/>
          <w:lang w:val="en-US"/>
        </w:rPr>
        <w:t xml:space="preserve">can impose </w:t>
      </w:r>
      <w:r w:rsidR="00F00E27" w:rsidRPr="003A5AA4">
        <w:rPr>
          <w:strike/>
          <w:color w:val="FF0000"/>
          <w:lang w:val="en-US"/>
        </w:rPr>
        <w:t xml:space="preserve">strong divergent </w:t>
      </w:r>
      <w:r w:rsidR="00205D4B" w:rsidRPr="003A5AA4">
        <w:rPr>
          <w:strike/>
          <w:color w:val="FF0000"/>
          <w:lang w:val="en-US"/>
        </w:rPr>
        <w:t>selection pressure</w:t>
      </w:r>
      <w:r w:rsidR="00F00E27" w:rsidRPr="003A5AA4">
        <w:rPr>
          <w:strike/>
          <w:color w:val="FF0000"/>
          <w:lang w:val="en-US"/>
        </w:rPr>
        <w:t>s</w:t>
      </w:r>
      <w:r w:rsidR="0099060A" w:rsidRPr="003A5AA4">
        <w:rPr>
          <w:strike/>
          <w:color w:val="FF0000"/>
          <w:lang w:val="en-US"/>
        </w:rPr>
        <w:t xml:space="preserve"> </w:t>
      </w:r>
      <w:r w:rsidR="00F00E27" w:rsidRPr="003A5AA4">
        <w:rPr>
          <w:strike/>
          <w:color w:val="FF0000"/>
          <w:lang w:val="en-US"/>
        </w:rPr>
        <w:t xml:space="preserve">on populations </w:t>
      </w:r>
      <w:r w:rsidR="0099060A" w:rsidRPr="003A5AA4">
        <w:rPr>
          <w:strike/>
          <w:color w:val="FF0000"/>
          <w:lang w:val="en-US"/>
        </w:rPr>
        <w:fldChar w:fldCharType="begin" w:fldLock="1"/>
      </w:r>
      <w:r w:rsidR="004D7888">
        <w:rPr>
          <w:strike/>
          <w:color w:val="FF0000"/>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lt;sup&gt;11&lt;/sup&gt;","plainTextFormattedCitation":"11","previouslyFormattedCitation":"&lt;sup&gt;11&lt;/sup&gt;"},"properties":{"noteIndex":0},"schema":"https://github.com/citation-style-language/schema/raw/master/csl-citation.json"}</w:instrText>
      </w:r>
      <w:r w:rsidR="0099060A" w:rsidRPr="003A5AA4">
        <w:rPr>
          <w:strike/>
          <w:color w:val="FF0000"/>
          <w:lang w:val="en-US"/>
        </w:rPr>
        <w:fldChar w:fldCharType="separate"/>
      </w:r>
      <w:r w:rsidR="00164449" w:rsidRPr="00164449">
        <w:rPr>
          <w:strike/>
          <w:noProof/>
          <w:color w:val="FF0000"/>
          <w:vertAlign w:val="superscript"/>
          <w:lang w:val="en-US"/>
        </w:rPr>
        <w:t>11</w:t>
      </w:r>
      <w:r w:rsidR="0099060A" w:rsidRPr="003A5AA4">
        <w:rPr>
          <w:strike/>
          <w:color w:val="FF0000"/>
          <w:lang w:val="en-US"/>
        </w:rPr>
        <w:fldChar w:fldCharType="end"/>
      </w:r>
      <w:r w:rsidR="00205D4B" w:rsidRPr="003A5AA4">
        <w:rPr>
          <w:strike/>
          <w:color w:val="FF0000"/>
          <w:lang w:val="en-US"/>
        </w:rPr>
        <w:t>.</w:t>
      </w:r>
      <w:r w:rsidR="006A60E0" w:rsidRPr="00B757E4">
        <w:rPr>
          <w:color w:val="FF0000"/>
          <w:lang w:val="en-US"/>
        </w:rPr>
        <w:t xml:space="preserve"> </w:t>
      </w:r>
      <w:r w:rsidR="006A60E0">
        <w:rPr>
          <w:lang w:val="en-US"/>
        </w:rPr>
        <w:t>E</w:t>
      </w:r>
      <w:r w:rsidR="00205D4B">
        <w:rPr>
          <w:lang w:val="en-US"/>
        </w:rPr>
        <w:t>vidence</w:t>
      </w:r>
      <w:r w:rsidR="00DF5A82">
        <w:rPr>
          <w:lang w:val="en-US"/>
        </w:rPr>
        <w:t xml:space="preserve"> of </w:t>
      </w:r>
      <w:r w:rsidR="00F11932">
        <w:rPr>
          <w:lang w:val="en-US"/>
        </w:rPr>
        <w:t>temperature-dependent clines between populations</w:t>
      </w:r>
      <w:r w:rsidR="00205D4B">
        <w:rPr>
          <w:lang w:val="en-US"/>
        </w:rPr>
        <w:t xml:space="preserve"> is widespread</w:t>
      </w:r>
      <w:r w:rsidR="008423A3">
        <w:rPr>
          <w:lang w:val="en-US"/>
        </w:rPr>
        <w:t>,</w:t>
      </w:r>
      <w:r w:rsidR="00205D4B">
        <w:rPr>
          <w:lang w:val="en-US"/>
        </w:rPr>
        <w:t xml:space="preserve"> ha</w:t>
      </w:r>
      <w:r w:rsidR="00D77A7B">
        <w:rPr>
          <w:lang w:val="en-US"/>
        </w:rPr>
        <w:t>ving</w:t>
      </w:r>
      <w:r w:rsidR="00205D4B">
        <w:rPr>
          <w:lang w:val="en-US"/>
        </w:rPr>
        <w:t xml:space="preserve"> been demonstrated</w:t>
      </w:r>
      <w:r w:rsidR="000C5C17">
        <w:rPr>
          <w:lang w:val="en-US"/>
        </w:rPr>
        <w:t xml:space="preserve"> in</w:t>
      </w:r>
      <w:r w:rsidR="00205D4B">
        <w:rPr>
          <w:lang w:val="en-US"/>
        </w:rPr>
        <w:t xml:space="preserve"> plants </w:t>
      </w:r>
      <w:r w:rsidR="00205D4B">
        <w:rPr>
          <w:lang w:val="en-US"/>
        </w:rPr>
        <w:fldChar w:fldCharType="begin" w:fldLock="1"/>
      </w:r>
      <w:r w:rsidR="004D7888">
        <w:rPr>
          <w:lang w:val="en-US"/>
        </w:rPr>
        <w:instrText>ADDIN CSL_CITATION {"citationItems":[{"id":"ITEM-1","itemData":{"DOI":"10.1111/eva.12871","ISSN":"17524571","abstract":"We evaluate genomic data, relative to phenotypic and climatic data, as a basis for assisted gene flow and genetic conservation. Using a seedling common garden trial of 281 lodgepole pine (Pinus contorta) populations from across western Canada, we compare genomic data to phenotypic and climatic data to assess their effectiveness in characterizing the climatic drivers and spatial scale of local adaptation in this species. We find that phenotype-associated loci are equivalent or slightly superior to climate data for describing local adaptation in seedling traits, but that climate data are superior to genomic data that have not been selected for phenotypic associations. We also find agreement between the climate variables associated with genomic variation and with 20-year heights from a long-term provenance trial, suggesting that genomic data may be a viable option for identifying climatic drivers of local adaptation where phenotypic data are unavailable. Genetic clines associated with the experimental traits occur at broad spatial scales, suggesting that standing variation of adaptive alleles for this and similar species does not require management at scales finer than those indicated by phenotypic data. This study demonstrates that genomic data are most useful when paired with phenotypic data, but can also fill some of the traditional roles of phenotypic data in management of species for which phenotypic trials are not feasible.","author":[{"dropping-particle":"","family":"Mahony","given":"Colin R.","non-dropping-particle":"","parse-names":false,"suffix":""},{"dropping-particle":"","family":"MacLachlan","given":"Ian R.","non-dropping-particle":"","parse-names":false,"suffix":""},{"dropping-particle":"","family":"Lind","given":"Brandon M.","non-dropping-particle":"","parse-names":false,"suffix":""},{"dropping-particle":"","family":"Yoder","given":"Jeremy B.","non-dropping-particle":"","parse-names":false,"suffix":""},{"dropping-particle":"","family":"Wang","given":"Tongli","non-dropping-particle":"","parse-names":false,"suffix":""},{"dropping-particle":"","family":"Aitken","given":"Sally N.","non-dropping-particle":"","parse-names":false,"suffix":""}],"container-title":"Evolutionary Applications","id":"ITEM-1","issue":"1","issued":{"date-parts":[["2020"]]},"page":"116-131","title":"Evaluating genomic data for management of local adaptation in a changing climate: A lodgepole pine case study","type":"article-journal","volume":"13"},"uris":["http://www.mendeley.com/documents/?uuid=369a1fce-96f0-45d4-966b-51c8a9e4da30"]},{"id":"ITEM-2","itemData":{"DOI":"10.1111/eva.12293","ISBN":"1604822910","author":[{"dropping-particle":"","family":"Aitken","given":"Sally N","non-dropping-particle":"","parse-names":false,"suffix":""},{"dropping-particle":"","family":"Bemmels","given":"Jordan B","non-dropping-particle":"","parse-names":false,"suffix":""}],"container-title":"Evolutionary Applications","id":"ITEM-2","issued":{"date-parts":[["2016"]]},"page":"271-290","title":"Time to get moving : Assisted gene flow of forest trees","type":"article-journal","volume":"9"},"uris":["http://www.mendeley.com/documents/?uuid=a30c1790-46de-4f9e-b051-03f7e5453b1f"]}],"mendeley":{"formattedCitation":"&lt;sup&gt;12,13&lt;/sup&gt;","plainTextFormattedCitation":"12,13","previouslyFormattedCitation":"&lt;sup&gt;12,13&lt;/sup&gt;"},"properties":{"noteIndex":0},"schema":"https://github.com/citation-style-language/schema/raw/master/csl-citation.json"}</w:instrText>
      </w:r>
      <w:r w:rsidR="00205D4B">
        <w:rPr>
          <w:lang w:val="en-US"/>
        </w:rPr>
        <w:fldChar w:fldCharType="separate"/>
      </w:r>
      <w:r w:rsidR="00164449" w:rsidRPr="00164449">
        <w:rPr>
          <w:noProof/>
          <w:vertAlign w:val="superscript"/>
          <w:lang w:val="en-US"/>
        </w:rPr>
        <w:t>12,13</w:t>
      </w:r>
      <w:r w:rsidR="00205D4B">
        <w:rPr>
          <w:lang w:val="en-US"/>
        </w:rPr>
        <w:fldChar w:fldCharType="end"/>
      </w:r>
      <w:r w:rsidR="00205D4B">
        <w:rPr>
          <w:lang w:val="en-US"/>
        </w:rPr>
        <w:t>, copepods</w:t>
      </w:r>
      <w:r w:rsidR="00205D4B">
        <w:rPr>
          <w:i/>
          <w:iCs/>
          <w:lang w:val="en-US"/>
        </w:rPr>
        <w:fldChar w:fldCharType="begin" w:fldLock="1"/>
      </w:r>
      <w:r w:rsidR="004D7888">
        <w:rPr>
          <w:i/>
          <w:iCs/>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copepod","type":"article-journal","volume":"25"},"uris":["http://www.mendeley.com/documents/?uuid=4301e274-84f7-4384-8b47-62c891f32769"]},{"id":"ITEM-3","itemData":{"DOI":"10.1098/rspb.2017.0236","ISBN":"0000000280","ISSN":"14712954","PMID":"28446698","abstract":"Understanding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Sciences","id":"ITEM-3","issued":{"date-parts":[["2017"]]},"page":"2017023","title":"Adaptation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lt;sup&gt;11,14,15&lt;/sup&gt;","plainTextFormattedCitation":"11,14,15","previouslyFormattedCitation":"&lt;sup&gt;11,14,15&lt;/sup&gt;"},"properties":{"noteIndex":0},"schema":"https://github.com/citation-style-language/schema/raw/master/csl-citation.json"}</w:instrText>
      </w:r>
      <w:r w:rsidR="00205D4B">
        <w:rPr>
          <w:i/>
          <w:iCs/>
          <w:lang w:val="en-US"/>
        </w:rPr>
        <w:fldChar w:fldCharType="separate"/>
      </w:r>
      <w:r w:rsidR="00164449" w:rsidRPr="00164449">
        <w:rPr>
          <w:iCs/>
          <w:noProof/>
          <w:vertAlign w:val="superscript"/>
          <w:lang w:val="en-US"/>
        </w:rPr>
        <w:t>11,14,15</w:t>
      </w:r>
      <w:r w:rsidR="00205D4B">
        <w:rPr>
          <w:i/>
          <w:iCs/>
          <w:lang w:val="en-US"/>
        </w:rPr>
        <w:fldChar w:fldCharType="end"/>
      </w:r>
      <w:r w:rsidR="00205D4B">
        <w:rPr>
          <w:lang w:val="en-US"/>
        </w:rPr>
        <w:t xml:space="preserve">, </w:t>
      </w:r>
      <w:r w:rsidR="00205D4B">
        <w:rPr>
          <w:i/>
          <w:iCs/>
          <w:lang w:val="en-US"/>
        </w:rPr>
        <w:t>Daphnia</w:t>
      </w:r>
      <w:r w:rsidR="00205D4B">
        <w:rPr>
          <w:i/>
          <w:iCs/>
          <w:lang w:val="en-US"/>
        </w:rPr>
        <w:fldChar w:fldCharType="begin" w:fldLock="1"/>
      </w:r>
      <w:r w:rsidR="004D7888">
        <w:rPr>
          <w:i/>
          <w:iCs/>
          <w:lang w:val="en-US"/>
        </w:rPr>
        <w:instrText>ADDIN CSL_CITATION {"citationItems":[{"id":"ITEM-1","itemData":{"DOI":"10.1098/rspb.2013.2744","ISSN":"14712954","abstract":"Many organisms have geographical distributions extending from the tropics to near polar regions or can experience up to 30°C temperature variation within the lifespan of an individual. Two forms of evolutionary adaptation to such wide ranges in ambient temperatures are frequently discussed: local adaptation and phenotypic plasticity. The freshwater planktonic crustaceanDaphnia magna, whose range extends from South Africa to near arctic sites, shows strong phenotypic and genotypic variation in response to temperature. In this study, we use D. magna clones from 22 populations (one clone per population) ranging from latitude 0° (Kenya) to 66° North (White Sea) to explore the contributions of phenotypic plasticity and local adaptation to high temperature tolerance. Temperature tolerance was studied as knockout time (time until immobilization, Timm) at 37°C in clones acclimatized to either 20°C or 28°C. Acclimatization to 28°C strongly increased Timm, testifying to adaptive phenotypic plasticity. At the same time, Timm significantly correlated with average high temperature at the clones' sites of origin, suggesting local adaptation. As earlier studies have found that haemoglobin expression contributes to temperature tolerance, we also quantified haemoglobin concentration in experimental animals and found that both acclimatization temperature (AccT) and temperature at the site of origin are positively correlated with haemoglobin concentration. Furthermore, Daphnia from warmer climates upregulate haemoglobin much more strongly in response to AccT, suggesting local adaptation for plasticity in haemoglobin expression. Our results show that both local adaptation and phenotypic plasticity contribute to temperature tolerance, and elucidate a possible role of haemoglobin in mediating these effects that differs along a cold-warm gradient. © 2013 The Author(s).","author":[{"dropping-particle":"","family":"Yampolsky","given":"Lev Y.","non-dropping-particle":"","parse-names":false,"suffix":""},{"dropping-particle":"","family":"Schaer","given":"Tobias M.M.","non-dropping-particle":"","parse-names":false,"suffix":""},{"dropping-particle":"","family":"Ebert","given":"Dieter","non-dropping-particle":"","parse-names":false,"suffix":""}],"container-title":"Proceedings of the Royal Society B: Biological Sciences","id":"ITEM-1","issued":{"date-parts":[["2014"]]},"page":"20132744","title":"Adaptive phenotypic plasticity and local adaptation for temperature tolerance in freshwater zooplankton","type":"article-journal","volume":"281"},"uris":["http://www.mendeley.com/documents/?uuid=db784303-2322-424f-9319-91b9c7ee4de0"]}],"mendeley":{"formattedCitation":"&lt;sup&gt;16&lt;/sup&gt;","plainTextFormattedCitation":"16","previouslyFormattedCitation":"&lt;sup&gt;16&lt;/sup&gt;"},"properties":{"noteIndex":0},"schema":"https://github.com/citation-style-language/schema/raw/master/csl-citation.json"}</w:instrText>
      </w:r>
      <w:r w:rsidR="00205D4B">
        <w:rPr>
          <w:i/>
          <w:iCs/>
          <w:lang w:val="en-US"/>
        </w:rPr>
        <w:fldChar w:fldCharType="separate"/>
      </w:r>
      <w:r w:rsidR="00164449" w:rsidRPr="00164449">
        <w:rPr>
          <w:iCs/>
          <w:noProof/>
          <w:vertAlign w:val="superscript"/>
          <w:lang w:val="en-US"/>
        </w:rPr>
        <w:t>16</w:t>
      </w:r>
      <w:r w:rsidR="00205D4B">
        <w:rPr>
          <w:i/>
          <w:iCs/>
          <w:lang w:val="en-US"/>
        </w:rPr>
        <w:fldChar w:fldCharType="end"/>
      </w:r>
      <w:r w:rsidR="00205D4B">
        <w:rPr>
          <w:lang w:val="en-US"/>
        </w:rPr>
        <w:t xml:space="preserve">, </w:t>
      </w:r>
      <w:r w:rsidR="00205D4B">
        <w:rPr>
          <w:i/>
          <w:iCs/>
          <w:lang w:val="en-US"/>
        </w:rPr>
        <w:t>Drosophila</w:t>
      </w:r>
      <w:r w:rsidR="00205D4B">
        <w:rPr>
          <w:lang w:val="en-US"/>
        </w:rPr>
        <w:t xml:space="preserve"> (review </w:t>
      </w:r>
      <w:r w:rsidR="00205D4B">
        <w:rPr>
          <w:lang w:val="en-US"/>
        </w:rPr>
        <w:fldChar w:fldCharType="begin" w:fldLock="1"/>
      </w:r>
      <w:r w:rsidR="004D7888">
        <w:rPr>
          <w:lang w:val="en-US"/>
        </w:rPr>
        <w:instrText>ADDIN CSL_CITATION {"citationItems":[{"id":"ITEM-1","itemData":{"DOI":"10.1016/S0306-4565(02)00057-8","ISSN":"03064565","abstract":"Although adaptation of Drosophila to thermal extremes has been investigated for many years, only recently has much progress been made in identifying the genetic and physiological basis of evolutionary shifts in thermoresistance. Here we examine the way the Drosophila research has been used to understand the evolution of plastic responses, tradeoffs and limits to selection, and to develop links between laboratory studies and adaptive shifts leading to population and species differences. Several methods have been devised to rapidly measure heat and cold resistance, but the relevance of these measures to selection pressures in nature remains largely unknown. Plastic responses to thermal extremes are usually divided into short-term exposures to sub-lethal conditions or into longer-term exposures (often referred to as hardening and acclimation respectively). Hardening responses appear to have costs associated with the expression of a heat shock protein (Hsp70). Costs of acclimation are more difficult to identify because exposing Drosophila to suboptimal conditions for a long time can have deleterious effects unrelated to the acclimation response. Quantitative genetic analyses have revealed genetic variation for thermoresistance under laboratory conditions, but variation under natural conditions has rarely been identified. In a few cases selection responses within laboratory populations have been linked to specific candidate genes and physiological mechanisms. Population comparisons have provided evidence for clinal variation in thermoresistance traits, although many studies lack power because only a few populations have been considered. Clinal patterns in candidate genes have also been demonstrated. However evidence for direct selection for thermoresistance and for the involvement of specific genes under natural conditions is mostly lacking. Clinal responses to cold extremes can involve changes in diapause strategies and altered patterns of reproduction. Inbreeding influences thermoresistance and acclimation responses, but inbreeding effects may be environment-specific. Species differences in heat or in cold resistance commonly match the geographical (climatic) distributions of species. Interspecific differences for heat resistance are usually smaller than for cold resistance. Drosophila species from the same location can differ markedly for stress resistance, and this may allow species to occupy different niches. Rapid progress is likely in the next few yea…","author":[{"dropping-particle":"","family":"Hoffmann","given":"Ary A.","non-dropping-particle":"","parse-names":false,"suffix":""},{"dropping-particle":"","family":"Sørensen","given":"Jesper G.","non-dropping-particle":"","parse-names":false,"suffix":""},{"dropping-particle":"","family":"Loeschcke","given":"Volker","non-dropping-particle":"","parse-names":false,"suffix":""}],"container-title":"Journal of Thermal Biology","id":"ITEM-1","issue":"3","issued":{"date-parts":[["2003"]]},"page":"175-216","title":"Adaptation of Drosophila to temperature extremes: Bringing together quantitative and molecular approaches","type":"article-journal","volume":"28"},"uris":["http://www.mendeley.com/documents/?uuid=41c0d7e8-b07a-4a03-b283-a0307249e7a5"]}],"mendeley":{"formattedCitation":"&lt;sup&gt;17&lt;/sup&gt;","plainTextFormattedCitation":"17","previouslyFormattedCitation":"&lt;sup&gt;17&lt;/sup&gt;"},"properties":{"noteIndex":0},"schema":"https://github.com/citation-style-language/schema/raw/master/csl-citation.json"}</w:instrText>
      </w:r>
      <w:r w:rsidR="00205D4B">
        <w:rPr>
          <w:lang w:val="en-US"/>
        </w:rPr>
        <w:fldChar w:fldCharType="separate"/>
      </w:r>
      <w:r w:rsidR="00164449" w:rsidRPr="00164449">
        <w:rPr>
          <w:noProof/>
          <w:vertAlign w:val="superscript"/>
          <w:lang w:val="en-US"/>
        </w:rPr>
        <w:t>17</w:t>
      </w:r>
      <w:r w:rsidR="00205D4B">
        <w:rPr>
          <w:lang w:val="en-US"/>
        </w:rPr>
        <w:fldChar w:fldCharType="end"/>
      </w:r>
      <w:r w:rsidR="00205D4B">
        <w:rPr>
          <w:lang w:val="en-US"/>
        </w:rPr>
        <w:t>)</w:t>
      </w:r>
      <w:r w:rsidR="004E7CB4">
        <w:rPr>
          <w:lang w:val="en-US"/>
        </w:rPr>
        <w:t xml:space="preserve">, </w:t>
      </w:r>
      <w:r w:rsidR="0068736D">
        <w:rPr>
          <w:lang w:val="en-US"/>
        </w:rPr>
        <w:t>porcelain</w:t>
      </w:r>
      <w:r w:rsidR="004E7CB4">
        <w:rPr>
          <w:lang w:val="en-US"/>
        </w:rPr>
        <w:t xml:space="preserve"> cra</w:t>
      </w:r>
      <w:r w:rsidR="0068736D">
        <w:rPr>
          <w:lang w:val="en-US"/>
        </w:rPr>
        <w:t>b</w:t>
      </w:r>
      <w:r w:rsidR="004E7CB4">
        <w:rPr>
          <w:lang w:val="en-US"/>
        </w:rPr>
        <w:t>s</w:t>
      </w:r>
      <w:r w:rsidR="0068736D">
        <w:rPr>
          <w:lang w:val="en-US"/>
        </w:rPr>
        <w:fldChar w:fldCharType="begin" w:fldLock="1"/>
      </w:r>
      <w:r w:rsidR="004D7888">
        <w:rPr>
          <w:lang w:val="en-US"/>
        </w:rPr>
        <w:instrText>ADDIN CSL_CITATION {"citationItems":[{"id":"ITEM-1","itemData":{"DOI":"10.1093/icb/42.4.790","ISSN":"00031569","abstract":"Vertical zonation of intertidal organisms, from the shallow subtidal to the supralittoral zones, is a ubiquitous feature of temperate and tropical rocky shores. Organisms that live higher on the shore experience larger daily and seasonal fluctuations in microhabitat conditions, due to their greater exposure to terrestrial conditions during emersion. Comparative analyses of the adaptive linkage between physiological tolerance limits and vertical distribution are the most powerful when the study species are closely related and occur in discrete vertical zones throughout the intertidal range. Here, I summarize work on the physiological tolerance limits of rocky intertidal zone porcelain crab species of the genus Petrolisthes to emersion-related heat stress. In the eastern Pacific, Petrolisthes species live throughout temperate and tropical regions, and are found in discrete vertical intertidal zones in each region. Whole organism thermal tolerance limits of Petrolisthes species, and thermal limits of heart and nerve function reflect microhabitat conditions. Species living higher in the intertidal zone are more eurythermal than low-intertidal congeners, tropical species have the highest thermal limits, and the differences in thermal tolerance between low- and high-intertidal species is greatest for temperate crabs. Acclimation of thermal limits of high-intertidal species is restricted as compared to low-intertidal species. Thus, because thermal limits of high-intertidal species are near current habitat temperature maxima, global warming could most strongly impact intertidal species.","author":[{"dropping-particle":"","family":"Stillman","given":"Jonathon H.","non-dropping-particle":"","parse-names":false,"suffix":""}],"container-title":"Integrative and Comparative Biology","id":"ITEM-1","issue":"4","issued":{"date-parts":[["2002"]]},"page":"790-796","title":"Causes and consequences of thermal tolerance limits in rocky intertidal porcelain crabs, genus Petrolisthes","type":"article-journal","volume":"42"},"uris":["http://www.mendeley.com/documents/?uuid=65d87f11-42f4-4c47-8b20-3ca6b7329df5"]}],"mendeley":{"formattedCitation":"&lt;sup&gt;18&lt;/sup&gt;","plainTextFormattedCitation":"18","previouslyFormattedCitation":"&lt;sup&gt;18&lt;/sup&gt;"},"properties":{"noteIndex":0},"schema":"https://github.com/citation-style-language/schema/raw/master/csl-citation.json"}</w:instrText>
      </w:r>
      <w:r w:rsidR="0068736D">
        <w:rPr>
          <w:lang w:val="en-US"/>
        </w:rPr>
        <w:fldChar w:fldCharType="separate"/>
      </w:r>
      <w:r w:rsidR="00164449" w:rsidRPr="00164449">
        <w:rPr>
          <w:noProof/>
          <w:vertAlign w:val="superscript"/>
          <w:lang w:val="en-US"/>
        </w:rPr>
        <w:t>18</w:t>
      </w:r>
      <w:r w:rsidR="0068736D">
        <w:rPr>
          <w:lang w:val="en-US"/>
        </w:rPr>
        <w:fldChar w:fldCharType="end"/>
      </w:r>
      <w:r w:rsidR="0068736D">
        <w:rPr>
          <w:lang w:val="en-US"/>
        </w:rPr>
        <w:t>,</w:t>
      </w:r>
      <w:r w:rsidR="004E7CB4">
        <w:rPr>
          <w:lang w:val="en-US"/>
        </w:rPr>
        <w:t xml:space="preserve"> </w:t>
      </w:r>
      <w:r w:rsidR="00205D4B">
        <w:rPr>
          <w:lang w:val="en-US"/>
        </w:rPr>
        <w:t xml:space="preserve"> and intertidal snails</w:t>
      </w:r>
      <w:r w:rsidR="00205D4B">
        <w:rPr>
          <w:i/>
          <w:iCs/>
          <w:lang w:val="en-US"/>
        </w:rPr>
        <w:fldChar w:fldCharType="begin" w:fldLock="1"/>
      </w:r>
      <w:r w:rsidR="00117C30">
        <w:rPr>
          <w:i/>
          <w:iCs/>
          <w:lang w:val="en-US"/>
        </w:rPr>
        <w:instrText>ADDIN CSL_CITATION {"citationItems":[{"id":"ITEM-1","itemData":{"DOI":"10.3354/meps08102","ISSN":"01718630","abstract":"Although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Series","id":"ITEM-1","issue":"January","issued":{"date-parts":[["2009"]]},"page":"137-146","title":"Geographic variation in the upper thermal limits of an intertidal snail: Implications for climate envelope models","type":"article-journal","volume":"388"},"uris":["http://www.mendeley.com/documents/?uuid=7eedd8c1-79b9-454c-8ab1-d90106f7b8d4"]},{"id":"ITEM-2","itemData":{"DOI":"10.1016/j.jembe.2011.02.009","ISSN":"00220981","abstract":"The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lt;sup&gt;19,20&lt;/sup&gt;","plainTextFormattedCitation":"19,20","previouslyFormattedCitation":"&lt;sup&gt;19,20&lt;/sup&gt;"},"properties":{"noteIndex":0},"schema":"https://github.com/citation-style-language/schema/raw/master/csl-citation.json"}</w:instrText>
      </w:r>
      <w:r w:rsidR="00205D4B">
        <w:rPr>
          <w:i/>
          <w:iCs/>
          <w:lang w:val="en-US"/>
        </w:rPr>
        <w:fldChar w:fldCharType="separate"/>
      </w:r>
      <w:r w:rsidR="00164449" w:rsidRPr="00164449">
        <w:rPr>
          <w:iCs/>
          <w:noProof/>
          <w:vertAlign w:val="superscript"/>
          <w:lang w:val="en-US"/>
        </w:rPr>
        <w:t>19,20</w:t>
      </w:r>
      <w:r w:rsidR="00205D4B">
        <w:rPr>
          <w:i/>
          <w:iCs/>
          <w:lang w:val="en-US"/>
        </w:rPr>
        <w:fldChar w:fldCharType="end"/>
      </w:r>
      <w:r w:rsidR="005E230F">
        <w:rPr>
          <w:lang w:val="en-US"/>
        </w:rPr>
        <w:t xml:space="preserve"> (also see Sanford and Kelly </w:t>
      </w:r>
      <w:r w:rsidR="005C66D1">
        <w:rPr>
          <w:lang w:val="en-US"/>
        </w:rPr>
        <w:t>(</w:t>
      </w:r>
      <w:r w:rsidR="005E230F">
        <w:rPr>
          <w:lang w:val="en-US"/>
        </w:rPr>
        <w:t>2011</w:t>
      </w:r>
      <w:r w:rsidR="005C66D1">
        <w:rPr>
          <w:lang w:val="en-US"/>
        </w:rPr>
        <w:t>)</w:t>
      </w:r>
      <w:r w:rsidR="006B522E">
        <w:rPr>
          <w:lang w:val="en-US"/>
        </w:rPr>
        <w:fldChar w:fldCharType="begin" w:fldLock="1"/>
      </w:r>
      <w:r w:rsidR="004D7888">
        <w:rPr>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lt;sup&gt;21&lt;/sup&gt;","plainTextFormattedCitation":"21","previouslyFormattedCitation":"&lt;sup&gt;21&lt;/sup&gt;"},"properties":{"noteIndex":0},"schema":"https://github.com/citation-style-language/schema/raw/master/csl-citation.json"}</w:instrText>
      </w:r>
      <w:r w:rsidR="006B522E">
        <w:rPr>
          <w:lang w:val="en-US"/>
        </w:rPr>
        <w:fldChar w:fldCharType="separate"/>
      </w:r>
      <w:r w:rsidR="00164449" w:rsidRPr="00164449">
        <w:rPr>
          <w:noProof/>
          <w:vertAlign w:val="superscript"/>
          <w:lang w:val="en-US"/>
        </w:rPr>
        <w:t>21</w:t>
      </w:r>
      <w:r w:rsidR="006B522E">
        <w:rPr>
          <w:lang w:val="en-US"/>
        </w:rPr>
        <w:fldChar w:fldCharType="end"/>
      </w:r>
      <w:r w:rsidR="005E230F">
        <w:rPr>
          <w:lang w:val="en-US"/>
        </w:rPr>
        <w:t xml:space="preserve"> for review in marine invertebrates</w:t>
      </w:r>
      <w:r w:rsidR="005C66D1">
        <w:rPr>
          <w:lang w:val="en-US"/>
        </w:rPr>
        <w:t>)</w:t>
      </w:r>
      <w:r w:rsidR="00205D4B">
        <w:rPr>
          <w:lang w:val="en-US"/>
        </w:rPr>
        <w:t>.</w:t>
      </w:r>
      <w:r w:rsidR="00FC00DB">
        <w:rPr>
          <w:lang w:val="en-US"/>
        </w:rPr>
        <w:t xml:space="preserve"> Moreover,</w:t>
      </w:r>
      <w:r w:rsidR="00955712">
        <w:rPr>
          <w:lang w:val="en-US"/>
        </w:rPr>
        <w:t xml:space="preserve"> </w:t>
      </w:r>
      <w:r w:rsidR="00144E50">
        <w:rPr>
          <w:lang w:val="en-US"/>
        </w:rPr>
        <w:t xml:space="preserve">temperature-dependent </w:t>
      </w:r>
      <w:r w:rsidR="00FC00DB">
        <w:rPr>
          <w:lang w:val="en-US"/>
        </w:rPr>
        <w:t>c</w:t>
      </w:r>
      <w:r w:rsidR="00A93A6D">
        <w:rPr>
          <w:lang w:val="en-US"/>
        </w:rPr>
        <w:t xml:space="preserve">lines </w:t>
      </w:r>
      <w:r w:rsidR="00252034">
        <w:rPr>
          <w:lang w:val="en-US"/>
        </w:rPr>
        <w:t xml:space="preserve">(i.e. local adaptation) </w:t>
      </w:r>
      <w:r w:rsidR="00A93A6D">
        <w:rPr>
          <w:lang w:val="en-US"/>
        </w:rPr>
        <w:t>between populations</w:t>
      </w:r>
      <w:r w:rsidR="002920FB">
        <w:rPr>
          <w:lang w:val="en-US"/>
        </w:rPr>
        <w:t xml:space="preserve"> </w:t>
      </w:r>
      <w:r w:rsidR="00A93A6D">
        <w:rPr>
          <w:lang w:val="en-US"/>
        </w:rPr>
        <w:t xml:space="preserve">represent </w:t>
      </w:r>
      <w:r w:rsidR="00407E8E">
        <w:rPr>
          <w:lang w:val="en-US"/>
        </w:rPr>
        <w:t>diverging</w:t>
      </w:r>
      <w:r w:rsidR="00A93A6D">
        <w:rPr>
          <w:lang w:val="en-US"/>
        </w:rPr>
        <w:t xml:space="preserve"> evolutionary histories </w:t>
      </w:r>
      <w:r w:rsidR="00DE4993">
        <w:rPr>
          <w:lang w:val="en-US"/>
        </w:rPr>
        <w:t>that can</w:t>
      </w:r>
      <w:r w:rsidR="00407E8E">
        <w:rPr>
          <w:lang w:val="en-US"/>
        </w:rPr>
        <w:t xml:space="preserve"> </w:t>
      </w:r>
      <w:r w:rsidR="00407E8E" w:rsidRPr="00044042">
        <w:rPr>
          <w:color w:val="000000" w:themeColor="text1"/>
          <w:lang w:val="en-US"/>
        </w:rPr>
        <w:t xml:space="preserve">elucidate how populations will respond to climate change </w:t>
      </w:r>
      <w:r w:rsidR="00407E8E" w:rsidRPr="00044042">
        <w:rPr>
          <w:color w:val="000000" w:themeColor="text1"/>
          <w:lang w:val="en-US"/>
        </w:rPr>
        <w:fldChar w:fldCharType="begin" w:fldLock="1"/>
      </w:r>
      <w:r w:rsidR="004D7888">
        <w:rPr>
          <w:color w:val="000000" w:themeColor="text1"/>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plasticity","type":"article-journal","volume":"284"},"uris":["http://www.mendeley.com/documents/?uuid=414deb3d-aad6-4dab-af68-76480a53dc68"]},{"id":"ITEM-2","itemData":{"DOI":"10.1242/jeb.037473","ISSN":"00220949","PMID":"20190116","abstract":"Physiological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Biology","id":"ITEM-2","issue":"6","issued":{"date-parts":[["2010"]]},"page":"912-920","title":"The physiology of climate change: How potentials for acclimatization and genetic adaptation will determine 'winners' and 'losers'","type":"article-journal","volume":"213"},"uris":["http://www.mendeley.com/documents/?uuid=a1d34b38-ae6a-43af-81f2-f9a7d208e75b"]},{"id":"ITEM-3","itemData":{"DOI":"10.1038/nature09670","ISSN":"00280836","PMID":"21350480","abstract":"Evolutionary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mendeley":{"formattedCitation":"&lt;sup&gt;11,22,23&lt;/sup&gt;","plainTextFormattedCitation":"11,22,23","previouslyFormattedCitation":"&lt;sup&gt;11,22,23&lt;/sup&gt;"},"properties":{"noteIndex":0},"schema":"https://github.com/citation-style-language/schema/raw/master/csl-citation.json"}</w:instrText>
      </w:r>
      <w:r w:rsidR="00407E8E" w:rsidRPr="00044042">
        <w:rPr>
          <w:color w:val="000000" w:themeColor="text1"/>
          <w:lang w:val="en-US"/>
        </w:rPr>
        <w:fldChar w:fldCharType="separate"/>
      </w:r>
      <w:r w:rsidR="00164449" w:rsidRPr="00164449">
        <w:rPr>
          <w:noProof/>
          <w:color w:val="000000" w:themeColor="text1"/>
          <w:vertAlign w:val="superscript"/>
          <w:lang w:val="en-US"/>
        </w:rPr>
        <w:t>11,22,23</w:t>
      </w:r>
      <w:r w:rsidR="00407E8E" w:rsidRPr="00044042">
        <w:rPr>
          <w:color w:val="000000" w:themeColor="text1"/>
          <w:lang w:val="en-US"/>
        </w:rPr>
        <w:fldChar w:fldCharType="end"/>
      </w:r>
      <w:r w:rsidR="00044042" w:rsidRPr="00044042">
        <w:rPr>
          <w:color w:val="000000" w:themeColor="text1"/>
          <w:lang w:val="en-US"/>
        </w:rPr>
        <w:t>.</w:t>
      </w:r>
      <w:r w:rsidR="00205D4B" w:rsidRPr="00044042">
        <w:rPr>
          <w:color w:val="000000" w:themeColor="text1"/>
          <w:lang w:val="en-US"/>
        </w:rPr>
        <w:t xml:space="preserve"> </w:t>
      </w:r>
      <w:r w:rsidR="001C0F75">
        <w:rPr>
          <w:color w:val="000000" w:themeColor="text1"/>
          <w:lang w:val="en-US"/>
        </w:rPr>
        <w:t xml:space="preserve"> </w:t>
      </w:r>
    </w:p>
    <w:p w14:paraId="1B610E48" w14:textId="5B971BB2" w:rsidR="001C0F75" w:rsidRDefault="001C0F75" w:rsidP="00DF2B55">
      <w:pPr>
        <w:jc w:val="both"/>
        <w:rPr>
          <w:lang w:val="en-US"/>
        </w:rPr>
      </w:pPr>
      <w:r w:rsidRPr="00624276">
        <w:rPr>
          <w:color w:val="FF0000"/>
          <w:lang w:val="en-US"/>
        </w:rPr>
        <w:t xml:space="preserve">However, recent evidence suggests that the rapid pace of climate change can disrupt local adaptation processes via shifting selection pressures </w:t>
      </w:r>
      <w:r w:rsidRPr="00624276">
        <w:rPr>
          <w:color w:val="FF0000"/>
          <w:lang w:val="en-US"/>
        </w:rPr>
        <w:fldChar w:fldCharType="begin" w:fldLock="1"/>
      </w:r>
      <w:r w:rsidR="004D7888">
        <w:rPr>
          <w:color w:val="FF0000"/>
          <w:lang w:val="en-US"/>
        </w:rPr>
        <w:instrText>ADDIN CSL_CITATION {"citationItems":[{"id":"ITEM-1","itemData":{"DOI":"10.1038/nature09670","ISSN":"00280836","PMID":"21350480","abstract":"Evolutionary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M.","non-dropping-particle":"","parse-names":false,"suffix":""}],"container-title":"Nature","id":"ITEM-1","issue":"7335","issued":{"date-parts":[["2011"]]},"page":"479-485","title":"Climate change and evolutionary adaptation","type":"article-journal","volume":"470"},"uris":["http://www.mendeley.com/documents/?uuid=2e7ac2dd-44e9-446d-8aa2-5d8d77e58c9d"]}],"mendeley":{"formattedCitation":"&lt;sup&gt;23&lt;/sup&gt;","plainTextFormattedCitation":"23","previouslyFormattedCitation":"&lt;sup&gt;23&lt;/sup&gt;"},"properties":{"noteIndex":0},"schema":"https://github.com/citation-style-language/schema/raw/master/csl-citation.json"}</w:instrText>
      </w:r>
      <w:r w:rsidRPr="00624276">
        <w:rPr>
          <w:color w:val="FF0000"/>
          <w:lang w:val="en-US"/>
        </w:rPr>
        <w:fldChar w:fldCharType="separate"/>
      </w:r>
      <w:r w:rsidR="00164449" w:rsidRPr="00164449">
        <w:rPr>
          <w:noProof/>
          <w:color w:val="FF0000"/>
          <w:vertAlign w:val="superscript"/>
          <w:lang w:val="en-US"/>
        </w:rPr>
        <w:t>23</w:t>
      </w:r>
      <w:r w:rsidRPr="00624276">
        <w:rPr>
          <w:color w:val="FF0000"/>
          <w:lang w:val="en-US"/>
        </w:rPr>
        <w:fldChar w:fldCharType="end"/>
      </w:r>
      <w:r w:rsidRPr="00624276">
        <w:rPr>
          <w:color w:val="FF0000"/>
          <w:lang w:val="en-US"/>
        </w:rPr>
        <w:t xml:space="preserve">.   </w:t>
      </w:r>
    </w:p>
    <w:p w14:paraId="0E6BCB77" w14:textId="44F0985A" w:rsidR="00C31723" w:rsidRDefault="00A052F4" w:rsidP="00ED0964">
      <w:pPr>
        <w:jc w:val="both"/>
        <w:rPr>
          <w:b/>
          <w:bCs/>
          <w:color w:val="FF0000"/>
          <w:lang w:val="en-US"/>
        </w:rPr>
      </w:pPr>
      <w:r>
        <w:rPr>
          <w:b/>
          <w:bCs/>
          <w:color w:val="FF0000"/>
          <w:lang w:val="en-US"/>
        </w:rPr>
        <w:t xml:space="preserve">The ability to response to shifting selection pressure will depend on the genetic </w:t>
      </w:r>
      <w:r w:rsidR="00EC4520">
        <w:rPr>
          <w:b/>
          <w:bCs/>
          <w:color w:val="FF0000"/>
          <w:lang w:val="en-US"/>
        </w:rPr>
        <w:t>architecture</w:t>
      </w:r>
      <w:r>
        <w:rPr>
          <w:b/>
          <w:bCs/>
          <w:color w:val="FF0000"/>
          <w:lang w:val="en-US"/>
        </w:rPr>
        <w:t xml:space="preserve"> and demographic processes found within different </w:t>
      </w:r>
      <w:r w:rsidR="006249FD">
        <w:rPr>
          <w:b/>
          <w:bCs/>
          <w:color w:val="FF0000"/>
          <w:lang w:val="en-US"/>
        </w:rPr>
        <w:t>populations</w:t>
      </w:r>
      <w:r>
        <w:rPr>
          <w:b/>
          <w:bCs/>
          <w:color w:val="FF0000"/>
          <w:lang w:val="en-US"/>
        </w:rPr>
        <w:t xml:space="preserve">. </w:t>
      </w:r>
    </w:p>
    <w:p w14:paraId="3ED6DF0E" w14:textId="77777777" w:rsidR="00C31723" w:rsidRDefault="00C31723" w:rsidP="00C31723">
      <w:pPr>
        <w:pStyle w:val="ListParagraph"/>
        <w:numPr>
          <w:ilvl w:val="0"/>
          <w:numId w:val="3"/>
        </w:numPr>
        <w:jc w:val="both"/>
        <w:rPr>
          <w:color w:val="FF0000"/>
          <w:lang w:val="en-US"/>
        </w:rPr>
      </w:pPr>
      <w:r>
        <w:rPr>
          <w:color w:val="FF0000"/>
          <w:lang w:val="en-US"/>
        </w:rPr>
        <w:t xml:space="preserve">Need to consider both populations: </w:t>
      </w:r>
    </w:p>
    <w:p w14:paraId="3594AE86" w14:textId="6EB7CA47" w:rsidR="00E321C4" w:rsidRDefault="00E321C4" w:rsidP="00C31723">
      <w:pPr>
        <w:pStyle w:val="ListParagraph"/>
        <w:numPr>
          <w:ilvl w:val="1"/>
          <w:numId w:val="3"/>
        </w:numPr>
        <w:jc w:val="both"/>
        <w:rPr>
          <w:color w:val="FF0000"/>
          <w:lang w:val="en-US"/>
        </w:rPr>
      </w:pPr>
      <w:r>
        <w:rPr>
          <w:color w:val="FF0000"/>
          <w:lang w:val="en-US"/>
        </w:rPr>
        <w:t xml:space="preserve">Physiological traits and underlying: </w:t>
      </w:r>
    </w:p>
    <w:p w14:paraId="5438006A" w14:textId="4BCDE9F1" w:rsidR="00C31723" w:rsidRDefault="00C31723" w:rsidP="00C31723">
      <w:pPr>
        <w:pStyle w:val="ListParagraph"/>
        <w:numPr>
          <w:ilvl w:val="1"/>
          <w:numId w:val="3"/>
        </w:numPr>
        <w:jc w:val="both"/>
        <w:rPr>
          <w:color w:val="FF0000"/>
          <w:lang w:val="en-US"/>
        </w:rPr>
      </w:pPr>
      <w:r>
        <w:rPr>
          <w:color w:val="FF0000"/>
          <w:lang w:val="en-US"/>
        </w:rPr>
        <w:t xml:space="preserve">Genetic architecture </w:t>
      </w:r>
    </w:p>
    <w:p w14:paraId="75166087" w14:textId="12492BCD" w:rsidR="00FD1CDD" w:rsidRPr="00FD1CDD" w:rsidRDefault="00C31723" w:rsidP="00FD1CDD">
      <w:pPr>
        <w:pStyle w:val="ListParagraph"/>
        <w:numPr>
          <w:ilvl w:val="2"/>
          <w:numId w:val="3"/>
        </w:numPr>
        <w:jc w:val="both"/>
        <w:rPr>
          <w:color w:val="FF0000"/>
          <w:lang w:val="en-US"/>
        </w:rPr>
      </w:pPr>
      <w:r>
        <w:rPr>
          <w:color w:val="FF0000"/>
          <w:lang w:val="en-US"/>
        </w:rPr>
        <w:t xml:space="preserve">Important to consider genetic interactions between trait and direction of selection within multiple </w:t>
      </w:r>
      <w:proofErr w:type="gramStart"/>
      <w:r>
        <w:rPr>
          <w:color w:val="FF0000"/>
          <w:lang w:val="en-US"/>
        </w:rPr>
        <w:t>traits</w:t>
      </w:r>
      <w:proofErr w:type="gramEnd"/>
      <w:r w:rsidR="00FD1CDD">
        <w:rPr>
          <w:color w:val="FF0000"/>
          <w:lang w:val="en-US"/>
        </w:rPr>
        <w:t xml:space="preserve"> </w:t>
      </w:r>
    </w:p>
    <w:p w14:paraId="597DC199" w14:textId="1D696175" w:rsidR="00C31723" w:rsidRPr="00C31723" w:rsidRDefault="00FD1CDD" w:rsidP="00ED0964">
      <w:pPr>
        <w:pStyle w:val="ListParagraph"/>
        <w:numPr>
          <w:ilvl w:val="1"/>
          <w:numId w:val="3"/>
        </w:numPr>
        <w:jc w:val="both"/>
        <w:rPr>
          <w:color w:val="FF0000"/>
          <w:lang w:val="en-US"/>
        </w:rPr>
      </w:pPr>
      <w:r>
        <w:rPr>
          <w:color w:val="FF0000"/>
          <w:lang w:val="en-US"/>
        </w:rPr>
        <w:t>D</w:t>
      </w:r>
      <w:r w:rsidR="00C31723">
        <w:rPr>
          <w:color w:val="FF0000"/>
          <w:lang w:val="en-US"/>
        </w:rPr>
        <w:t>emographics</w:t>
      </w:r>
      <w:r>
        <w:rPr>
          <w:color w:val="FF0000"/>
          <w:lang w:val="en-US"/>
        </w:rPr>
        <w:t>; connectivity; genetic diversity</w:t>
      </w:r>
    </w:p>
    <w:p w14:paraId="5BC0A04F" w14:textId="0680E085" w:rsidR="006249FD" w:rsidRDefault="00ED0964" w:rsidP="00ED0964">
      <w:pPr>
        <w:jc w:val="both"/>
        <w:rPr>
          <w:b/>
          <w:bCs/>
          <w:color w:val="FF0000"/>
          <w:lang w:val="en-US"/>
        </w:rPr>
      </w:pPr>
      <w:r w:rsidRPr="00ED0964">
        <w:rPr>
          <w:b/>
          <w:bCs/>
          <w:color w:val="FF0000"/>
          <w:lang w:val="en-US"/>
        </w:rPr>
        <w:lastRenderedPageBreak/>
        <w:t>Broad range species may not always have increased adaptive potential</w:t>
      </w:r>
      <w:r w:rsidR="005E230F">
        <w:rPr>
          <w:b/>
          <w:bCs/>
          <w:color w:val="FF0000"/>
          <w:lang w:val="en-US"/>
        </w:rPr>
        <w:t>/</w:t>
      </w:r>
      <w:r w:rsidR="00A601D2">
        <w:rPr>
          <w:b/>
          <w:bCs/>
          <w:color w:val="FF0000"/>
          <w:lang w:val="en-US"/>
        </w:rPr>
        <w:t xml:space="preserve">Genetic </w:t>
      </w:r>
      <w:r w:rsidR="00EC4520">
        <w:rPr>
          <w:b/>
          <w:bCs/>
          <w:color w:val="FF0000"/>
          <w:lang w:val="en-US"/>
        </w:rPr>
        <w:t>architecture</w:t>
      </w:r>
      <w:r w:rsidR="00D02B32">
        <w:rPr>
          <w:b/>
          <w:bCs/>
          <w:color w:val="FF0000"/>
          <w:lang w:val="en-US"/>
        </w:rPr>
        <w:t xml:space="preserve"> to overcome changes in selection pressures</w:t>
      </w:r>
      <w:r w:rsidR="0074643A">
        <w:rPr>
          <w:b/>
          <w:bCs/>
          <w:color w:val="FF0000"/>
          <w:lang w:val="en-US"/>
        </w:rPr>
        <w:t xml:space="preserve"> caused by climate change</w:t>
      </w:r>
      <w:r w:rsidR="00920D7F">
        <w:rPr>
          <w:b/>
          <w:bCs/>
          <w:color w:val="FF0000"/>
          <w:lang w:val="en-US"/>
        </w:rPr>
        <w:t xml:space="preserve">. </w:t>
      </w:r>
      <w:r w:rsidR="00C11B47">
        <w:rPr>
          <w:b/>
          <w:bCs/>
          <w:color w:val="FF0000"/>
          <w:lang w:val="en-US"/>
        </w:rPr>
        <w:t>Isolated populations across large ranges may all be affected, therefore entire species affected (</w:t>
      </w:r>
      <w:r w:rsidR="00EC4520">
        <w:rPr>
          <w:b/>
          <w:bCs/>
          <w:color w:val="FF0000"/>
          <w:lang w:val="en-US"/>
        </w:rPr>
        <w:t>see</w:t>
      </w:r>
      <w:r w:rsidR="00C11B47">
        <w:rPr>
          <w:b/>
          <w:bCs/>
          <w:color w:val="FF0000"/>
          <w:lang w:val="en-US"/>
        </w:rPr>
        <w:t xml:space="preserve"> (Jump 2005)).</w:t>
      </w:r>
    </w:p>
    <w:p w14:paraId="1247EAD3" w14:textId="50039BF0" w:rsidR="00A601D2" w:rsidRDefault="006249FD" w:rsidP="006249FD">
      <w:pPr>
        <w:pStyle w:val="ListParagraph"/>
        <w:numPr>
          <w:ilvl w:val="0"/>
          <w:numId w:val="3"/>
        </w:numPr>
        <w:jc w:val="both"/>
        <w:rPr>
          <w:color w:val="FF0000"/>
          <w:lang w:val="en-US"/>
        </w:rPr>
      </w:pPr>
      <w:r>
        <w:rPr>
          <w:color w:val="FF0000"/>
          <w:lang w:val="en-US"/>
        </w:rPr>
        <w:t>Thus, m</w:t>
      </w:r>
      <w:r w:rsidR="00920D7F" w:rsidRPr="006249FD">
        <w:rPr>
          <w:color w:val="FF0000"/>
          <w:lang w:val="en-US"/>
        </w:rPr>
        <w:t>aking it important to consider regional influences within species ranges</w:t>
      </w:r>
      <w:r w:rsidR="00DE2A48" w:rsidRPr="006249FD">
        <w:rPr>
          <w:color w:val="FF0000"/>
          <w:lang w:val="en-US"/>
        </w:rPr>
        <w:t>…</w:t>
      </w:r>
      <w:r w:rsidR="00E027C1" w:rsidRPr="006249FD">
        <w:rPr>
          <w:color w:val="FF0000"/>
          <w:lang w:val="en-US"/>
        </w:rPr>
        <w:t xml:space="preserve"> </w:t>
      </w:r>
      <w:r w:rsidR="000C6DF9">
        <w:rPr>
          <w:color w:val="FF0000"/>
          <w:lang w:val="en-US"/>
        </w:rPr>
        <w:t xml:space="preserve"> </w:t>
      </w:r>
    </w:p>
    <w:p w14:paraId="358228F2" w14:textId="0B3AC922" w:rsidR="000C6DF9" w:rsidRPr="006249FD" w:rsidRDefault="000C6DF9" w:rsidP="006249FD">
      <w:pPr>
        <w:pStyle w:val="ListParagraph"/>
        <w:numPr>
          <w:ilvl w:val="0"/>
          <w:numId w:val="3"/>
        </w:numPr>
        <w:jc w:val="both"/>
        <w:rPr>
          <w:color w:val="FF0000"/>
          <w:lang w:val="en-US"/>
        </w:rPr>
      </w:pPr>
      <w:r>
        <w:rPr>
          <w:color w:val="FF0000"/>
          <w:lang w:val="en-US"/>
        </w:rPr>
        <w:t xml:space="preserve">Long lived species can rapidly change allele </w:t>
      </w:r>
      <w:r w:rsidR="00C11B47">
        <w:rPr>
          <w:color w:val="FF0000"/>
          <w:lang w:val="en-US"/>
        </w:rPr>
        <w:t>frequencies</w:t>
      </w:r>
      <w:r>
        <w:rPr>
          <w:color w:val="FF0000"/>
          <w:lang w:val="en-US"/>
        </w:rPr>
        <w:t xml:space="preserve"> within generation due to number of offspring </w:t>
      </w:r>
      <w:proofErr w:type="gramStart"/>
      <w:r>
        <w:rPr>
          <w:color w:val="FF0000"/>
          <w:lang w:val="en-US"/>
        </w:rPr>
        <w:t>produced</w:t>
      </w:r>
      <w:proofErr w:type="gramEnd"/>
    </w:p>
    <w:p w14:paraId="029B614A" w14:textId="0559EDB1" w:rsidR="000F55B9" w:rsidRPr="00A601D2" w:rsidRDefault="000F55B9" w:rsidP="00ED0964">
      <w:pPr>
        <w:jc w:val="both"/>
        <w:rPr>
          <w:b/>
          <w:bCs/>
          <w:color w:val="FF0000"/>
          <w:lang w:val="en-US"/>
        </w:rPr>
      </w:pPr>
      <w:r>
        <w:rPr>
          <w:b/>
          <w:bCs/>
          <w:color w:val="FF0000"/>
          <w:lang w:val="en-US"/>
        </w:rPr>
        <w:t>Species regions (trailing/core/leading edge)</w:t>
      </w:r>
    </w:p>
    <w:p w14:paraId="30B2BC4C" w14:textId="71260587" w:rsidR="001916D4" w:rsidRPr="008E741A" w:rsidRDefault="00554D6A" w:rsidP="00402790">
      <w:pPr>
        <w:jc w:val="both"/>
        <w:rPr>
          <w:b/>
          <w:bCs/>
          <w:color w:val="FF0000"/>
          <w:lang w:val="en-US"/>
        </w:rPr>
      </w:pPr>
      <w:proofErr w:type="spellStart"/>
      <w:r w:rsidRPr="008E741A">
        <w:rPr>
          <w:b/>
          <w:bCs/>
          <w:color w:val="FF0000"/>
          <w:lang w:val="en-US"/>
        </w:rPr>
        <w:t>Apoly</w:t>
      </w:r>
      <w:proofErr w:type="spellEnd"/>
      <w:r w:rsidR="00642482">
        <w:rPr>
          <w:b/>
          <w:bCs/>
          <w:color w:val="FF0000"/>
          <w:lang w:val="en-US"/>
        </w:rPr>
        <w:t>/</w:t>
      </w:r>
      <w:r w:rsidRPr="008E741A">
        <w:rPr>
          <w:b/>
          <w:bCs/>
          <w:color w:val="FF0000"/>
          <w:lang w:val="en-US"/>
        </w:rPr>
        <w:t xml:space="preserve">Research objectives and </w:t>
      </w:r>
      <w:proofErr w:type="gramStart"/>
      <w:r w:rsidRPr="008E741A">
        <w:rPr>
          <w:b/>
          <w:bCs/>
          <w:color w:val="FF0000"/>
          <w:lang w:val="en-US"/>
        </w:rPr>
        <w:t>aims</w:t>
      </w:r>
      <w:proofErr w:type="gramEnd"/>
      <w:r w:rsidRPr="008E741A">
        <w:rPr>
          <w:b/>
          <w:bCs/>
          <w:color w:val="FF0000"/>
          <w:lang w:val="en-US"/>
        </w:rPr>
        <w:t xml:space="preserve"> </w:t>
      </w:r>
    </w:p>
    <w:p w14:paraId="7F0AEA3E" w14:textId="6BE9B7F4" w:rsidR="001916D4" w:rsidRDefault="001916D4" w:rsidP="00402790">
      <w:pPr>
        <w:jc w:val="both"/>
        <w:rPr>
          <w:lang w:val="en-US"/>
        </w:rPr>
      </w:pPr>
    </w:p>
    <w:p w14:paraId="00430C72" w14:textId="77777777" w:rsidR="00225F61" w:rsidRPr="001916D4" w:rsidRDefault="00225F61" w:rsidP="00402790">
      <w:pPr>
        <w:jc w:val="both"/>
        <w:rPr>
          <w:lang w:val="en-US"/>
        </w:rPr>
      </w:pPr>
    </w:p>
    <w:p w14:paraId="2D6DE319" w14:textId="0F2C7C96" w:rsidR="00194015" w:rsidRDefault="00194015" w:rsidP="00402790">
      <w:pPr>
        <w:jc w:val="both"/>
        <w:rPr>
          <w:lang w:val="en-US"/>
        </w:rPr>
      </w:pPr>
    </w:p>
    <w:p w14:paraId="38B44283" w14:textId="73E3607E" w:rsidR="008E741A" w:rsidRDefault="008E741A" w:rsidP="00402790">
      <w:pPr>
        <w:jc w:val="both"/>
        <w:rPr>
          <w:lang w:val="en-US"/>
        </w:rPr>
      </w:pPr>
    </w:p>
    <w:p w14:paraId="74F9B29D" w14:textId="2A462028" w:rsidR="00F46A79" w:rsidRDefault="00F46A79" w:rsidP="00402790">
      <w:pPr>
        <w:jc w:val="both"/>
        <w:rPr>
          <w:lang w:val="en-US"/>
        </w:rPr>
      </w:pPr>
    </w:p>
    <w:p w14:paraId="5F4C6064" w14:textId="101ACF92" w:rsidR="00F46A79" w:rsidRDefault="00F46A79" w:rsidP="00402790">
      <w:pPr>
        <w:jc w:val="both"/>
        <w:rPr>
          <w:lang w:val="en-US"/>
        </w:rPr>
      </w:pPr>
    </w:p>
    <w:p w14:paraId="6F99D573" w14:textId="7B9E8C91" w:rsidR="00F46A79" w:rsidRDefault="00F46A79" w:rsidP="00402790">
      <w:pPr>
        <w:jc w:val="both"/>
        <w:rPr>
          <w:lang w:val="en-US"/>
        </w:rPr>
      </w:pPr>
    </w:p>
    <w:p w14:paraId="0C83972E" w14:textId="2F4B86F8" w:rsidR="00F46A79" w:rsidRDefault="00F46A79" w:rsidP="00402790">
      <w:pPr>
        <w:jc w:val="both"/>
        <w:rPr>
          <w:lang w:val="en-US"/>
        </w:rPr>
      </w:pPr>
    </w:p>
    <w:p w14:paraId="7F85A7F7" w14:textId="4589A0B2" w:rsidR="00F46A79" w:rsidRDefault="00F46A79" w:rsidP="00402790">
      <w:pPr>
        <w:jc w:val="both"/>
        <w:rPr>
          <w:lang w:val="en-US"/>
        </w:rPr>
      </w:pPr>
    </w:p>
    <w:p w14:paraId="4BE6B124" w14:textId="6C26A22B" w:rsidR="00F46A79" w:rsidRDefault="00F46A79" w:rsidP="00402790">
      <w:pPr>
        <w:jc w:val="both"/>
        <w:rPr>
          <w:lang w:val="en-US"/>
        </w:rPr>
      </w:pPr>
    </w:p>
    <w:p w14:paraId="212841A3" w14:textId="206AC0FD" w:rsidR="00F46A79" w:rsidRDefault="00F46A79" w:rsidP="00402790">
      <w:pPr>
        <w:jc w:val="both"/>
        <w:rPr>
          <w:lang w:val="en-US"/>
        </w:rPr>
      </w:pPr>
    </w:p>
    <w:p w14:paraId="3A7A7B48" w14:textId="07D85D0A" w:rsidR="00F46A79" w:rsidRDefault="00F46A79" w:rsidP="00402790">
      <w:pPr>
        <w:jc w:val="both"/>
        <w:rPr>
          <w:lang w:val="en-US"/>
        </w:rPr>
      </w:pPr>
    </w:p>
    <w:p w14:paraId="127600FB" w14:textId="54106770" w:rsidR="00F46A79" w:rsidRDefault="00F46A79" w:rsidP="00402790">
      <w:pPr>
        <w:jc w:val="both"/>
        <w:rPr>
          <w:lang w:val="en-US"/>
        </w:rPr>
      </w:pPr>
    </w:p>
    <w:p w14:paraId="145D0DC1" w14:textId="50E56553" w:rsidR="00F46A79" w:rsidRDefault="00F46A79" w:rsidP="00402790">
      <w:pPr>
        <w:jc w:val="both"/>
        <w:rPr>
          <w:lang w:val="en-US"/>
        </w:rPr>
      </w:pPr>
    </w:p>
    <w:p w14:paraId="0B6D148C" w14:textId="72B9E7D8" w:rsidR="00F46A79" w:rsidRDefault="00F46A79" w:rsidP="00402790">
      <w:pPr>
        <w:jc w:val="both"/>
        <w:rPr>
          <w:lang w:val="en-US"/>
        </w:rPr>
      </w:pPr>
    </w:p>
    <w:p w14:paraId="61003105" w14:textId="5F6567DA" w:rsidR="00F46A79" w:rsidRDefault="00F46A79" w:rsidP="00402790">
      <w:pPr>
        <w:jc w:val="both"/>
        <w:rPr>
          <w:lang w:val="en-US"/>
        </w:rPr>
      </w:pPr>
    </w:p>
    <w:p w14:paraId="504E0AA2" w14:textId="5CFACD07" w:rsidR="00F46A79" w:rsidRDefault="00F46A79" w:rsidP="00402790">
      <w:pPr>
        <w:jc w:val="both"/>
        <w:rPr>
          <w:lang w:val="en-US"/>
        </w:rPr>
      </w:pPr>
    </w:p>
    <w:p w14:paraId="1C988021" w14:textId="21782BC3" w:rsidR="00F46A79" w:rsidRDefault="00F46A79" w:rsidP="00402790">
      <w:pPr>
        <w:jc w:val="both"/>
        <w:rPr>
          <w:lang w:val="en-US"/>
        </w:rPr>
      </w:pPr>
    </w:p>
    <w:p w14:paraId="0489FC51" w14:textId="4EFBD229" w:rsidR="00F46A79" w:rsidRDefault="00F46A79" w:rsidP="00402790">
      <w:pPr>
        <w:jc w:val="both"/>
        <w:rPr>
          <w:lang w:val="en-US"/>
        </w:rPr>
      </w:pPr>
    </w:p>
    <w:p w14:paraId="2DBA5134" w14:textId="77777777" w:rsidR="00F46A79" w:rsidRDefault="00F46A79" w:rsidP="00402790">
      <w:pPr>
        <w:jc w:val="both"/>
        <w:rPr>
          <w:lang w:val="en-US"/>
        </w:rPr>
      </w:pPr>
    </w:p>
    <w:p w14:paraId="1D855021" w14:textId="1E5FD4A3" w:rsidR="008E741A" w:rsidRDefault="008E741A" w:rsidP="00402790">
      <w:pPr>
        <w:jc w:val="both"/>
        <w:rPr>
          <w:lang w:val="en-US"/>
        </w:rPr>
      </w:pPr>
    </w:p>
    <w:p w14:paraId="5D6D321A" w14:textId="385EC9A3" w:rsidR="008E741A" w:rsidRDefault="008E741A" w:rsidP="00402790">
      <w:pPr>
        <w:jc w:val="both"/>
        <w:rPr>
          <w:lang w:val="en-US"/>
        </w:rPr>
      </w:pPr>
    </w:p>
    <w:p w14:paraId="276A3713" w14:textId="77777777" w:rsidR="00D11B0C" w:rsidRDefault="00D11B0C" w:rsidP="00402790">
      <w:pPr>
        <w:jc w:val="both"/>
        <w:rPr>
          <w:lang w:val="en-US"/>
        </w:rPr>
      </w:pPr>
    </w:p>
    <w:p w14:paraId="66A87D42" w14:textId="16A2C998" w:rsidR="00194015" w:rsidRDefault="00C4067B" w:rsidP="0031542C">
      <w:pPr>
        <w:pStyle w:val="Heading1"/>
        <w:rPr>
          <w:lang w:val="en-US"/>
        </w:rPr>
      </w:pPr>
      <w:r>
        <w:rPr>
          <w:lang w:val="en-US"/>
        </w:rPr>
        <w:lastRenderedPageBreak/>
        <w:t>Methods</w:t>
      </w:r>
      <w:r w:rsidR="00F448E4">
        <w:rPr>
          <w:lang w:val="en-US"/>
        </w:rPr>
        <w:t xml:space="preserve"> </w:t>
      </w:r>
    </w:p>
    <w:p w14:paraId="6E61C8BC" w14:textId="77777777" w:rsidR="00D11B0C" w:rsidRPr="00C71801" w:rsidRDefault="00D11B0C" w:rsidP="00D11B0C">
      <w:pPr>
        <w:spacing w:after="0" w:line="240" w:lineRule="auto"/>
        <w:rPr>
          <w:rFonts w:cstheme="minorHAnsi"/>
          <w:b/>
          <w:bCs/>
          <w:lang w:val="en-US"/>
        </w:rPr>
      </w:pPr>
      <w:r w:rsidRPr="00C71801">
        <w:rPr>
          <w:rFonts w:cstheme="minorHAnsi"/>
          <w:b/>
          <w:bCs/>
          <w:lang w:val="en-US"/>
        </w:rPr>
        <w:t xml:space="preserve"># metrics that we measured in this </w:t>
      </w:r>
      <w:proofErr w:type="spellStart"/>
      <w:r w:rsidRPr="00C71801">
        <w:rPr>
          <w:rFonts w:cstheme="minorHAnsi"/>
          <w:b/>
          <w:bCs/>
          <w:lang w:val="en-US"/>
        </w:rPr>
        <w:t>manuscprit</w:t>
      </w:r>
      <w:proofErr w:type="spellEnd"/>
      <w:r w:rsidRPr="00C71801">
        <w:rPr>
          <w:rFonts w:cstheme="minorHAnsi"/>
          <w:b/>
          <w:bCs/>
          <w:lang w:val="en-US"/>
        </w:rPr>
        <w:t xml:space="preserve"> (metabolic rate, </w:t>
      </w:r>
      <w:proofErr w:type="spellStart"/>
      <w:r w:rsidRPr="00C71801">
        <w:rPr>
          <w:rFonts w:cstheme="minorHAnsi"/>
          <w:b/>
          <w:bCs/>
          <w:lang w:val="en-US"/>
        </w:rPr>
        <w:t>pha</w:t>
      </w:r>
      <w:proofErr w:type="spellEnd"/>
      <w:r w:rsidRPr="00C71801">
        <w:rPr>
          <w:rFonts w:cstheme="minorHAnsi"/>
          <w:b/>
          <w:bCs/>
          <w:lang w:val="en-US"/>
        </w:rPr>
        <w:t xml:space="preserve">, hematocrit, enzymes, genetics) </w:t>
      </w:r>
    </w:p>
    <w:p w14:paraId="7E1C9D23" w14:textId="77777777" w:rsidR="00D11B0C" w:rsidRPr="00D11B0C" w:rsidRDefault="00D11B0C" w:rsidP="00D11B0C">
      <w:pPr>
        <w:rPr>
          <w:lang w:val="en-US"/>
        </w:rPr>
      </w:pPr>
    </w:p>
    <w:p w14:paraId="3345080B" w14:textId="7F0302D0" w:rsidR="008C51BB" w:rsidRDefault="008900BF" w:rsidP="008C51BB">
      <w:pPr>
        <w:pStyle w:val="Heading2"/>
        <w:rPr>
          <w:lang w:val="en-US"/>
        </w:rPr>
      </w:pPr>
      <w:r>
        <w:rPr>
          <w:lang w:val="en-US"/>
        </w:rPr>
        <w:t>S</w:t>
      </w:r>
      <w:r w:rsidR="006A5DF6">
        <w:rPr>
          <w:lang w:val="en-US"/>
        </w:rPr>
        <w:t xml:space="preserve">ampling </w:t>
      </w:r>
    </w:p>
    <w:p w14:paraId="134B9E49" w14:textId="2F9D2C8D" w:rsidR="00022C55" w:rsidRDefault="00FD02A8" w:rsidP="00530D58">
      <w:pPr>
        <w:jc w:val="both"/>
        <w:rPr>
          <w:lang w:val="en-US"/>
        </w:rPr>
      </w:pPr>
      <w:r>
        <w:rPr>
          <w:lang w:val="en-US"/>
        </w:rPr>
        <w:t>The tropical damselfish</w:t>
      </w:r>
      <w:r w:rsidR="00B4506F">
        <w:rPr>
          <w:lang w:val="en-US"/>
        </w:rPr>
        <w:t>,</w:t>
      </w:r>
      <w:r>
        <w:rPr>
          <w:lang w:val="en-US"/>
        </w:rPr>
        <w:t xml:space="preserve"> </w:t>
      </w:r>
      <w:proofErr w:type="spellStart"/>
      <w:r>
        <w:rPr>
          <w:i/>
          <w:iCs/>
          <w:lang w:val="en-US"/>
        </w:rPr>
        <w:t>Acanthochromis</w:t>
      </w:r>
      <w:proofErr w:type="spellEnd"/>
      <w:r>
        <w:rPr>
          <w:i/>
          <w:iCs/>
          <w:lang w:val="en-US"/>
        </w:rPr>
        <w:t xml:space="preserve"> polyacanthus</w:t>
      </w:r>
      <w:r>
        <w:rPr>
          <w:lang w:val="en-US"/>
        </w:rPr>
        <w:t xml:space="preserve"> </w:t>
      </w:r>
      <w:r w:rsidR="0028270A">
        <w:rPr>
          <w:lang w:val="en-US"/>
        </w:rPr>
        <w:t>[citation: Bleeker 19xx]</w:t>
      </w:r>
      <w:r w:rsidR="00B4506F">
        <w:rPr>
          <w:lang w:val="en-US"/>
        </w:rPr>
        <w:t>,</w:t>
      </w:r>
      <w:r w:rsidR="0028270A">
        <w:rPr>
          <w:lang w:val="en-US"/>
        </w:rPr>
        <w:t xml:space="preserve"> </w:t>
      </w:r>
      <w:r w:rsidR="00B4506F">
        <w:rPr>
          <w:lang w:val="en-US"/>
        </w:rPr>
        <w:t>ranges</w:t>
      </w:r>
      <w:r w:rsidR="008C4B6C">
        <w:rPr>
          <w:lang w:val="en-US"/>
        </w:rPr>
        <w:t xml:space="preserve"> </w:t>
      </w:r>
      <w:r w:rsidR="008C1E10">
        <w:rPr>
          <w:lang w:val="en-US"/>
        </w:rPr>
        <w:t>from</w:t>
      </w:r>
      <w:r w:rsidR="00F80940">
        <w:rPr>
          <w:lang w:val="en-US"/>
        </w:rPr>
        <w:t xml:space="preserve"> the</w:t>
      </w:r>
      <w:r w:rsidR="008C1E10">
        <w:rPr>
          <w:lang w:val="en-US"/>
        </w:rPr>
        <w:t xml:space="preserve"> southern Great Barrier Reef</w:t>
      </w:r>
      <w:r w:rsidR="00226743">
        <w:rPr>
          <w:lang w:val="en-US"/>
        </w:rPr>
        <w:t xml:space="preserve"> (GBR)</w:t>
      </w:r>
      <w:r w:rsidR="008C1E10">
        <w:rPr>
          <w:lang w:val="en-US"/>
        </w:rPr>
        <w:t xml:space="preserve"> to the</w:t>
      </w:r>
      <w:r w:rsidR="00926DE0">
        <w:rPr>
          <w:lang w:val="en-US"/>
        </w:rPr>
        <w:t xml:space="preserve"> central</w:t>
      </w:r>
      <w:r w:rsidR="008C1E10">
        <w:rPr>
          <w:lang w:val="en-US"/>
        </w:rPr>
        <w:t xml:space="preserve"> Philippines</w:t>
      </w:r>
      <w:r w:rsidR="008B105F">
        <w:rPr>
          <w:lang w:val="en-US"/>
        </w:rPr>
        <w:t xml:space="preserve"> (</w:t>
      </w:r>
      <w:r w:rsidR="00CE7D8E" w:rsidRPr="00CE7D8E">
        <w:rPr>
          <w:highlight w:val="magenta"/>
          <w:lang w:val="en-US"/>
        </w:rPr>
        <w:t>mean depth</w:t>
      </w:r>
      <w:proofErr w:type="gramStart"/>
      <w:r w:rsidR="00CE7D8E" w:rsidRPr="00CE7D8E">
        <w:rPr>
          <w:highlight w:val="magenta"/>
          <w:lang w:val="en-US"/>
        </w:rPr>
        <w:t>: ;</w:t>
      </w:r>
      <w:proofErr w:type="gramEnd"/>
      <w:r w:rsidR="00CE7D8E" w:rsidRPr="00CE7D8E">
        <w:rPr>
          <w:highlight w:val="magenta"/>
          <w:lang w:val="en-US"/>
        </w:rPr>
        <w:t xml:space="preserve"> </w:t>
      </w:r>
      <w:proofErr w:type="spellStart"/>
      <w:r w:rsidR="00CE7D8E" w:rsidRPr="00CE7D8E">
        <w:rPr>
          <w:highlight w:val="magenta"/>
          <w:lang w:val="en-US"/>
        </w:rPr>
        <w:t>lat-lon</w:t>
      </w:r>
      <w:proofErr w:type="spellEnd"/>
      <w:r w:rsidR="00CE7D8E">
        <w:rPr>
          <w:lang w:val="en-US"/>
        </w:rPr>
        <w:t>)</w:t>
      </w:r>
      <w:r w:rsidR="008C1E10">
        <w:rPr>
          <w:lang w:val="en-US"/>
        </w:rPr>
        <w:t>.</w:t>
      </w:r>
      <w:r w:rsidR="006006E5">
        <w:rPr>
          <w:lang w:val="en-US"/>
        </w:rPr>
        <w:t xml:space="preserve"> </w:t>
      </w:r>
      <w:r w:rsidR="007D0856">
        <w:rPr>
          <w:i/>
          <w:iCs/>
          <w:lang w:val="en-US"/>
        </w:rPr>
        <w:t xml:space="preserve">A. polyacanthus </w:t>
      </w:r>
      <w:r w:rsidR="007D0856">
        <w:rPr>
          <w:lang w:val="en-US"/>
        </w:rPr>
        <w:t xml:space="preserve">populations are thought </w:t>
      </w:r>
      <w:r w:rsidR="00C7068D">
        <w:rPr>
          <w:lang w:val="en-US"/>
        </w:rPr>
        <w:t>to</w:t>
      </w:r>
      <w:r w:rsidR="007D0856">
        <w:rPr>
          <w:lang w:val="en-US"/>
        </w:rPr>
        <w:t xml:space="preserve"> have propagated the Indo-Pacific</w:t>
      </w:r>
      <w:r w:rsidR="00C7068D">
        <w:rPr>
          <w:lang w:val="en-US"/>
        </w:rPr>
        <w:t xml:space="preserve"> during </w:t>
      </w:r>
      <w:r w:rsidR="00461698">
        <w:rPr>
          <w:lang w:val="en-US"/>
        </w:rPr>
        <w:t xml:space="preserve">glacial times </w:t>
      </w:r>
      <w:r w:rsidR="00CE7D8E">
        <w:rPr>
          <w:lang w:val="en-US"/>
        </w:rPr>
        <w:t>[</w:t>
      </w:r>
      <w:r w:rsidR="00CE7D8E" w:rsidRPr="00CE7D8E">
        <w:rPr>
          <w:highlight w:val="magenta"/>
          <w:lang w:val="en-US"/>
        </w:rPr>
        <w:t>when is glacial times</w:t>
      </w:r>
      <w:r w:rsidR="00CE7D8E">
        <w:rPr>
          <w:lang w:val="en-US"/>
        </w:rPr>
        <w:t xml:space="preserve">] </w:t>
      </w:r>
      <w:r w:rsidR="00461698">
        <w:rPr>
          <w:lang w:val="en-US"/>
        </w:rPr>
        <w:t>when lowered sea levels</w:t>
      </w:r>
      <w:r w:rsidR="00117C30">
        <w:rPr>
          <w:lang w:val="en-US"/>
        </w:rPr>
        <w:t xml:space="preserve"> would have provided shallow water channels that act</w:t>
      </w:r>
      <w:r w:rsidR="00895396">
        <w:rPr>
          <w:lang w:val="en-US"/>
        </w:rPr>
        <w:t>ed</w:t>
      </w:r>
      <w:r w:rsidR="00117C30">
        <w:rPr>
          <w:lang w:val="en-US"/>
        </w:rPr>
        <w:t xml:space="preserve"> as dispersal corridors</w:t>
      </w:r>
      <w:r w:rsidR="00117C30">
        <w:rPr>
          <w:lang w:val="en-US"/>
        </w:rPr>
        <w:fldChar w:fldCharType="begin" w:fldLock="1"/>
      </w:r>
      <w:r w:rsidR="00117C30">
        <w:rPr>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117C30">
        <w:rPr>
          <w:rFonts w:ascii="Cambria Math" w:hAnsi="Cambria Math" w:cs="Cambria Math"/>
          <w:lang w:val="en-US"/>
        </w:rPr>
        <w:instrText>∼</w:instrText>
      </w:r>
      <w:r w:rsidR="00117C30">
        <w:rPr>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lt;sup&gt;24&lt;/sup&gt;","plainTextFormattedCitation":"24","previouslyFormattedCitation":"&lt;sup&gt;24&lt;/sup&gt;"},"properties":{"noteIndex":0},"schema":"https://github.com/citation-style-language/schema/raw/master/csl-citation.json"}</w:instrText>
      </w:r>
      <w:r w:rsidR="00117C30">
        <w:rPr>
          <w:lang w:val="en-US"/>
        </w:rPr>
        <w:fldChar w:fldCharType="separate"/>
      </w:r>
      <w:r w:rsidR="00117C30" w:rsidRPr="00117C30">
        <w:rPr>
          <w:noProof/>
          <w:vertAlign w:val="superscript"/>
          <w:lang w:val="en-US"/>
        </w:rPr>
        <w:t>24</w:t>
      </w:r>
      <w:r w:rsidR="00117C30">
        <w:rPr>
          <w:lang w:val="en-US"/>
        </w:rPr>
        <w:fldChar w:fldCharType="end"/>
      </w:r>
      <w:r w:rsidR="00117C30">
        <w:rPr>
          <w:lang w:val="en-US"/>
        </w:rPr>
        <w:t>.</w:t>
      </w:r>
      <w:r w:rsidR="00B70652">
        <w:rPr>
          <w:lang w:val="en-US"/>
        </w:rPr>
        <w:t xml:space="preserve"> However, such dispersal </w:t>
      </w:r>
      <w:r w:rsidR="006C6AD0">
        <w:rPr>
          <w:lang w:val="en-US"/>
        </w:rPr>
        <w:t xml:space="preserve">opportunities would have </w:t>
      </w:r>
      <w:r w:rsidR="00FB7F13">
        <w:rPr>
          <w:lang w:val="en-US"/>
        </w:rPr>
        <w:t>eliminated as water levels began to rise and reach present-day levels</w:t>
      </w:r>
      <w:r w:rsidR="00F41E4A">
        <w:rPr>
          <w:lang w:val="en-US"/>
        </w:rPr>
        <w:t xml:space="preserve">, as </w:t>
      </w:r>
      <w:r w:rsidR="00137D0A">
        <w:rPr>
          <w:i/>
          <w:iCs/>
          <w:lang w:val="en-US"/>
        </w:rPr>
        <w:t xml:space="preserve">A. </w:t>
      </w:r>
      <w:proofErr w:type="spellStart"/>
      <w:r w:rsidR="00137D0A">
        <w:rPr>
          <w:i/>
          <w:iCs/>
          <w:lang w:val="en-US"/>
        </w:rPr>
        <w:t>polycanthus</w:t>
      </w:r>
      <w:proofErr w:type="spellEnd"/>
      <w:r w:rsidR="00137D0A">
        <w:rPr>
          <w:i/>
          <w:iCs/>
          <w:lang w:val="en-US"/>
        </w:rPr>
        <w:t xml:space="preserve"> </w:t>
      </w:r>
      <w:r w:rsidR="00137D0A">
        <w:rPr>
          <w:lang w:val="en-US"/>
        </w:rPr>
        <w:t>do not possess a pelagic larval stage</w:t>
      </w:r>
      <w:r w:rsidR="00FB7F13">
        <w:rPr>
          <w:lang w:val="en-US"/>
        </w:rPr>
        <w:t>.</w:t>
      </w:r>
      <w:r w:rsidR="007D0856">
        <w:rPr>
          <w:lang w:val="en-US"/>
        </w:rPr>
        <w:t xml:space="preserve"> </w:t>
      </w:r>
      <w:r w:rsidR="00887A04">
        <w:rPr>
          <w:i/>
          <w:iCs/>
          <w:lang w:val="en-US"/>
        </w:rPr>
        <w:t>A. polyacanthus</w:t>
      </w:r>
      <w:r w:rsidR="004939C5">
        <w:rPr>
          <w:i/>
          <w:iCs/>
          <w:lang w:val="en-US"/>
        </w:rPr>
        <w:t xml:space="preserve"> </w:t>
      </w:r>
      <w:r w:rsidR="004939C5">
        <w:rPr>
          <w:lang w:val="en-US"/>
        </w:rPr>
        <w:t>perform parental care</w:t>
      </w:r>
      <w:r w:rsidR="00CC04FE">
        <w:rPr>
          <w:lang w:val="en-US"/>
        </w:rPr>
        <w:t xml:space="preserve"> durin</w:t>
      </w:r>
      <w:r w:rsidR="008B105F">
        <w:rPr>
          <w:lang w:val="en-US"/>
        </w:rPr>
        <w:t>g</w:t>
      </w:r>
      <w:r w:rsidR="00CC04FE">
        <w:rPr>
          <w:lang w:val="en-US"/>
        </w:rPr>
        <w:t xml:space="preserve"> </w:t>
      </w:r>
      <w:r w:rsidR="008B105F">
        <w:rPr>
          <w:lang w:val="en-US"/>
        </w:rPr>
        <w:t>embryonic and early life development</w:t>
      </w:r>
      <w:r w:rsidR="00FF3467">
        <w:rPr>
          <w:lang w:val="en-US"/>
        </w:rPr>
        <w:t>,</w:t>
      </w:r>
      <w:r w:rsidR="004939C5">
        <w:rPr>
          <w:lang w:val="en-US"/>
        </w:rPr>
        <w:t xml:space="preserve"> </w:t>
      </w:r>
      <w:r w:rsidR="00FF3467">
        <w:rPr>
          <w:lang w:val="en-US"/>
        </w:rPr>
        <w:t xml:space="preserve">in socially monogamous pairs, </w:t>
      </w:r>
      <w:r w:rsidR="004939C5">
        <w:rPr>
          <w:lang w:val="en-US"/>
        </w:rPr>
        <w:t>where eggs are defended by both parents</w:t>
      </w:r>
      <w:r w:rsidR="00DA42E0">
        <w:rPr>
          <w:lang w:val="en-US"/>
        </w:rPr>
        <w:t xml:space="preserve"> </w:t>
      </w:r>
      <w:r w:rsidR="00DC2CEF">
        <w:rPr>
          <w:lang w:val="en-US"/>
        </w:rPr>
        <w:t>until fry are large enough to disperse into</w:t>
      </w:r>
      <w:r w:rsidR="00D47967">
        <w:rPr>
          <w:lang w:val="en-US"/>
        </w:rPr>
        <w:t xml:space="preserve"> the surrounding habitat</w:t>
      </w:r>
      <w:r w:rsidR="00DA42E0">
        <w:rPr>
          <w:lang w:val="en-US"/>
        </w:rPr>
        <w:t xml:space="preserve"> </w:t>
      </w:r>
      <w:r w:rsidR="00DA42E0" w:rsidRPr="00A61C31">
        <w:rPr>
          <w:highlight w:val="yellow"/>
          <w:lang w:val="en-US"/>
        </w:rPr>
        <w:t>[citation: Planes</w:t>
      </w:r>
      <w:r w:rsidR="00A61C31" w:rsidRPr="00A61C31">
        <w:rPr>
          <w:highlight w:val="yellow"/>
          <w:lang w:val="en-US"/>
        </w:rPr>
        <w:t xml:space="preserve"> -&gt; Robertson 1973; Thresher 1983]</w:t>
      </w:r>
      <w:r w:rsidR="00F636DB">
        <w:rPr>
          <w:lang w:val="en-US"/>
        </w:rPr>
        <w:t>. This unusual</w:t>
      </w:r>
      <w:r w:rsidR="008C1E10">
        <w:rPr>
          <w:lang w:val="en-US"/>
        </w:rPr>
        <w:t xml:space="preserve"> </w:t>
      </w:r>
      <w:r w:rsidR="00D47967">
        <w:rPr>
          <w:lang w:val="en-US"/>
        </w:rPr>
        <w:t>life history trait</w:t>
      </w:r>
      <w:r w:rsidR="00F866DE">
        <w:rPr>
          <w:lang w:val="en-US"/>
        </w:rPr>
        <w:t>,</w:t>
      </w:r>
      <w:r w:rsidR="00BC481B">
        <w:rPr>
          <w:lang w:val="en-US"/>
        </w:rPr>
        <w:t xml:space="preserve"> </w:t>
      </w:r>
      <w:r w:rsidR="00F5797C">
        <w:rPr>
          <w:lang w:val="en-US"/>
        </w:rPr>
        <w:t>among marine fish</w:t>
      </w:r>
      <w:r w:rsidR="00F866DE">
        <w:rPr>
          <w:lang w:val="en-US"/>
        </w:rPr>
        <w:t>,</w:t>
      </w:r>
      <w:r w:rsidR="0094400E">
        <w:rPr>
          <w:lang w:val="en-US"/>
        </w:rPr>
        <w:t xml:space="preserve"> coupled with </w:t>
      </w:r>
      <w:r w:rsidR="0094400E">
        <w:rPr>
          <w:i/>
          <w:iCs/>
          <w:lang w:val="en-US"/>
        </w:rPr>
        <w:t>A. polyacanthus</w:t>
      </w:r>
      <w:r w:rsidR="0094400E">
        <w:rPr>
          <w:lang w:val="en-US"/>
        </w:rPr>
        <w:t xml:space="preserve"> inability to disperse between reefs</w:t>
      </w:r>
      <w:r w:rsidR="004934E9">
        <w:rPr>
          <w:lang w:val="en-US"/>
        </w:rPr>
        <w:t xml:space="preserve"> separated by </w:t>
      </w:r>
      <w:r w:rsidR="007D7754">
        <w:rPr>
          <w:lang w:val="en-US"/>
        </w:rPr>
        <w:t>depths</w:t>
      </w:r>
      <w:r w:rsidR="004934E9">
        <w:rPr>
          <w:lang w:val="en-US"/>
        </w:rPr>
        <w:t xml:space="preserve"> greater than 10-15m</w:t>
      </w:r>
      <w:r w:rsidR="00022C55">
        <w:rPr>
          <w:lang w:val="en-US"/>
        </w:rPr>
        <w:t xml:space="preserve"> [</w:t>
      </w:r>
      <w:r w:rsidR="00022C55" w:rsidRPr="00BA3E56">
        <w:rPr>
          <w:highlight w:val="yellow"/>
          <w:lang w:val="en-US"/>
        </w:rPr>
        <w:t>citation needed</w:t>
      </w:r>
      <w:r w:rsidR="00022C55">
        <w:rPr>
          <w:lang w:val="en-US"/>
        </w:rPr>
        <w:t>]</w:t>
      </w:r>
      <w:r w:rsidR="004934E9">
        <w:rPr>
          <w:lang w:val="en-US"/>
        </w:rPr>
        <w:t>, creates</w:t>
      </w:r>
      <w:r w:rsidR="004A7FE2">
        <w:rPr>
          <w:lang w:val="en-US"/>
        </w:rPr>
        <w:t xml:space="preserve"> conditions </w:t>
      </w:r>
      <w:r w:rsidR="000721F7">
        <w:rPr>
          <w:lang w:val="en-US"/>
        </w:rPr>
        <w:t xml:space="preserve">that </w:t>
      </w:r>
      <w:r w:rsidR="007D7754">
        <w:rPr>
          <w:lang w:val="en-US"/>
        </w:rPr>
        <w:t xml:space="preserve">should </w:t>
      </w:r>
      <w:r w:rsidR="000721F7">
        <w:rPr>
          <w:lang w:val="en-US"/>
        </w:rPr>
        <w:t>promote</w:t>
      </w:r>
      <w:r w:rsidR="0019798D">
        <w:rPr>
          <w:lang w:val="en-US"/>
        </w:rPr>
        <w:t xml:space="preserve"> local adaptation</w:t>
      </w:r>
      <w:r w:rsidR="003B62DD">
        <w:rPr>
          <w:lang w:val="en-US"/>
        </w:rPr>
        <w:fldChar w:fldCharType="begin" w:fldLock="1"/>
      </w:r>
      <w:r w:rsidR="003B62DD">
        <w:rPr>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lt;sup&gt;21&lt;/sup&gt;","plainTextFormattedCitation":"21","previouslyFormattedCitation":"&lt;sup&gt;21&lt;/sup&gt;"},"properties":{"noteIndex":0},"schema":"https://github.com/citation-style-language/schema/raw/master/csl-citation.json"}</w:instrText>
      </w:r>
      <w:r w:rsidR="003B62DD">
        <w:rPr>
          <w:lang w:val="en-US"/>
        </w:rPr>
        <w:fldChar w:fldCharType="separate"/>
      </w:r>
      <w:r w:rsidR="003B62DD" w:rsidRPr="00164449">
        <w:rPr>
          <w:noProof/>
          <w:vertAlign w:val="superscript"/>
          <w:lang w:val="en-US"/>
        </w:rPr>
        <w:t>21</w:t>
      </w:r>
      <w:r w:rsidR="003B62DD">
        <w:rPr>
          <w:lang w:val="en-US"/>
        </w:rPr>
        <w:fldChar w:fldCharType="end"/>
      </w:r>
      <w:r w:rsidR="00C34795">
        <w:rPr>
          <w:lang w:val="en-US"/>
        </w:rPr>
        <w:t xml:space="preserve">; </w:t>
      </w:r>
      <w:r w:rsidR="00190355">
        <w:rPr>
          <w:lang w:val="en-US"/>
        </w:rPr>
        <w:t>a broad geographic distribution</w:t>
      </w:r>
      <w:r w:rsidR="00D64E9D">
        <w:rPr>
          <w:lang w:val="en-US"/>
        </w:rPr>
        <w:t xml:space="preserve"> across thermal</w:t>
      </w:r>
      <w:r w:rsidR="000721F7">
        <w:rPr>
          <w:lang w:val="en-US"/>
        </w:rPr>
        <w:t>ly</w:t>
      </w:r>
      <w:r w:rsidR="00D64E9D">
        <w:rPr>
          <w:lang w:val="en-US"/>
        </w:rPr>
        <w:t xml:space="preserve"> variable environments</w:t>
      </w:r>
      <w:r w:rsidR="00022C55">
        <w:rPr>
          <w:lang w:val="en-US"/>
        </w:rPr>
        <w:t>,</w:t>
      </w:r>
      <w:r w:rsidR="001B3AFA">
        <w:rPr>
          <w:lang w:val="en-US"/>
        </w:rPr>
        <w:t xml:space="preserve"> where</w:t>
      </w:r>
      <w:r w:rsidR="00814E84">
        <w:rPr>
          <w:lang w:val="en-US"/>
        </w:rPr>
        <w:t xml:space="preserve"> gene flow</w:t>
      </w:r>
      <w:r w:rsidR="00236820">
        <w:rPr>
          <w:lang w:val="en-US"/>
        </w:rPr>
        <w:t xml:space="preserve"> is limited</w:t>
      </w:r>
      <w:r w:rsidR="001B3AFA">
        <w:rPr>
          <w:lang w:val="en-US"/>
        </w:rPr>
        <w:t xml:space="preserve">. </w:t>
      </w:r>
      <w:r w:rsidR="00236820">
        <w:rPr>
          <w:lang w:val="en-US"/>
        </w:rPr>
        <w:t xml:space="preserve"> </w:t>
      </w:r>
    </w:p>
    <w:p w14:paraId="18AD81FD" w14:textId="07546754" w:rsidR="00B30D29" w:rsidRPr="00ED776A" w:rsidRDefault="002B3CCE" w:rsidP="00530D58">
      <w:pPr>
        <w:jc w:val="both"/>
        <w:rPr>
          <w:lang w:val="en-US"/>
        </w:rPr>
      </w:pPr>
      <w:r>
        <w:rPr>
          <w:lang w:val="en-US"/>
        </w:rPr>
        <w:t xml:space="preserve">Adult </w:t>
      </w:r>
      <w:r>
        <w:rPr>
          <w:i/>
          <w:iCs/>
          <w:lang w:val="en-US"/>
        </w:rPr>
        <w:t>A. polyacanthus</w:t>
      </w:r>
      <w:r w:rsidR="00452F8D">
        <w:rPr>
          <w:lang w:val="en-US"/>
        </w:rPr>
        <w:t xml:space="preserve"> were collected</w:t>
      </w:r>
      <w:r w:rsidR="00A52B3F">
        <w:rPr>
          <w:lang w:val="en-US"/>
        </w:rPr>
        <w:t xml:space="preserve"> via </w:t>
      </w:r>
      <w:r w:rsidR="00242BDB">
        <w:rPr>
          <w:lang w:val="en-US"/>
        </w:rPr>
        <w:t>professional collectors</w:t>
      </w:r>
      <w:r w:rsidR="00452F8D">
        <w:rPr>
          <w:lang w:val="en-US"/>
        </w:rPr>
        <w:t xml:space="preserve"> from June to December</w:t>
      </w:r>
      <w:r w:rsidR="001D7E4E">
        <w:rPr>
          <w:lang w:val="en-US"/>
        </w:rPr>
        <w:t xml:space="preserve"> 2021 from six different reefs</w:t>
      </w:r>
      <w:r w:rsidR="00C33ED3">
        <w:rPr>
          <w:lang w:val="en-US"/>
        </w:rPr>
        <w:t xml:space="preserve"> and two different regions</w:t>
      </w:r>
      <w:r w:rsidR="00242BDB">
        <w:rPr>
          <w:lang w:val="en-US"/>
        </w:rPr>
        <w:t xml:space="preserve"> (</w:t>
      </w:r>
      <w:r w:rsidR="00226743">
        <w:rPr>
          <w:lang w:val="en-US"/>
        </w:rPr>
        <w:t>central GBR [Cairns] and southern GBR [Mackay])</w:t>
      </w:r>
      <w:r w:rsidR="00E21B72">
        <w:rPr>
          <w:lang w:val="en-US"/>
        </w:rPr>
        <w:t>.</w:t>
      </w:r>
      <w:r w:rsidR="001D7E4E">
        <w:rPr>
          <w:lang w:val="en-US"/>
        </w:rPr>
        <w:t xml:space="preserve"> </w:t>
      </w:r>
      <w:r w:rsidR="00E21B72">
        <w:rPr>
          <w:lang w:val="en-US"/>
        </w:rPr>
        <w:t>T</w:t>
      </w:r>
      <w:r w:rsidR="001D7E4E">
        <w:rPr>
          <w:lang w:val="en-US"/>
        </w:rPr>
        <w:t>hree reefs from locations around Cairn</w:t>
      </w:r>
      <w:r w:rsidR="000B2862">
        <w:rPr>
          <w:lang w:val="en-US"/>
        </w:rPr>
        <w:t>s</w:t>
      </w:r>
      <w:r w:rsidR="00D65D29">
        <w:rPr>
          <w:lang w:val="en-US"/>
        </w:rPr>
        <w:t xml:space="preserve"> including</w:t>
      </w:r>
      <w:r w:rsidR="003D40D8">
        <w:rPr>
          <w:lang w:val="en-US"/>
        </w:rPr>
        <w:t>,</w:t>
      </w:r>
      <w:r w:rsidR="000B2862">
        <w:rPr>
          <w:lang w:val="en-US"/>
        </w:rPr>
        <w:t xml:space="preserve"> </w:t>
      </w:r>
      <w:r w:rsidR="00F810DF">
        <w:rPr>
          <w:lang w:val="en-US"/>
        </w:rPr>
        <w:t>Tongue Reef</w:t>
      </w:r>
      <w:r w:rsidR="00D65D29">
        <w:rPr>
          <w:lang w:val="en-US"/>
        </w:rPr>
        <w:t xml:space="preserve"> </w:t>
      </w:r>
      <w:r w:rsidR="00C44FC9">
        <w:rPr>
          <w:lang w:val="en-US"/>
        </w:rPr>
        <w:t>(</w:t>
      </w:r>
      <w:r w:rsidR="00424D6B">
        <w:rPr>
          <w:lang w:val="en-US"/>
        </w:rPr>
        <w:t>[</w:t>
      </w:r>
      <w:r w:rsidR="00DB6B6C">
        <w:rPr>
          <w:lang w:val="en-US"/>
        </w:rPr>
        <w:t>-16</w:t>
      </w:r>
      <w:r w:rsidR="00BF57E0">
        <w:rPr>
          <w:lang w:val="en-US"/>
        </w:rPr>
        <w:t>.341, 145.773</w:t>
      </w:r>
      <w:r w:rsidR="00BC579C">
        <w:rPr>
          <w:lang w:val="en-US"/>
        </w:rPr>
        <w:t>]</w:t>
      </w:r>
      <w:r w:rsidR="00C44FC9">
        <w:rPr>
          <w:lang w:val="en-US"/>
        </w:rPr>
        <w:t xml:space="preserve">, </w:t>
      </w:r>
      <w:r w:rsidR="00C44FC9">
        <w:rPr>
          <w:i/>
          <w:iCs/>
          <w:lang w:val="en-US"/>
        </w:rPr>
        <w:t>n =</w:t>
      </w:r>
      <w:r w:rsidR="00C56D77">
        <w:rPr>
          <w:i/>
          <w:iCs/>
          <w:lang w:val="en-US"/>
        </w:rPr>
        <w:t>6</w:t>
      </w:r>
      <w:r w:rsidR="00C44FC9">
        <w:rPr>
          <w:lang w:val="en-US"/>
        </w:rPr>
        <w:t>)</w:t>
      </w:r>
      <w:r w:rsidR="00F810DF">
        <w:rPr>
          <w:lang w:val="en-US"/>
        </w:rPr>
        <w:t xml:space="preserve">, </w:t>
      </w:r>
      <w:proofErr w:type="spellStart"/>
      <w:r w:rsidR="00F810DF">
        <w:rPr>
          <w:lang w:val="en-US"/>
        </w:rPr>
        <w:t>Vlassof</w:t>
      </w:r>
      <w:proofErr w:type="spellEnd"/>
      <w:r w:rsidR="00F810DF">
        <w:rPr>
          <w:lang w:val="en-US"/>
        </w:rPr>
        <w:t xml:space="preserve"> Cay</w:t>
      </w:r>
      <w:r w:rsidR="00D65D29">
        <w:rPr>
          <w:lang w:val="en-US"/>
        </w:rPr>
        <w:t xml:space="preserve"> </w:t>
      </w:r>
      <w:r w:rsidR="00EF7EFD">
        <w:rPr>
          <w:lang w:val="en-US"/>
        </w:rPr>
        <w:t>(</w:t>
      </w:r>
      <w:r w:rsidR="00BC579C">
        <w:rPr>
          <w:lang w:val="en-US"/>
        </w:rPr>
        <w:t>[</w:t>
      </w:r>
      <w:r w:rsidR="0020483F">
        <w:rPr>
          <w:lang w:val="en-US"/>
        </w:rPr>
        <w:t>-16.657, 145.990</w:t>
      </w:r>
      <w:r w:rsidR="00BC579C">
        <w:rPr>
          <w:lang w:val="en-US"/>
        </w:rPr>
        <w:t>]</w:t>
      </w:r>
      <w:r w:rsidR="00EF7EFD" w:rsidRPr="00EF7EFD">
        <w:rPr>
          <w:i/>
          <w:iCs/>
          <w:lang w:val="en-US"/>
        </w:rPr>
        <w:t xml:space="preserve"> </w:t>
      </w:r>
      <w:r w:rsidR="00EF7EFD">
        <w:rPr>
          <w:i/>
          <w:iCs/>
          <w:lang w:val="en-US"/>
        </w:rPr>
        <w:t>n =</w:t>
      </w:r>
      <w:r w:rsidR="00CF7B6A">
        <w:rPr>
          <w:i/>
          <w:iCs/>
          <w:lang w:val="en-US"/>
        </w:rPr>
        <w:t>6</w:t>
      </w:r>
      <w:r w:rsidR="00EF7EFD">
        <w:rPr>
          <w:lang w:val="en-US"/>
        </w:rPr>
        <w:t>)</w:t>
      </w:r>
      <w:r w:rsidR="00F810DF">
        <w:rPr>
          <w:lang w:val="en-US"/>
        </w:rPr>
        <w:t>, and Sudbury Reef</w:t>
      </w:r>
      <w:r w:rsidR="00D65D29">
        <w:rPr>
          <w:lang w:val="en-US"/>
        </w:rPr>
        <w:t xml:space="preserve"> </w:t>
      </w:r>
      <w:r w:rsidR="00EF7EFD">
        <w:rPr>
          <w:lang w:val="en-US"/>
        </w:rPr>
        <w:t>(</w:t>
      </w:r>
      <w:r w:rsidR="00BC579C">
        <w:rPr>
          <w:lang w:val="en-US"/>
        </w:rPr>
        <w:t>[</w:t>
      </w:r>
      <w:r w:rsidR="00F30AC9">
        <w:rPr>
          <w:lang w:val="en-US"/>
        </w:rPr>
        <w:t>-16.996, 146.202</w:t>
      </w:r>
      <w:r w:rsidR="00525CA8">
        <w:rPr>
          <w:lang w:val="en-US"/>
        </w:rPr>
        <w:t>]</w:t>
      </w:r>
      <w:r w:rsidR="00EF7EFD" w:rsidRPr="00EF7EFD">
        <w:rPr>
          <w:i/>
          <w:iCs/>
          <w:lang w:val="en-US"/>
        </w:rPr>
        <w:t xml:space="preserve"> </w:t>
      </w:r>
      <w:r w:rsidR="00EF7EFD">
        <w:rPr>
          <w:i/>
          <w:iCs/>
          <w:lang w:val="en-US"/>
        </w:rPr>
        <w:t>n =</w:t>
      </w:r>
      <w:r w:rsidR="00CF7B6A">
        <w:rPr>
          <w:i/>
          <w:iCs/>
          <w:lang w:val="en-US"/>
        </w:rPr>
        <w:t>9</w:t>
      </w:r>
      <w:r w:rsidR="00EF7EFD">
        <w:rPr>
          <w:lang w:val="en-US"/>
        </w:rPr>
        <w:t>)</w:t>
      </w:r>
      <w:r w:rsidR="00D65D29">
        <w:rPr>
          <w:lang w:val="en-US"/>
        </w:rPr>
        <w:t>, as well as from</w:t>
      </w:r>
      <w:r w:rsidR="00F810DF">
        <w:rPr>
          <w:lang w:val="en-US"/>
        </w:rPr>
        <w:t xml:space="preserve"> </w:t>
      </w:r>
      <w:r w:rsidR="00A552C6">
        <w:rPr>
          <w:lang w:val="en-US"/>
        </w:rPr>
        <w:t>inshore islands and reefs in proximity to</w:t>
      </w:r>
      <w:r w:rsidR="000B2862">
        <w:rPr>
          <w:lang w:val="en-US"/>
        </w:rPr>
        <w:t xml:space="preserve"> Mackay</w:t>
      </w:r>
      <w:r w:rsidR="00A552C6">
        <w:rPr>
          <w:lang w:val="en-US"/>
        </w:rPr>
        <w:t xml:space="preserve"> including:</w:t>
      </w:r>
      <w:r w:rsidR="000B2862">
        <w:rPr>
          <w:lang w:val="en-US"/>
        </w:rPr>
        <w:t xml:space="preserve"> </w:t>
      </w:r>
      <w:r w:rsidR="00CD7929">
        <w:rPr>
          <w:lang w:val="en-US"/>
        </w:rPr>
        <w:t>Cockermouth Island</w:t>
      </w:r>
      <w:r w:rsidR="00A552C6">
        <w:rPr>
          <w:lang w:val="en-US"/>
        </w:rPr>
        <w:t xml:space="preserve"> </w:t>
      </w:r>
      <w:r w:rsidR="00EF7EFD">
        <w:rPr>
          <w:lang w:val="en-US"/>
        </w:rPr>
        <w:t>(</w:t>
      </w:r>
      <w:r w:rsidR="00525CA8">
        <w:rPr>
          <w:lang w:val="en-US"/>
        </w:rPr>
        <w:t>[</w:t>
      </w:r>
      <w:r w:rsidR="00F30AC9">
        <w:rPr>
          <w:lang w:val="en-US"/>
        </w:rPr>
        <w:t>-20.772, 149.39</w:t>
      </w:r>
      <w:r w:rsidR="00A23AB0">
        <w:rPr>
          <w:lang w:val="en-US"/>
        </w:rPr>
        <w:t>0</w:t>
      </w:r>
      <w:r w:rsidR="00525CA8">
        <w:rPr>
          <w:lang w:val="en-US"/>
        </w:rPr>
        <w:t>]</w:t>
      </w:r>
      <w:r w:rsidR="00EF7EFD" w:rsidRPr="00EF7EFD">
        <w:rPr>
          <w:i/>
          <w:iCs/>
          <w:lang w:val="en-US"/>
        </w:rPr>
        <w:t xml:space="preserve"> </w:t>
      </w:r>
      <w:r w:rsidR="00EF7EFD">
        <w:rPr>
          <w:i/>
          <w:iCs/>
          <w:lang w:val="en-US"/>
        </w:rPr>
        <w:t>n =</w:t>
      </w:r>
      <w:r w:rsidR="00CF7B6A">
        <w:rPr>
          <w:i/>
          <w:iCs/>
          <w:lang w:val="en-US"/>
        </w:rPr>
        <w:t>8</w:t>
      </w:r>
      <w:r w:rsidR="00EF7EFD">
        <w:rPr>
          <w:lang w:val="en-US"/>
        </w:rPr>
        <w:t>)</w:t>
      </w:r>
      <w:r w:rsidR="00CD7929">
        <w:rPr>
          <w:lang w:val="en-US"/>
        </w:rPr>
        <w:t>, Keswick Island</w:t>
      </w:r>
      <w:r w:rsidR="00A552C6">
        <w:rPr>
          <w:lang w:val="en-US"/>
        </w:rPr>
        <w:t xml:space="preserve"> </w:t>
      </w:r>
      <w:r w:rsidR="00EF7EFD">
        <w:rPr>
          <w:lang w:val="en-US"/>
        </w:rPr>
        <w:t>(</w:t>
      </w:r>
      <w:r w:rsidR="00525CA8">
        <w:rPr>
          <w:lang w:val="en-US"/>
        </w:rPr>
        <w:t>[</w:t>
      </w:r>
      <w:r w:rsidR="006678A0">
        <w:rPr>
          <w:lang w:val="en-US"/>
        </w:rPr>
        <w:t>-20.908, 149.406</w:t>
      </w:r>
      <w:r w:rsidR="00525CA8">
        <w:rPr>
          <w:lang w:val="en-US"/>
        </w:rPr>
        <w:t>]</w:t>
      </w:r>
      <w:r w:rsidR="00EF7EFD" w:rsidRPr="00EF7EFD">
        <w:rPr>
          <w:i/>
          <w:iCs/>
          <w:lang w:val="en-US"/>
        </w:rPr>
        <w:t xml:space="preserve"> </w:t>
      </w:r>
      <w:r w:rsidR="00EF7EFD">
        <w:rPr>
          <w:i/>
          <w:iCs/>
          <w:lang w:val="en-US"/>
        </w:rPr>
        <w:t>n =</w:t>
      </w:r>
      <w:r w:rsidR="00CF7B6A">
        <w:rPr>
          <w:i/>
          <w:iCs/>
          <w:lang w:val="en-US"/>
        </w:rPr>
        <w:t>4</w:t>
      </w:r>
      <w:r w:rsidR="00EF7EFD">
        <w:rPr>
          <w:lang w:val="en-US"/>
        </w:rPr>
        <w:t>)</w:t>
      </w:r>
      <w:r w:rsidR="00CD7929">
        <w:rPr>
          <w:lang w:val="en-US"/>
        </w:rPr>
        <w:t>, and Chauvel Reef</w:t>
      </w:r>
      <w:r w:rsidR="00A552C6">
        <w:rPr>
          <w:lang w:val="en-US"/>
        </w:rPr>
        <w:t xml:space="preserve"> </w:t>
      </w:r>
      <w:r w:rsidR="00525CA8">
        <w:rPr>
          <w:lang w:val="en-US"/>
        </w:rPr>
        <w:t>([</w:t>
      </w:r>
      <w:r w:rsidR="002D46F4">
        <w:rPr>
          <w:lang w:val="en-US"/>
        </w:rPr>
        <w:t xml:space="preserve">southern; </w:t>
      </w:r>
      <w:r w:rsidR="006678A0">
        <w:rPr>
          <w:lang w:val="en-US"/>
        </w:rPr>
        <w:t>-20.863</w:t>
      </w:r>
      <w:r w:rsidR="002D46F4">
        <w:rPr>
          <w:lang w:val="en-US"/>
        </w:rPr>
        <w:t>, 150.363</w:t>
      </w:r>
      <w:r w:rsidR="00525CA8">
        <w:rPr>
          <w:lang w:val="en-US"/>
        </w:rPr>
        <w:t>]</w:t>
      </w:r>
      <w:r w:rsidR="00EF7EFD" w:rsidRPr="00EF7EFD">
        <w:rPr>
          <w:i/>
          <w:iCs/>
          <w:lang w:val="en-US"/>
        </w:rPr>
        <w:t xml:space="preserve"> </w:t>
      </w:r>
      <w:r w:rsidR="00EF7EFD">
        <w:rPr>
          <w:i/>
          <w:iCs/>
          <w:lang w:val="en-US"/>
        </w:rPr>
        <w:t>n =</w:t>
      </w:r>
      <w:r w:rsidR="00CF7B6A">
        <w:rPr>
          <w:i/>
          <w:iCs/>
          <w:lang w:val="en-US"/>
        </w:rPr>
        <w:t>5</w:t>
      </w:r>
      <w:r w:rsidR="002D46F4">
        <w:rPr>
          <w:lang w:val="en-US"/>
        </w:rPr>
        <w:t xml:space="preserve">; </w:t>
      </w:r>
      <w:r w:rsidR="000B2862">
        <w:rPr>
          <w:b/>
          <w:bCs/>
          <w:lang w:val="en-US"/>
        </w:rPr>
        <w:t>Figure 1</w:t>
      </w:r>
      <w:r w:rsidR="000B2862">
        <w:rPr>
          <w:lang w:val="en-US"/>
        </w:rPr>
        <w:t>)</w:t>
      </w:r>
      <w:r w:rsidR="003D40D8">
        <w:rPr>
          <w:lang w:val="en-US"/>
        </w:rPr>
        <w:t>.</w:t>
      </w:r>
      <w:r w:rsidR="00C952F1">
        <w:rPr>
          <w:lang w:val="en-US"/>
        </w:rPr>
        <w:t xml:space="preserve"> Cairns and Mackay collection regions</w:t>
      </w:r>
      <w:r w:rsidR="000B2862">
        <w:rPr>
          <w:lang w:val="en-US"/>
        </w:rPr>
        <w:t xml:space="preserve"> a</w:t>
      </w:r>
      <w:r w:rsidR="00FB1198">
        <w:rPr>
          <w:lang w:val="en-US"/>
        </w:rPr>
        <w:t xml:space="preserve">re separated by </w:t>
      </w:r>
      <w:r w:rsidR="00206B48">
        <w:rPr>
          <w:lang w:val="en-US"/>
        </w:rPr>
        <w:t>XXX</w:t>
      </w:r>
      <w:r w:rsidR="000B2862">
        <w:rPr>
          <w:lang w:val="en-US"/>
        </w:rPr>
        <w:t xml:space="preserve"> kilometers</w:t>
      </w:r>
      <w:r w:rsidR="006A5DF6">
        <w:rPr>
          <w:lang w:val="en-US"/>
        </w:rPr>
        <w:t xml:space="preserve"> </w:t>
      </w:r>
      <w:r w:rsidR="00FB1198">
        <w:rPr>
          <w:lang w:val="en-US"/>
        </w:rPr>
        <w:t>(</w:t>
      </w:r>
      <w:r w:rsidR="006A5DF6">
        <w:rPr>
          <w:lang w:val="en-US"/>
        </w:rPr>
        <w:t xml:space="preserve">spanning </w:t>
      </w:r>
      <w:r w:rsidR="006A5DF6" w:rsidRPr="00C4474E">
        <w:rPr>
          <w:highlight w:val="cyan"/>
          <w:lang w:val="en-US"/>
        </w:rPr>
        <w:t>XX</w:t>
      </w:r>
      <w:r w:rsidR="006A5DF6">
        <w:rPr>
          <w:rFonts w:cstheme="minorHAnsi"/>
          <w:lang w:val="en-US"/>
        </w:rPr>
        <w:t>°</w:t>
      </w:r>
      <w:r w:rsidR="006A5DF6">
        <w:rPr>
          <w:lang w:val="en-US"/>
        </w:rPr>
        <w:t xml:space="preserve"> in latitude</w:t>
      </w:r>
      <w:r w:rsidR="00FB1198">
        <w:rPr>
          <w:lang w:val="en-US"/>
        </w:rPr>
        <w:t>)</w:t>
      </w:r>
      <w:r w:rsidR="000B2862">
        <w:rPr>
          <w:lang w:val="en-US"/>
        </w:rPr>
        <w:t>.</w:t>
      </w:r>
      <w:r w:rsidR="006A5DF6">
        <w:rPr>
          <w:lang w:val="en-US"/>
        </w:rPr>
        <w:t xml:space="preserve"> </w:t>
      </w:r>
    </w:p>
    <w:p w14:paraId="3021BE06" w14:textId="64BD0BCA" w:rsidR="00752138" w:rsidRDefault="00A622DE" w:rsidP="00D11B0C">
      <w:pPr>
        <w:jc w:val="both"/>
        <w:rPr>
          <w:rFonts w:cstheme="minorHAnsi"/>
          <w:lang w:val="en-US"/>
        </w:rPr>
      </w:pPr>
      <w:r>
        <w:rPr>
          <w:rFonts w:cstheme="minorHAnsi"/>
          <w:lang w:val="en-US"/>
        </w:rPr>
        <w:t>Adult fish were held in separate 60L</w:t>
      </w:r>
      <w:r w:rsidR="00A901A9">
        <w:rPr>
          <w:rFonts w:cstheme="minorHAnsi"/>
          <w:lang w:val="en-US"/>
        </w:rPr>
        <w:t xml:space="preserve"> opaque</w:t>
      </w:r>
      <w:r>
        <w:rPr>
          <w:rFonts w:cstheme="minorHAnsi"/>
          <w:lang w:val="en-US"/>
        </w:rPr>
        <w:t xml:space="preserve"> aquariums</w:t>
      </w:r>
      <w:r w:rsidR="00A901A9">
        <w:rPr>
          <w:rFonts w:cstheme="minorHAnsi"/>
          <w:lang w:val="en-US"/>
        </w:rPr>
        <w:t xml:space="preserve"> </w:t>
      </w:r>
      <w:r w:rsidR="00A901A9" w:rsidRPr="00A901A9">
        <w:rPr>
          <w:rFonts w:cstheme="minorHAnsi"/>
          <w:highlight w:val="cyan"/>
          <w:lang w:val="en-US"/>
        </w:rPr>
        <w:t>([DIMENSIONS])</w:t>
      </w:r>
      <w:r>
        <w:rPr>
          <w:rFonts w:cstheme="minorHAnsi"/>
          <w:lang w:val="en-US"/>
        </w:rPr>
        <w:t xml:space="preserve"> inside an </w:t>
      </w:r>
      <w:r w:rsidR="00752138">
        <w:rPr>
          <w:rFonts w:cstheme="minorHAnsi"/>
          <w:lang w:val="en-US"/>
        </w:rPr>
        <w:t>environmentally controlled</w:t>
      </w:r>
      <w:r w:rsidR="003F5C3C">
        <w:rPr>
          <w:rFonts w:cstheme="minorHAnsi"/>
          <w:lang w:val="en-US"/>
        </w:rPr>
        <w:t xml:space="preserve"> aquarium room at</w:t>
      </w:r>
      <w:r w:rsidR="004926A2">
        <w:rPr>
          <w:rFonts w:cstheme="minorHAnsi"/>
          <w:lang w:val="en-US"/>
        </w:rPr>
        <w:t xml:space="preserve"> the Marine and Aquaculture Research Facilit</w:t>
      </w:r>
      <w:r w:rsidR="00A572E0">
        <w:rPr>
          <w:rFonts w:cstheme="minorHAnsi"/>
          <w:lang w:val="en-US"/>
        </w:rPr>
        <w:t>y</w:t>
      </w:r>
      <w:r w:rsidR="00A5176A">
        <w:rPr>
          <w:rFonts w:cstheme="minorHAnsi"/>
          <w:lang w:val="en-US"/>
        </w:rPr>
        <w:t xml:space="preserve"> at</w:t>
      </w:r>
      <w:r w:rsidR="003F5C3C">
        <w:rPr>
          <w:rFonts w:cstheme="minorHAnsi"/>
          <w:lang w:val="en-US"/>
        </w:rPr>
        <w:t xml:space="preserve"> James Cook University (Townsville, Australia). Each aquarium </w:t>
      </w:r>
      <w:r w:rsidR="00A551EF">
        <w:rPr>
          <w:rFonts w:cstheme="minorHAnsi"/>
          <w:lang w:val="en-US"/>
        </w:rPr>
        <w:t xml:space="preserve">contained </w:t>
      </w:r>
      <w:r w:rsidR="00A572E0">
        <w:rPr>
          <w:rFonts w:cstheme="minorHAnsi"/>
          <w:lang w:val="en-US"/>
        </w:rPr>
        <w:t xml:space="preserve">a </w:t>
      </w:r>
      <w:r w:rsidR="00A551EF">
        <w:rPr>
          <w:rFonts w:cstheme="minorHAnsi"/>
          <w:lang w:val="en-US"/>
        </w:rPr>
        <w:t>shelter</w:t>
      </w:r>
      <w:r w:rsidR="00A5176A">
        <w:rPr>
          <w:rFonts w:cstheme="minorHAnsi"/>
          <w:lang w:val="en-US"/>
        </w:rPr>
        <w:t xml:space="preserve"> (</w:t>
      </w:r>
      <w:r w:rsidR="007552DF">
        <w:rPr>
          <w:rFonts w:cstheme="minorHAnsi"/>
          <w:lang w:val="en-US"/>
        </w:rPr>
        <w:t>half</w:t>
      </w:r>
      <w:r w:rsidR="00312DC1">
        <w:rPr>
          <w:rFonts w:cstheme="minorHAnsi"/>
          <w:lang w:val="en-US"/>
        </w:rPr>
        <w:t xml:space="preserve"> a </w:t>
      </w:r>
      <w:r w:rsidR="00A5176A">
        <w:rPr>
          <w:rFonts w:cstheme="minorHAnsi"/>
          <w:lang w:val="en-US"/>
        </w:rPr>
        <w:t>terra-cotta pot)</w:t>
      </w:r>
      <w:r w:rsidR="00842B67">
        <w:rPr>
          <w:rFonts w:cstheme="minorHAnsi"/>
          <w:lang w:val="en-US"/>
        </w:rPr>
        <w:t>,</w:t>
      </w:r>
      <w:r w:rsidR="00A551EF">
        <w:rPr>
          <w:rFonts w:cstheme="minorHAnsi"/>
          <w:lang w:val="en-US"/>
        </w:rPr>
        <w:t xml:space="preserve"> </w:t>
      </w:r>
      <w:r w:rsidR="008A2D6B">
        <w:rPr>
          <w:rFonts w:cstheme="minorHAnsi"/>
          <w:lang w:val="en-US"/>
        </w:rPr>
        <w:t>constant aeration</w:t>
      </w:r>
      <w:r w:rsidR="00F73C6F">
        <w:rPr>
          <w:rFonts w:cstheme="minorHAnsi"/>
          <w:lang w:val="en-US"/>
        </w:rPr>
        <w:t>,</w:t>
      </w:r>
      <w:r w:rsidR="00842B67">
        <w:rPr>
          <w:rFonts w:cstheme="minorHAnsi"/>
          <w:lang w:val="en-US"/>
        </w:rPr>
        <w:t xml:space="preserve"> and</w:t>
      </w:r>
      <w:r w:rsidR="00135993">
        <w:rPr>
          <w:rFonts w:cstheme="minorHAnsi"/>
          <w:lang w:val="en-US"/>
        </w:rPr>
        <w:t xml:space="preserve"> </w:t>
      </w:r>
      <w:r w:rsidR="00AC20A1">
        <w:rPr>
          <w:rFonts w:cstheme="minorHAnsi"/>
          <w:lang w:val="en-US"/>
        </w:rPr>
        <w:t>water flow</w:t>
      </w:r>
      <w:r w:rsidR="00F73C6F">
        <w:rPr>
          <w:rFonts w:cstheme="minorHAnsi"/>
          <w:lang w:val="en-US"/>
        </w:rPr>
        <w:t xml:space="preserve"> (2 L/min)</w:t>
      </w:r>
      <w:r w:rsidR="00AC20A1">
        <w:rPr>
          <w:rFonts w:cstheme="minorHAnsi"/>
          <w:lang w:val="en-US"/>
        </w:rPr>
        <w:t xml:space="preserve"> at set experimental conditions</w:t>
      </w:r>
      <w:r w:rsidR="00522F64">
        <w:rPr>
          <w:rFonts w:cstheme="minorHAnsi"/>
          <w:lang w:val="en-US"/>
        </w:rPr>
        <w:t xml:space="preserve"> (see </w:t>
      </w:r>
      <w:r w:rsidR="00796005">
        <w:rPr>
          <w:rFonts w:cstheme="minorHAnsi"/>
          <w:lang w:val="en-US"/>
        </w:rPr>
        <w:t>below</w:t>
      </w:r>
      <w:r w:rsidR="00522F64">
        <w:rPr>
          <w:rFonts w:cstheme="minorHAnsi"/>
          <w:lang w:val="en-US"/>
        </w:rPr>
        <w:t>)</w:t>
      </w:r>
      <w:r w:rsidR="00AC20A1">
        <w:rPr>
          <w:rFonts w:cstheme="minorHAnsi"/>
          <w:lang w:val="en-US"/>
        </w:rPr>
        <w:t>.</w:t>
      </w:r>
      <w:r w:rsidR="00A551EF">
        <w:rPr>
          <w:rFonts w:cstheme="minorHAnsi"/>
          <w:lang w:val="en-US"/>
        </w:rPr>
        <w:t xml:space="preserve"> </w:t>
      </w:r>
      <w:r w:rsidR="00E73160">
        <w:rPr>
          <w:rFonts w:cstheme="minorHAnsi"/>
          <w:lang w:val="en-US"/>
        </w:rPr>
        <w:t>Fish were transferred to the experiment room that was used for trials on May 25</w:t>
      </w:r>
      <w:r w:rsidR="00E73160" w:rsidRPr="006159A4">
        <w:rPr>
          <w:rFonts w:cstheme="minorHAnsi"/>
          <w:vertAlign w:val="superscript"/>
          <w:lang w:val="en-US"/>
        </w:rPr>
        <w:t>th</w:t>
      </w:r>
      <w:r w:rsidR="00E73160">
        <w:rPr>
          <w:rFonts w:cstheme="minorHAnsi"/>
          <w:lang w:val="en-US"/>
        </w:rPr>
        <w:t>, 202</w:t>
      </w:r>
      <w:r w:rsidR="00857293">
        <w:rPr>
          <w:rFonts w:cstheme="minorHAnsi"/>
          <w:lang w:val="en-US"/>
        </w:rPr>
        <w:t>2</w:t>
      </w:r>
      <w:r w:rsidR="00E73160">
        <w:rPr>
          <w:rFonts w:cstheme="minorHAnsi"/>
          <w:lang w:val="en-US"/>
        </w:rPr>
        <w:t>. Respirometry trials occurred from June 6</w:t>
      </w:r>
      <w:r w:rsidR="00E73160" w:rsidRPr="000227EB">
        <w:rPr>
          <w:rFonts w:cstheme="minorHAnsi"/>
          <w:vertAlign w:val="superscript"/>
          <w:lang w:val="en-US"/>
        </w:rPr>
        <w:t>th</w:t>
      </w:r>
      <w:r w:rsidR="00E73160">
        <w:rPr>
          <w:rFonts w:cstheme="minorHAnsi"/>
          <w:lang w:val="en-US"/>
        </w:rPr>
        <w:t>, 2022 – August 17</w:t>
      </w:r>
      <w:r w:rsidR="00E73160" w:rsidRPr="000227EB">
        <w:rPr>
          <w:rFonts w:cstheme="minorHAnsi"/>
          <w:vertAlign w:val="superscript"/>
          <w:lang w:val="en-US"/>
        </w:rPr>
        <w:t>th</w:t>
      </w:r>
      <w:r w:rsidR="00E73160">
        <w:rPr>
          <w:rFonts w:cstheme="minorHAnsi"/>
          <w:lang w:val="en-US"/>
        </w:rPr>
        <w:t>, 202</w:t>
      </w:r>
      <w:r w:rsidR="00857293">
        <w:rPr>
          <w:rFonts w:cstheme="minorHAnsi"/>
          <w:lang w:val="en-US"/>
        </w:rPr>
        <w:t>2</w:t>
      </w:r>
      <w:r w:rsidR="00E73160">
        <w:rPr>
          <w:rFonts w:cstheme="minorHAnsi"/>
          <w:lang w:val="en-US"/>
        </w:rPr>
        <w:t>.</w:t>
      </w:r>
    </w:p>
    <w:p w14:paraId="33910CB7" w14:textId="32C92DBE" w:rsidR="00FB541D" w:rsidRDefault="00FB541D" w:rsidP="00FB541D">
      <w:pPr>
        <w:pStyle w:val="Heading2"/>
        <w:rPr>
          <w:lang w:val="en-US"/>
        </w:rPr>
      </w:pPr>
      <w:r>
        <w:rPr>
          <w:lang w:val="en-US"/>
        </w:rPr>
        <w:t>Thermal conditions</w:t>
      </w:r>
    </w:p>
    <w:p w14:paraId="0A70741F" w14:textId="77777777" w:rsidR="00AD2CDC" w:rsidRDefault="00AD2CDC" w:rsidP="006F3534">
      <w:pPr>
        <w:spacing w:after="0" w:line="240" w:lineRule="auto"/>
        <w:jc w:val="both"/>
        <w:rPr>
          <w:lang w:val="en-US"/>
        </w:rPr>
      </w:pPr>
      <w:r>
        <w:rPr>
          <w:lang w:val="en-US"/>
        </w:rPr>
        <w:t>Local thermal conditions for reefs within Cairns and Mackay locations were examined using temperature data collected via AIMS Temperature Logger data series for a subset of reefs (</w:t>
      </w:r>
      <w:r w:rsidRPr="007724AF">
        <w:rPr>
          <w:b/>
          <w:bCs/>
          <w:lang w:val="en-US"/>
        </w:rPr>
        <w:t>ST1</w:t>
      </w:r>
      <w:r>
        <w:rPr>
          <w:lang w:val="en-US"/>
        </w:rPr>
        <w:t>) from each region (</w:t>
      </w:r>
      <w:r w:rsidRPr="00CE2909">
        <w:rPr>
          <w:highlight w:val="yellow"/>
          <w:lang w:val="en-US"/>
        </w:rPr>
        <w:t>citation for AIMS data</w:t>
      </w:r>
      <w:r>
        <w:rPr>
          <w:lang w:val="en-US"/>
        </w:rPr>
        <w:t xml:space="preserve">; </w:t>
      </w:r>
      <w:r>
        <w:rPr>
          <w:b/>
          <w:bCs/>
          <w:lang w:val="en-US"/>
        </w:rPr>
        <w:t>SF1</w:t>
      </w:r>
      <w:r>
        <w:rPr>
          <w:lang w:val="en-US"/>
        </w:rPr>
        <w:t xml:space="preserve">). </w:t>
      </w:r>
    </w:p>
    <w:p w14:paraId="46D71772" w14:textId="77777777" w:rsidR="00AD2CDC" w:rsidRDefault="00AD2CDC" w:rsidP="006F3534">
      <w:pPr>
        <w:spacing w:after="0" w:line="240" w:lineRule="auto"/>
        <w:jc w:val="both"/>
        <w:rPr>
          <w:lang w:val="en-US"/>
        </w:rPr>
      </w:pPr>
    </w:p>
    <w:p w14:paraId="1DAFF5BE" w14:textId="1723789F" w:rsidR="006F3534" w:rsidRDefault="00752138" w:rsidP="006F3534">
      <w:pPr>
        <w:spacing w:after="0" w:line="240" w:lineRule="auto"/>
        <w:jc w:val="both"/>
        <w:rPr>
          <w:rFonts w:cstheme="minorHAnsi"/>
          <w:lang w:val="en-US"/>
        </w:rPr>
      </w:pPr>
      <w:r>
        <w:rPr>
          <w:rFonts w:cstheme="minorHAnsi"/>
          <w:lang w:val="en-US"/>
        </w:rPr>
        <w:t xml:space="preserve">Experimental temperatures for metabolic and immunocompetence metrics were 27°C, 28.5°C, 30°C (IPCC 2050 projected temperatures </w:t>
      </w:r>
      <w:r w:rsidRPr="008C1864">
        <w:rPr>
          <w:rFonts w:cstheme="minorHAnsi"/>
          <w:highlight w:val="yellow"/>
          <w:lang w:val="en-US"/>
        </w:rPr>
        <w:t>citation</w:t>
      </w:r>
      <w:r>
        <w:rPr>
          <w:rFonts w:cstheme="minorHAnsi"/>
          <w:lang w:val="en-US"/>
        </w:rPr>
        <w:t xml:space="preserve">), and 31.5°C (IPCC 2100 project temperatures under projection XXXXX </w:t>
      </w:r>
      <w:r w:rsidRPr="0054372C">
        <w:rPr>
          <w:rFonts w:cstheme="minorHAnsi"/>
          <w:highlight w:val="yellow"/>
          <w:lang w:val="en-US"/>
        </w:rPr>
        <w:t>citation</w:t>
      </w:r>
      <w:r>
        <w:rPr>
          <w:rFonts w:cstheme="minorHAnsi"/>
          <w:lang w:val="en-US"/>
        </w:rPr>
        <w:t>).</w:t>
      </w:r>
      <w:r w:rsidR="00030DDA">
        <w:rPr>
          <w:rFonts w:cstheme="minorHAnsi"/>
          <w:lang w:val="en-US"/>
        </w:rPr>
        <w:t xml:space="preserve"> Once metabolic and immunocompetence trails were complete</w:t>
      </w:r>
      <w:r w:rsidR="00BF7977">
        <w:rPr>
          <w:rFonts w:cstheme="minorHAnsi"/>
          <w:lang w:val="en-US"/>
        </w:rPr>
        <w:t xml:space="preserve"> at</w:t>
      </w:r>
      <w:r w:rsidR="0016305C">
        <w:rPr>
          <w:rFonts w:cstheme="minorHAnsi"/>
          <w:lang w:val="en-US"/>
        </w:rPr>
        <w:t xml:space="preserve"> a set </w:t>
      </w:r>
      <w:r w:rsidR="00DC295A">
        <w:rPr>
          <w:rFonts w:cstheme="minorHAnsi"/>
          <w:lang w:val="en-US"/>
        </w:rPr>
        <w:t xml:space="preserve">treatment </w:t>
      </w:r>
      <w:r w:rsidR="0016305C">
        <w:rPr>
          <w:rFonts w:cstheme="minorHAnsi"/>
          <w:lang w:val="en-US"/>
        </w:rPr>
        <w:t>temperature</w:t>
      </w:r>
      <w:r w:rsidR="00142A74">
        <w:rPr>
          <w:rFonts w:cstheme="minorHAnsi"/>
          <w:lang w:val="en-US"/>
        </w:rPr>
        <w:t>, fish were exposure to +1.5°C increase at a rate of +0.5°C/day</w:t>
      </w:r>
      <w:r w:rsidR="00503AAF">
        <w:rPr>
          <w:rFonts w:cstheme="minorHAnsi"/>
          <w:lang w:val="en-US"/>
        </w:rPr>
        <w:t xml:space="preserve"> for three consecutive days. Fish were then given</w:t>
      </w:r>
      <w:r w:rsidR="00D46BA0">
        <w:rPr>
          <w:rFonts w:cstheme="minorHAnsi"/>
          <w:lang w:val="en-US"/>
        </w:rPr>
        <w:t xml:space="preserve"> </w:t>
      </w:r>
      <w:r w:rsidR="007560D5">
        <w:rPr>
          <w:rFonts w:cstheme="minorHAnsi"/>
          <w:lang w:val="en-US"/>
        </w:rPr>
        <w:t xml:space="preserve">an additional </w:t>
      </w:r>
      <w:r w:rsidR="00D46BA0">
        <w:rPr>
          <w:rFonts w:cstheme="minorHAnsi"/>
          <w:lang w:val="en-US"/>
        </w:rPr>
        <w:t>five days to adjust to the new temperature</w:t>
      </w:r>
      <w:r w:rsidR="007560D5">
        <w:rPr>
          <w:rFonts w:cstheme="minorHAnsi"/>
          <w:lang w:val="en-US"/>
        </w:rPr>
        <w:t xml:space="preserve"> treatment</w:t>
      </w:r>
      <w:r w:rsidR="00D46BA0">
        <w:rPr>
          <w:rFonts w:cstheme="minorHAnsi"/>
          <w:lang w:val="en-US"/>
        </w:rPr>
        <w:t xml:space="preserve"> before the next </w:t>
      </w:r>
      <w:r w:rsidR="006D1B64">
        <w:rPr>
          <w:rFonts w:cstheme="minorHAnsi"/>
          <w:lang w:val="en-US"/>
        </w:rPr>
        <w:t>sampling period</w:t>
      </w:r>
      <w:r w:rsidR="00DC295A">
        <w:rPr>
          <w:rFonts w:cstheme="minorHAnsi"/>
          <w:lang w:val="en-US"/>
        </w:rPr>
        <w:t xml:space="preserve"> began</w:t>
      </w:r>
      <w:r w:rsidR="00D46BA0">
        <w:rPr>
          <w:rFonts w:cstheme="minorHAnsi"/>
          <w:lang w:val="en-US"/>
        </w:rPr>
        <w:t>.</w:t>
      </w:r>
      <w:r w:rsidR="00417408">
        <w:rPr>
          <w:rFonts w:cstheme="minorHAnsi"/>
          <w:lang w:val="en-US"/>
        </w:rPr>
        <w:t xml:space="preserve"> </w:t>
      </w:r>
      <w:r w:rsidR="00C75B0E">
        <w:rPr>
          <w:rFonts w:cstheme="minorHAnsi"/>
          <w:lang w:val="en-US"/>
        </w:rPr>
        <w:t xml:space="preserve"> </w:t>
      </w:r>
    </w:p>
    <w:p w14:paraId="6A9935CE" w14:textId="0C0DB7B0" w:rsidR="00752138" w:rsidRDefault="00752138" w:rsidP="004B1F71">
      <w:pPr>
        <w:spacing w:after="0" w:line="240" w:lineRule="auto"/>
        <w:jc w:val="center"/>
        <w:rPr>
          <w:rFonts w:cstheme="minorHAnsi"/>
          <w:lang w:val="en-US"/>
        </w:rPr>
      </w:pPr>
    </w:p>
    <w:p w14:paraId="7FC1D96D" w14:textId="06AE8194" w:rsidR="00FD76B7" w:rsidRDefault="0025337E" w:rsidP="00BA3338">
      <w:pPr>
        <w:pStyle w:val="Heading2"/>
        <w:rPr>
          <w:lang w:val="en-US"/>
        </w:rPr>
      </w:pPr>
      <w:r>
        <w:rPr>
          <w:lang w:val="en-US"/>
        </w:rPr>
        <w:t xml:space="preserve">Metabolic rate </w:t>
      </w:r>
    </w:p>
    <w:p w14:paraId="74F237A6" w14:textId="796566C9" w:rsidR="005C3387" w:rsidRDefault="00E55EF8" w:rsidP="00C163A7">
      <w:pPr>
        <w:jc w:val="both"/>
        <w:rPr>
          <w:rFonts w:cstheme="minorHAnsi"/>
          <w:lang w:val="en-US"/>
        </w:rPr>
      </w:pPr>
      <w:r>
        <w:rPr>
          <w:lang w:val="en-US"/>
        </w:rPr>
        <w:t xml:space="preserve">Routine and maximum </w:t>
      </w:r>
      <w:r w:rsidR="00A2226B">
        <w:rPr>
          <w:lang w:val="en-US"/>
        </w:rPr>
        <w:t xml:space="preserve">metabolic rate was measured via the rate of oxygen consumption using </w:t>
      </w:r>
      <w:r w:rsidR="0055379D">
        <w:rPr>
          <w:lang w:val="en-US"/>
        </w:rPr>
        <w:t xml:space="preserve">intermittent flow respirometry. </w:t>
      </w:r>
      <w:r w:rsidR="003D0763">
        <w:rPr>
          <w:rFonts w:cstheme="minorHAnsi"/>
          <w:lang w:val="en-US"/>
        </w:rPr>
        <w:t xml:space="preserve">Chambers were 1.5L in volume and custom built from PVC pipe and </w:t>
      </w:r>
      <w:r w:rsidR="003D0763">
        <w:rPr>
          <w:rFonts w:cstheme="minorHAnsi"/>
          <w:lang w:val="en-US"/>
        </w:rPr>
        <w:lastRenderedPageBreak/>
        <w:t>acrylic (</w:t>
      </w:r>
      <w:r w:rsidR="003D0763">
        <w:rPr>
          <w:rFonts w:cstheme="minorHAnsi"/>
          <w:b/>
          <w:bCs/>
          <w:lang w:val="en-US"/>
        </w:rPr>
        <w:t>SF2</w:t>
      </w:r>
      <w:r w:rsidR="003D0763">
        <w:rPr>
          <w:rFonts w:cstheme="minorHAnsi"/>
          <w:lang w:val="en-US"/>
        </w:rPr>
        <w:t xml:space="preserve">). </w:t>
      </w:r>
      <w:r w:rsidR="0055379D">
        <w:rPr>
          <w:lang w:val="en-US"/>
        </w:rPr>
        <w:t xml:space="preserve">The experimental setup consisted of </w:t>
      </w:r>
      <w:r w:rsidR="00044A2A">
        <w:rPr>
          <w:lang w:val="en-US"/>
        </w:rPr>
        <w:t>two sumps</w:t>
      </w:r>
      <w:r w:rsidR="001E31D5">
        <w:rPr>
          <w:lang w:val="en-US"/>
        </w:rPr>
        <w:t xml:space="preserve"> (</w:t>
      </w:r>
      <w:proofErr w:type="spellStart"/>
      <w:r w:rsidR="001E31D5" w:rsidRPr="001E31D5">
        <w:rPr>
          <w:highlight w:val="yellow"/>
          <w:lang w:val="en-US"/>
        </w:rPr>
        <w:t>volumeL</w:t>
      </w:r>
      <w:proofErr w:type="spellEnd"/>
      <w:r w:rsidR="001E31D5">
        <w:rPr>
          <w:lang w:val="en-US"/>
        </w:rPr>
        <w:t>)</w:t>
      </w:r>
      <w:r w:rsidR="007560D5">
        <w:rPr>
          <w:lang w:val="en-US"/>
        </w:rPr>
        <w:t xml:space="preserve"> with</w:t>
      </w:r>
      <w:r w:rsidR="000C169A">
        <w:rPr>
          <w:lang w:val="en-US"/>
        </w:rPr>
        <w:t xml:space="preserve"> continuous water change and aeration</w:t>
      </w:r>
      <w:r w:rsidR="008B4C55">
        <w:rPr>
          <w:lang w:val="en-US"/>
        </w:rPr>
        <w:t>,</w:t>
      </w:r>
      <w:r w:rsidR="00044A2A">
        <w:rPr>
          <w:lang w:val="en-US"/>
        </w:rPr>
        <w:t xml:space="preserve"> each containing four</w:t>
      </w:r>
      <w:r w:rsidR="00EC3746">
        <w:rPr>
          <w:lang w:val="en-US"/>
        </w:rPr>
        <w:t xml:space="preserve"> respirometry chambers submerged in water</w:t>
      </w:r>
      <w:r w:rsidR="00CB1DFF">
        <w:rPr>
          <w:lang w:val="en-US"/>
        </w:rPr>
        <w:t xml:space="preserve">, </w:t>
      </w:r>
      <w:r w:rsidR="00044A2A">
        <w:rPr>
          <w:lang w:val="en-US"/>
        </w:rPr>
        <w:t>placed in parallel</w:t>
      </w:r>
      <w:r w:rsidR="00CB1DFF">
        <w:rPr>
          <w:lang w:val="en-US"/>
        </w:rPr>
        <w:t>, and</w:t>
      </w:r>
      <w:r w:rsidR="00D9616B">
        <w:rPr>
          <w:lang w:val="en-US"/>
        </w:rPr>
        <w:t xml:space="preserve"> out of view of other chambers</w:t>
      </w:r>
      <w:r w:rsidR="00F850EE">
        <w:rPr>
          <w:lang w:val="en-US"/>
        </w:rPr>
        <w:t xml:space="preserve"> (chambers were opaque except of lids)</w:t>
      </w:r>
      <w:r w:rsidR="00044A2A">
        <w:rPr>
          <w:lang w:val="en-US"/>
        </w:rPr>
        <w:t>.</w:t>
      </w:r>
      <w:r w:rsidR="00051EDA">
        <w:rPr>
          <w:lang w:val="en-US"/>
        </w:rPr>
        <w:t xml:space="preserve"> Each measurement cycle consisted of a</w:t>
      </w:r>
      <w:r w:rsidR="002348D3">
        <w:rPr>
          <w:lang w:val="en-US"/>
        </w:rPr>
        <w:t xml:space="preserve"> </w:t>
      </w:r>
      <w:r w:rsidR="000A41F2">
        <w:rPr>
          <w:lang w:val="en-US"/>
        </w:rPr>
        <w:t>fifteen</w:t>
      </w:r>
      <w:r w:rsidR="002348D3">
        <w:rPr>
          <w:lang w:val="en-US"/>
        </w:rPr>
        <w:t xml:space="preserve"> second wait, </w:t>
      </w:r>
      <w:r w:rsidR="00D40DE7">
        <w:rPr>
          <w:lang w:val="en-US"/>
        </w:rPr>
        <w:t>three-minute-and-forty-five second measurement</w:t>
      </w:r>
      <w:r w:rsidR="00095105">
        <w:rPr>
          <w:lang w:val="en-US"/>
        </w:rPr>
        <w:t xml:space="preserve">, and </w:t>
      </w:r>
      <w:r w:rsidR="00A36E07">
        <w:rPr>
          <w:lang w:val="en-US"/>
        </w:rPr>
        <w:t>three-minute</w:t>
      </w:r>
      <w:r w:rsidR="00095105">
        <w:rPr>
          <w:lang w:val="en-US"/>
        </w:rPr>
        <w:t xml:space="preserve"> flush period.</w:t>
      </w:r>
      <w:r w:rsidR="00044A2A">
        <w:rPr>
          <w:lang w:val="en-US"/>
        </w:rPr>
        <w:t xml:space="preserve"> </w:t>
      </w:r>
      <w:r w:rsidR="00CF1529">
        <w:rPr>
          <w:lang w:val="en-US"/>
        </w:rPr>
        <w:t xml:space="preserve">Each respirometry chamber </w:t>
      </w:r>
      <w:r w:rsidR="00B235A2">
        <w:rPr>
          <w:lang w:val="en-US"/>
        </w:rPr>
        <w:t xml:space="preserve">unit included an </w:t>
      </w:r>
      <w:r w:rsidR="00D92BE7">
        <w:rPr>
          <w:lang w:val="en-US"/>
        </w:rPr>
        <w:t>independent brushless DC recirculation pump (flow rate 240L/H)</w:t>
      </w:r>
      <w:r w:rsidR="00664068">
        <w:rPr>
          <w:lang w:val="en-US"/>
        </w:rPr>
        <w:t xml:space="preserve">, </w:t>
      </w:r>
      <w:r w:rsidR="006A4C24">
        <w:rPr>
          <w:lang w:val="en-US"/>
        </w:rPr>
        <w:t>associated vinyl tubing (compos</w:t>
      </w:r>
      <w:r w:rsidR="00664068">
        <w:rPr>
          <w:lang w:val="en-US"/>
        </w:rPr>
        <w:t>ing</w:t>
      </w:r>
      <w:r w:rsidR="006A4C24">
        <w:rPr>
          <w:lang w:val="en-US"/>
        </w:rPr>
        <w:t xml:space="preserve"> ~1% o</w:t>
      </w:r>
      <w:r w:rsidR="00257B85">
        <w:rPr>
          <w:lang w:val="en-US"/>
        </w:rPr>
        <w:t>f the total water volume</w:t>
      </w:r>
      <w:r w:rsidR="008B4C55">
        <w:rPr>
          <w:lang w:val="en-US"/>
        </w:rPr>
        <w:t>)</w:t>
      </w:r>
      <w:r w:rsidR="00655E5E">
        <w:rPr>
          <w:lang w:val="en-US"/>
        </w:rPr>
        <w:t>,</w:t>
      </w:r>
      <w:r w:rsidR="008B4C55">
        <w:rPr>
          <w:lang w:val="en-US"/>
        </w:rPr>
        <w:t xml:space="preserve"> and</w:t>
      </w:r>
      <w:r w:rsidR="00B235A2">
        <w:rPr>
          <w:lang w:val="en-US"/>
        </w:rPr>
        <w:t xml:space="preserve"> </w:t>
      </w:r>
      <w:r w:rsidR="00790BDA">
        <w:rPr>
          <w:lang w:val="en-US"/>
        </w:rPr>
        <w:t>oxygen sensor probes</w:t>
      </w:r>
      <w:r w:rsidR="00220A77">
        <w:rPr>
          <w:lang w:val="en-US"/>
        </w:rPr>
        <w:t xml:space="preserve"> (</w:t>
      </w:r>
      <w:r w:rsidR="00290477">
        <w:rPr>
          <w:lang w:val="en-US"/>
        </w:rPr>
        <w:t xml:space="preserve">multichannel </w:t>
      </w:r>
      <w:r w:rsidR="00220A77">
        <w:rPr>
          <w:lang w:val="en-US"/>
        </w:rPr>
        <w:t xml:space="preserve">FireStingO2, </w:t>
      </w:r>
      <w:proofErr w:type="spellStart"/>
      <w:r w:rsidR="00220A77">
        <w:rPr>
          <w:lang w:val="en-US"/>
        </w:rPr>
        <w:t>PyroScience</w:t>
      </w:r>
      <w:proofErr w:type="spellEnd"/>
      <w:r w:rsidR="00220A77">
        <w:rPr>
          <w:lang w:val="en-US"/>
        </w:rPr>
        <w:t xml:space="preserve"> GmbH, Aachen, Germ</w:t>
      </w:r>
      <w:r w:rsidR="00875A9F">
        <w:rPr>
          <w:lang w:val="en-US"/>
        </w:rPr>
        <w:t>an</w:t>
      </w:r>
      <w:r w:rsidR="00220A77">
        <w:rPr>
          <w:lang w:val="en-US"/>
        </w:rPr>
        <w:t>y)</w:t>
      </w:r>
      <w:r w:rsidR="00790BDA">
        <w:rPr>
          <w:lang w:val="en-US"/>
        </w:rPr>
        <w:t xml:space="preserve"> with attached sensor spot material</w:t>
      </w:r>
      <w:r w:rsidR="00D92BE7">
        <w:rPr>
          <w:lang w:val="en-US"/>
        </w:rPr>
        <w:t xml:space="preserve"> placed in-circuit</w:t>
      </w:r>
      <w:r w:rsidR="00790BDA">
        <w:rPr>
          <w:lang w:val="en-US"/>
        </w:rPr>
        <w:t>.</w:t>
      </w:r>
      <w:r w:rsidR="00F20EC7">
        <w:rPr>
          <w:lang w:val="en-US"/>
        </w:rPr>
        <w:t xml:space="preserve"> </w:t>
      </w:r>
      <w:r w:rsidR="004D419D">
        <w:rPr>
          <w:lang w:val="en-US"/>
        </w:rPr>
        <w:t xml:space="preserve">Oxygen sensor probes were calibrated </w:t>
      </w:r>
      <w:r w:rsidR="005D78F3">
        <w:rPr>
          <w:lang w:val="en-US"/>
        </w:rPr>
        <w:t>to</w:t>
      </w:r>
      <w:r w:rsidR="004D419D">
        <w:rPr>
          <w:lang w:val="en-US"/>
        </w:rPr>
        <w:t xml:space="preserve"> zero at the beginning of the experiment</w:t>
      </w:r>
      <w:r w:rsidR="005D78F3">
        <w:rPr>
          <w:lang w:val="en-US"/>
        </w:rPr>
        <w:t xml:space="preserve"> and/or if spot material was </w:t>
      </w:r>
      <w:r w:rsidR="00A36E07">
        <w:rPr>
          <w:lang w:val="en-US"/>
        </w:rPr>
        <w:t xml:space="preserve">replaced and were calibrated </w:t>
      </w:r>
      <w:r w:rsidR="00D92BE7">
        <w:rPr>
          <w:lang w:val="en-US"/>
        </w:rPr>
        <w:t>to</w:t>
      </w:r>
      <w:r w:rsidR="00A36E07">
        <w:rPr>
          <w:lang w:val="en-US"/>
        </w:rPr>
        <w:t xml:space="preserve"> one hundred percent at the beginning of each </w:t>
      </w:r>
      <w:r w:rsidR="00655E5E">
        <w:rPr>
          <w:lang w:val="en-US"/>
        </w:rPr>
        <w:t>trial</w:t>
      </w:r>
      <w:r w:rsidR="00A36E07">
        <w:rPr>
          <w:lang w:val="en-US"/>
        </w:rPr>
        <w:t>.</w:t>
      </w:r>
      <w:r w:rsidR="005D78F3">
        <w:rPr>
          <w:lang w:val="en-US"/>
        </w:rPr>
        <w:t xml:space="preserve"> </w:t>
      </w:r>
      <w:r w:rsidR="00F20EC7">
        <w:rPr>
          <w:lang w:val="en-US"/>
        </w:rPr>
        <w:t xml:space="preserve">During flush periods </w:t>
      </w:r>
      <w:r w:rsidR="00193A7A">
        <w:rPr>
          <w:lang w:val="en-US"/>
        </w:rPr>
        <w:t xml:space="preserve">an </w:t>
      </w:r>
      <w:r w:rsidR="00F20EC7">
        <w:rPr>
          <w:lang w:val="en-US"/>
        </w:rPr>
        <w:t>AQUAPRO (AP750LV) pumps (750L/H) w</w:t>
      </w:r>
      <w:r w:rsidR="00193A7A">
        <w:rPr>
          <w:lang w:val="en-US"/>
        </w:rPr>
        <w:t>as</w:t>
      </w:r>
      <w:r w:rsidR="00F20EC7">
        <w:rPr>
          <w:lang w:val="en-US"/>
        </w:rPr>
        <w:t xml:space="preserve"> used to flush four chambers </w:t>
      </w:r>
      <w:r w:rsidR="006F3534">
        <w:rPr>
          <w:lang w:val="en-US"/>
        </w:rPr>
        <w:t>simultaneously</w:t>
      </w:r>
      <w:r w:rsidR="00F20EC7">
        <w:rPr>
          <w:lang w:val="en-US"/>
        </w:rPr>
        <w:t xml:space="preserve">. </w:t>
      </w:r>
      <w:r w:rsidR="00B62B2B" w:rsidRPr="00193A7A">
        <w:rPr>
          <w:highlight w:val="cyan"/>
          <w:lang w:val="en-US"/>
        </w:rPr>
        <w:t>XXXX</w:t>
      </w:r>
      <w:r w:rsidR="00B62B2B">
        <w:rPr>
          <w:lang w:val="en-US"/>
        </w:rPr>
        <w:t xml:space="preserve"> heaters and temperature sensors were used to ensure that experimental temperatures remained within </w:t>
      </w:r>
      <w:r w:rsidR="004B4076">
        <w:rPr>
          <w:lang w:val="en-US"/>
        </w:rPr>
        <w:t>+/-0.3</w:t>
      </w:r>
      <w:r w:rsidR="004B4076">
        <w:rPr>
          <w:rFonts w:cstheme="minorHAnsi"/>
          <w:lang w:val="en-US"/>
        </w:rPr>
        <w:t xml:space="preserve">°C of </w:t>
      </w:r>
      <w:r w:rsidR="00EB13D3">
        <w:rPr>
          <w:rFonts w:cstheme="minorHAnsi"/>
          <w:lang w:val="en-US"/>
        </w:rPr>
        <w:t>experimental temperature</w:t>
      </w:r>
      <w:r w:rsidR="004B4076">
        <w:rPr>
          <w:rFonts w:cstheme="minorHAnsi"/>
          <w:lang w:val="en-US"/>
        </w:rPr>
        <w:t xml:space="preserve"> set points. UV filters</w:t>
      </w:r>
      <w:r w:rsidR="000C169A">
        <w:rPr>
          <w:rFonts w:cstheme="minorHAnsi"/>
          <w:lang w:val="en-US"/>
        </w:rPr>
        <w:t>, one-hundred-micron bag filters, and daily cleaning of equipment</w:t>
      </w:r>
      <w:r w:rsidR="00FB047D">
        <w:rPr>
          <w:rFonts w:cstheme="minorHAnsi"/>
          <w:lang w:val="en-US"/>
        </w:rPr>
        <w:t xml:space="preserve"> </w:t>
      </w:r>
      <w:r w:rsidR="00193A7A">
        <w:rPr>
          <w:rFonts w:cstheme="minorHAnsi"/>
          <w:lang w:val="en-US"/>
        </w:rPr>
        <w:t xml:space="preserve">(bleach diluted to 200ppm with fresh water) </w:t>
      </w:r>
      <w:r w:rsidR="00FB047D">
        <w:rPr>
          <w:rFonts w:cstheme="minorHAnsi"/>
          <w:lang w:val="en-US"/>
        </w:rPr>
        <w:t>ensure</w:t>
      </w:r>
      <w:r w:rsidR="003D0763">
        <w:rPr>
          <w:rFonts w:cstheme="minorHAnsi"/>
          <w:lang w:val="en-US"/>
        </w:rPr>
        <w:t>d</w:t>
      </w:r>
      <w:r w:rsidR="00FB047D">
        <w:rPr>
          <w:rFonts w:cstheme="minorHAnsi"/>
          <w:lang w:val="en-US"/>
        </w:rPr>
        <w:t xml:space="preserve"> minimal background respiration rates</w:t>
      </w:r>
      <w:r w:rsidR="001E31D5">
        <w:rPr>
          <w:rFonts w:cstheme="minorHAnsi"/>
          <w:lang w:val="en-US"/>
        </w:rPr>
        <w:t xml:space="preserve">. </w:t>
      </w:r>
      <w:r w:rsidR="005C3387">
        <w:rPr>
          <w:rFonts w:cstheme="minorHAnsi"/>
          <w:lang w:val="en-US"/>
        </w:rPr>
        <w:t>Fish were deprived of food 18-24 hours before trials began</w:t>
      </w:r>
      <w:r w:rsidR="005D48B1">
        <w:rPr>
          <w:rFonts w:cstheme="minorHAnsi"/>
          <w:lang w:val="en-US"/>
        </w:rPr>
        <w:t xml:space="preserve"> and sampled in </w:t>
      </w:r>
      <w:r w:rsidR="00DE69E7">
        <w:rPr>
          <w:rFonts w:cstheme="minorHAnsi"/>
          <w:lang w:val="en-US"/>
        </w:rPr>
        <w:t>a fully lit room</w:t>
      </w:r>
      <w:r w:rsidR="005C3387">
        <w:rPr>
          <w:rFonts w:cstheme="minorHAnsi"/>
          <w:lang w:val="en-US"/>
        </w:rPr>
        <w:t xml:space="preserve"> to </w:t>
      </w:r>
      <w:r w:rsidR="004356E4">
        <w:rPr>
          <w:rFonts w:cstheme="minorHAnsi"/>
          <w:lang w:val="en-US"/>
        </w:rPr>
        <w:t>eliminate metabolic costs associated with digestion</w:t>
      </w:r>
      <w:r w:rsidR="00DE69E7">
        <w:rPr>
          <w:rFonts w:cstheme="minorHAnsi"/>
          <w:lang w:val="en-US"/>
        </w:rPr>
        <w:t xml:space="preserve"> and photoperiod, respectively</w:t>
      </w:r>
      <w:r w:rsidR="00220A77">
        <w:rPr>
          <w:rFonts w:cstheme="minorHAnsi"/>
          <w:lang w:val="en-US"/>
        </w:rPr>
        <w:t xml:space="preserve"> [</w:t>
      </w:r>
      <w:r w:rsidR="00220A77" w:rsidRPr="00220A77">
        <w:rPr>
          <w:rFonts w:cstheme="minorHAnsi"/>
          <w:highlight w:val="yellow"/>
          <w:lang w:val="en-US"/>
        </w:rPr>
        <w:t>citation</w:t>
      </w:r>
      <w:r w:rsidR="00220A77">
        <w:rPr>
          <w:rFonts w:cstheme="minorHAnsi"/>
          <w:lang w:val="en-US"/>
        </w:rPr>
        <w:t>]</w:t>
      </w:r>
      <w:r w:rsidR="00DB298C">
        <w:rPr>
          <w:rFonts w:cstheme="minorHAnsi"/>
          <w:lang w:val="en-US"/>
        </w:rPr>
        <w:t>.</w:t>
      </w:r>
      <w:r w:rsidR="00220A77">
        <w:rPr>
          <w:rFonts w:cstheme="minorHAnsi"/>
          <w:lang w:val="en-US"/>
        </w:rPr>
        <w:t xml:space="preserve"> </w:t>
      </w:r>
    </w:p>
    <w:p w14:paraId="654DB4DC" w14:textId="77777777" w:rsidR="009F1282" w:rsidRDefault="009F1282" w:rsidP="009F1282">
      <w:pPr>
        <w:pStyle w:val="Heading3"/>
        <w:rPr>
          <w:lang w:val="en-US"/>
        </w:rPr>
      </w:pPr>
      <w:r>
        <w:rPr>
          <w:lang w:val="en-US"/>
        </w:rPr>
        <w:t xml:space="preserve">Maximum metabolic rate (MMR) </w:t>
      </w:r>
    </w:p>
    <w:p w14:paraId="403C531F" w14:textId="3E58918E" w:rsidR="009F1282" w:rsidRPr="009F1282" w:rsidRDefault="009F1282" w:rsidP="00C163A7">
      <w:pPr>
        <w:jc w:val="both"/>
        <w:rPr>
          <w:lang w:val="en-US"/>
        </w:rPr>
      </w:pPr>
      <w:r>
        <w:rPr>
          <w:lang w:val="en-US"/>
        </w:rPr>
        <w:t>To measure maximum metabolic rate (MMR) fish were placed in a swim tunnel for ten minutes. During the first five-minute interval</w:t>
      </w:r>
      <w:r w:rsidR="003E16CA">
        <w:rPr>
          <w:lang w:val="en-US"/>
        </w:rPr>
        <w:t>,</w:t>
      </w:r>
      <w:r>
        <w:rPr>
          <w:lang w:val="en-US"/>
        </w:rPr>
        <w:t xml:space="preserve"> the speed of the swim tunnel was slowly increased until fish displayed a change in gait swimming behavior, defined as a transitioning behavior between predominately pectoral swimming to predominately body/tail undulations (</w:t>
      </w:r>
      <w:r>
        <w:rPr>
          <w:b/>
          <w:bCs/>
          <w:lang w:val="en-US"/>
        </w:rPr>
        <w:t>SV1</w:t>
      </w:r>
      <w:r>
        <w:rPr>
          <w:lang w:val="en-US"/>
        </w:rPr>
        <w:t>). The speed of the swim tunnel that produced this intermediary transitional swimming behavior was maintained for the second five-minute interval to achieve maximum aerobic performance. Immediately after the ten-minute swimming period</w:t>
      </w:r>
      <w:r w:rsidR="00C72328">
        <w:rPr>
          <w:lang w:val="en-US"/>
        </w:rPr>
        <w:t>,</w:t>
      </w:r>
      <w:r>
        <w:rPr>
          <w:lang w:val="en-US"/>
        </w:rPr>
        <w:t xml:space="preserve"> fish were collected by hand and transferred to respiration chambers. Time between fish </w:t>
      </w:r>
      <w:r w:rsidR="00C72328">
        <w:rPr>
          <w:lang w:val="en-US"/>
        </w:rPr>
        <w:t>being</w:t>
      </w:r>
      <w:r>
        <w:rPr>
          <w:lang w:val="en-US"/>
        </w:rPr>
        <w:t xml:space="preserve"> placed in respiration chambers and </w:t>
      </w:r>
      <w:r w:rsidR="00C72328">
        <w:rPr>
          <w:lang w:val="en-US"/>
        </w:rPr>
        <w:t xml:space="preserve">the of </w:t>
      </w:r>
      <w:r>
        <w:rPr>
          <w:lang w:val="en-US"/>
        </w:rPr>
        <w:t>data</w:t>
      </w:r>
      <w:r w:rsidR="00C72328">
        <w:rPr>
          <w:lang w:val="en-US"/>
        </w:rPr>
        <w:t xml:space="preserve"> </w:t>
      </w:r>
      <w:proofErr w:type="gramStart"/>
      <w:r w:rsidR="00C72328">
        <w:rPr>
          <w:lang w:val="en-US"/>
        </w:rPr>
        <w:t xml:space="preserve">being  </w:t>
      </w:r>
      <w:r>
        <w:rPr>
          <w:lang w:val="en-US"/>
        </w:rPr>
        <w:t>recorded</w:t>
      </w:r>
      <w:proofErr w:type="gramEnd"/>
      <w:r>
        <w:rPr>
          <w:lang w:val="en-US"/>
        </w:rPr>
        <w:t xml:space="preserve"> was </w:t>
      </w:r>
      <w:r w:rsidR="00C72328">
        <w:rPr>
          <w:lang w:val="en-US"/>
        </w:rPr>
        <w:t>measured</w:t>
      </w:r>
      <w:r>
        <w:rPr>
          <w:lang w:val="en-US"/>
        </w:rPr>
        <w:t xml:space="preserve"> to</w:t>
      </w:r>
      <w:r w:rsidR="00C72328">
        <w:rPr>
          <w:lang w:val="en-US"/>
        </w:rPr>
        <w:t xml:space="preserve"> be</w:t>
      </w:r>
      <w:r>
        <w:rPr>
          <w:lang w:val="en-US"/>
        </w:rPr>
        <w:t xml:space="preserve"> less than </w:t>
      </w:r>
      <w:r w:rsidR="00C72328">
        <w:rPr>
          <w:lang w:val="en-US"/>
        </w:rPr>
        <w:t xml:space="preserve">ten </w:t>
      </w:r>
      <w:r>
        <w:rPr>
          <w:lang w:val="en-US"/>
        </w:rPr>
        <w:t xml:space="preserve">seconds. MMR was measured over a </w:t>
      </w:r>
      <w:r w:rsidR="009312A1">
        <w:rPr>
          <w:lang w:val="en-US"/>
        </w:rPr>
        <w:t>thirty</w:t>
      </w:r>
      <w:r>
        <w:rPr>
          <w:lang w:val="en-US"/>
        </w:rPr>
        <w:t xml:space="preserve"> second </w:t>
      </w:r>
      <w:r w:rsidR="009312A1">
        <w:rPr>
          <w:lang w:val="en-US"/>
        </w:rPr>
        <w:t>interval</w:t>
      </w:r>
      <w:r>
        <w:rPr>
          <w:lang w:val="en-US"/>
        </w:rPr>
        <w:t xml:space="preserve"> via rolling regressions within the </w:t>
      </w:r>
      <w:r>
        <w:rPr>
          <w:i/>
          <w:iCs/>
          <w:lang w:val="en-US"/>
        </w:rPr>
        <w:t>‘</w:t>
      </w:r>
      <w:proofErr w:type="spellStart"/>
      <w:r w:rsidRPr="00AC5EBD">
        <w:rPr>
          <w:lang w:val="en-US"/>
        </w:rPr>
        <w:t>auto_rate</w:t>
      </w:r>
      <w:proofErr w:type="spellEnd"/>
      <w:r w:rsidRPr="00AC5EBD">
        <w:rPr>
          <w:lang w:val="en-US"/>
        </w:rPr>
        <w:t>’</w:t>
      </w:r>
      <w:r>
        <w:rPr>
          <w:lang w:val="en-US"/>
        </w:rPr>
        <w:t xml:space="preserve"> function included in the R package </w:t>
      </w:r>
      <w:r w:rsidR="00AC5EBD">
        <w:rPr>
          <w:lang w:val="en-US"/>
        </w:rPr>
        <w:t>‘</w:t>
      </w:r>
      <w:proofErr w:type="spellStart"/>
      <w:r>
        <w:rPr>
          <w:i/>
          <w:iCs/>
          <w:lang w:val="en-US"/>
        </w:rPr>
        <w:t>respR</w:t>
      </w:r>
      <w:proofErr w:type="spellEnd"/>
      <w:r w:rsidR="00AC5EBD">
        <w:rPr>
          <w:i/>
          <w:iCs/>
          <w:lang w:val="en-US"/>
        </w:rPr>
        <w:t xml:space="preserve">’ </w:t>
      </w:r>
      <w:r w:rsidR="00AC5EBD">
        <w:rPr>
          <w:rFonts w:eastAsiaTheme="minorEastAsia"/>
          <w:lang w:val="en-US"/>
        </w:rPr>
        <w:t>(v2.0.1)</w:t>
      </w:r>
      <w:r>
        <w:rPr>
          <w:lang w:val="en-US"/>
        </w:rPr>
        <w:t xml:space="preserve">. The steepest slope (highest oxygen consumption rate) with an </w:t>
      </w:r>
      <w:r>
        <w:rPr>
          <w:rFonts w:eastAsiaTheme="minorEastAsia"/>
          <w:i/>
          <w:iCs/>
          <w:lang w:val="en-US"/>
        </w:rPr>
        <w:t>r</w:t>
      </w:r>
      <w:r>
        <w:rPr>
          <w:rFonts w:eastAsiaTheme="minorEastAsia"/>
          <w:i/>
          <w:iCs/>
          <w:vertAlign w:val="superscript"/>
          <w:lang w:val="en-US"/>
        </w:rPr>
        <w:t>2</w:t>
      </w:r>
      <w:r>
        <w:rPr>
          <w:rFonts w:eastAsiaTheme="minorEastAsia"/>
          <w:i/>
          <w:iCs/>
          <w:lang w:val="en-US"/>
        </w:rPr>
        <w:t xml:space="preserve"> </w:t>
      </w:r>
      <w:r>
        <w:rPr>
          <w:rFonts w:eastAsiaTheme="minorEastAsia"/>
          <w:lang w:val="en-US"/>
        </w:rPr>
        <w:t xml:space="preserve">threshold of 0.95 was used to determine MMR. </w:t>
      </w:r>
      <w:r>
        <w:rPr>
          <w:lang w:val="en-US"/>
        </w:rPr>
        <w:t xml:space="preserve">MMR was measured prior to RMR. </w:t>
      </w:r>
    </w:p>
    <w:p w14:paraId="37A2D051" w14:textId="523EEE46" w:rsidR="00E55EF8" w:rsidRDefault="00E55EF8" w:rsidP="00E55EF8">
      <w:pPr>
        <w:pStyle w:val="Heading3"/>
        <w:rPr>
          <w:lang w:val="en-US"/>
        </w:rPr>
      </w:pPr>
      <w:r>
        <w:rPr>
          <w:lang w:val="en-US"/>
        </w:rPr>
        <w:t xml:space="preserve">Routine metabolic rate (RMR) </w:t>
      </w:r>
    </w:p>
    <w:p w14:paraId="474FEA51" w14:textId="4AA70BD5" w:rsidR="00C46FD5" w:rsidRPr="00EC30AA" w:rsidRDefault="005354DC" w:rsidP="00C46FD5">
      <w:pPr>
        <w:jc w:val="both"/>
        <w:rPr>
          <w:b/>
          <w:bCs/>
          <w:lang w:val="en-US"/>
        </w:rPr>
      </w:pPr>
      <w:r>
        <w:rPr>
          <w:lang w:val="en-US"/>
        </w:rPr>
        <w:t>Fish were</w:t>
      </w:r>
      <w:r w:rsidR="00AE35BC">
        <w:rPr>
          <w:lang w:val="en-US"/>
        </w:rPr>
        <w:t xml:space="preserve"> randomly</w:t>
      </w:r>
      <w:r>
        <w:rPr>
          <w:lang w:val="en-US"/>
        </w:rPr>
        <w:t xml:space="preserve"> placed in individual</w:t>
      </w:r>
      <w:r w:rsidR="00F92A44">
        <w:rPr>
          <w:lang w:val="en-US"/>
        </w:rPr>
        <w:t xml:space="preserve"> respirometry </w:t>
      </w:r>
      <w:r w:rsidR="00B05552">
        <w:rPr>
          <w:lang w:val="en-US"/>
        </w:rPr>
        <w:t>chambers,</w:t>
      </w:r>
      <w:r w:rsidR="00F92A44">
        <w:rPr>
          <w:lang w:val="en-US"/>
        </w:rPr>
        <w:t xml:space="preserve"> and their oxygen consumption was measured over a </w:t>
      </w:r>
      <w:r w:rsidR="00A62D79">
        <w:rPr>
          <w:lang w:val="en-US"/>
        </w:rPr>
        <w:t>3.5 – 6</w:t>
      </w:r>
      <w:r w:rsidR="0048335B">
        <w:rPr>
          <w:lang w:val="en-US"/>
        </w:rPr>
        <w:t>hr</w:t>
      </w:r>
      <w:r w:rsidR="00A62D79">
        <w:rPr>
          <w:lang w:val="en-US"/>
        </w:rPr>
        <w:t xml:space="preserve"> </w:t>
      </w:r>
      <w:r w:rsidR="007C2234">
        <w:rPr>
          <w:lang w:val="en-US"/>
        </w:rPr>
        <w:t>(</w:t>
      </w:r>
      <m:oMath>
        <m:acc>
          <m:accPr>
            <m:chr m:val="̅"/>
            <m:ctrlPr>
              <w:rPr>
                <w:rFonts w:ascii="Cambria Math" w:hAnsi="Cambria Math"/>
                <w:i/>
                <w:lang w:val="en-US"/>
              </w:rPr>
            </m:ctrlPr>
          </m:accPr>
          <m:e>
            <m:r>
              <w:rPr>
                <w:rFonts w:ascii="Cambria Math" w:hAnsi="Cambria Math"/>
                <w:lang w:val="en-US"/>
              </w:rPr>
              <m:t>x</m:t>
            </m:r>
          </m:e>
        </m:acc>
      </m:oMath>
      <w:r w:rsidR="00613B51">
        <w:rPr>
          <w:rFonts w:eastAsiaTheme="minorEastAsia"/>
          <w:lang w:val="en-US"/>
        </w:rPr>
        <w:t xml:space="preserve"> =4.</w:t>
      </w:r>
      <w:r w:rsidR="00B05552">
        <w:rPr>
          <w:rFonts w:eastAsiaTheme="minorEastAsia"/>
          <w:lang w:val="en-US"/>
        </w:rPr>
        <w:t xml:space="preserve">67hrs) </w:t>
      </w:r>
      <w:r w:rsidR="0048335B">
        <w:rPr>
          <w:rFonts w:eastAsiaTheme="minorEastAsia"/>
          <w:lang w:val="en-US"/>
        </w:rPr>
        <w:t>period</w:t>
      </w:r>
      <w:r w:rsidR="00B05552">
        <w:rPr>
          <w:rFonts w:eastAsiaTheme="minorEastAsia"/>
          <w:lang w:val="en-US"/>
        </w:rPr>
        <w:t xml:space="preserve">. </w:t>
      </w:r>
      <w:r w:rsidR="0048335B">
        <w:rPr>
          <w:rFonts w:eastAsiaTheme="minorEastAsia"/>
          <w:lang w:val="en-US"/>
        </w:rPr>
        <w:t>Oxygen c</w:t>
      </w:r>
      <w:r w:rsidR="00711A83">
        <w:rPr>
          <w:rFonts w:eastAsiaTheme="minorEastAsia"/>
          <w:lang w:val="en-US"/>
        </w:rPr>
        <w:t xml:space="preserve">oncentration (percent air </w:t>
      </w:r>
      <w:r w:rsidR="00DF21B8">
        <w:rPr>
          <w:rFonts w:eastAsiaTheme="minorEastAsia"/>
          <w:lang w:val="en-US"/>
        </w:rPr>
        <w:t>saturation</w:t>
      </w:r>
      <w:r w:rsidR="00711A83">
        <w:rPr>
          <w:rFonts w:eastAsiaTheme="minorEastAsia"/>
          <w:lang w:val="en-US"/>
        </w:rPr>
        <w:t>) was measured</w:t>
      </w:r>
      <w:r w:rsidR="006B34F1">
        <w:rPr>
          <w:rFonts w:eastAsiaTheme="minorEastAsia"/>
          <w:lang w:val="en-US"/>
        </w:rPr>
        <w:t xml:space="preserve"> continuously</w:t>
      </w:r>
      <w:r w:rsidR="00711A83">
        <w:rPr>
          <w:rFonts w:eastAsiaTheme="minorEastAsia"/>
          <w:lang w:val="en-US"/>
        </w:rPr>
        <w:t xml:space="preserve"> every</w:t>
      </w:r>
      <w:r w:rsidR="00DF21B8">
        <w:rPr>
          <w:rFonts w:eastAsiaTheme="minorEastAsia"/>
          <w:lang w:val="en-US"/>
        </w:rPr>
        <w:t xml:space="preserve"> ~1.14 seconds and </w:t>
      </w:r>
      <w:r w:rsidR="006F19FF">
        <w:rPr>
          <w:rFonts w:eastAsiaTheme="minorEastAsia"/>
          <w:lang w:val="en-US"/>
        </w:rPr>
        <w:t xml:space="preserve">did not drop below 80% air saturation. </w:t>
      </w:r>
      <w:r w:rsidR="00BE627E">
        <w:rPr>
          <w:rFonts w:eastAsiaTheme="minorEastAsia"/>
          <w:lang w:val="en-US"/>
        </w:rPr>
        <w:t xml:space="preserve">Oxygen consumption rates were measured over </w:t>
      </w:r>
      <w:r w:rsidR="00197ECD">
        <w:rPr>
          <w:rFonts w:eastAsiaTheme="minorEastAsia"/>
          <w:lang w:val="en-US"/>
        </w:rPr>
        <w:t>a three-minute and forty</w:t>
      </w:r>
      <w:r w:rsidR="00A43631">
        <w:rPr>
          <w:rFonts w:eastAsiaTheme="minorEastAsia"/>
          <w:lang w:val="en-US"/>
        </w:rPr>
        <w:t>-five</w:t>
      </w:r>
      <w:r w:rsidR="00197ECD">
        <w:rPr>
          <w:rFonts w:eastAsiaTheme="minorEastAsia"/>
          <w:lang w:val="en-US"/>
        </w:rPr>
        <w:t xml:space="preserve"> second interval with an </w:t>
      </w:r>
      <w:r w:rsidR="00197ECD">
        <w:rPr>
          <w:rFonts w:eastAsiaTheme="minorEastAsia"/>
          <w:i/>
          <w:iCs/>
          <w:lang w:val="en-US"/>
        </w:rPr>
        <w:t>r</w:t>
      </w:r>
      <w:r w:rsidR="00197ECD">
        <w:rPr>
          <w:rFonts w:eastAsiaTheme="minorEastAsia"/>
          <w:i/>
          <w:iCs/>
          <w:vertAlign w:val="superscript"/>
          <w:lang w:val="en-US"/>
        </w:rPr>
        <w:t>2</w:t>
      </w:r>
      <w:r w:rsidR="00197ECD">
        <w:rPr>
          <w:rFonts w:eastAsiaTheme="minorEastAsia"/>
          <w:i/>
          <w:iCs/>
          <w:lang w:val="en-US"/>
        </w:rPr>
        <w:t xml:space="preserve"> </w:t>
      </w:r>
      <w:r w:rsidR="00197ECD">
        <w:rPr>
          <w:rFonts w:eastAsiaTheme="minorEastAsia"/>
          <w:lang w:val="en-US"/>
        </w:rPr>
        <w:t>threshold of 0.95</w:t>
      </w:r>
      <w:r w:rsidR="00714B77">
        <w:rPr>
          <w:rFonts w:eastAsiaTheme="minorEastAsia"/>
          <w:lang w:val="en-US"/>
        </w:rPr>
        <w:t>.</w:t>
      </w:r>
      <w:r w:rsidR="00197ECD">
        <w:rPr>
          <w:rFonts w:eastAsiaTheme="minorEastAsia"/>
          <w:i/>
          <w:iCs/>
          <w:lang w:val="en-US"/>
        </w:rPr>
        <w:t xml:space="preserve"> </w:t>
      </w:r>
      <w:r w:rsidR="00EA29BC">
        <w:rPr>
          <w:rFonts w:eastAsiaTheme="minorEastAsia"/>
          <w:lang w:val="en-US"/>
        </w:rPr>
        <w:t xml:space="preserve">Routine metabolic rate </w:t>
      </w:r>
      <w:r w:rsidR="00352612">
        <w:rPr>
          <w:rFonts w:eastAsiaTheme="minorEastAsia"/>
          <w:lang w:val="en-US"/>
        </w:rPr>
        <w:t>w</w:t>
      </w:r>
      <w:r w:rsidR="006A2FE6">
        <w:rPr>
          <w:rFonts w:eastAsiaTheme="minorEastAsia"/>
          <w:lang w:val="en-US"/>
        </w:rPr>
        <w:t>as</w:t>
      </w:r>
      <w:r w:rsidR="00EA29BC">
        <w:rPr>
          <w:rFonts w:eastAsiaTheme="minorEastAsia"/>
          <w:lang w:val="en-US"/>
        </w:rPr>
        <w:t xml:space="preserve"> </w:t>
      </w:r>
      <w:r w:rsidR="006A2FE6">
        <w:rPr>
          <w:rFonts w:eastAsiaTheme="minorEastAsia"/>
          <w:lang w:val="en-US"/>
        </w:rPr>
        <w:t>measured</w:t>
      </w:r>
      <w:r w:rsidR="00A443E8">
        <w:rPr>
          <w:rFonts w:eastAsiaTheme="minorEastAsia"/>
          <w:lang w:val="en-US"/>
        </w:rPr>
        <w:t xml:space="preserve"> by taking </w:t>
      </w:r>
      <w:r w:rsidR="006E7046">
        <w:rPr>
          <w:rFonts w:eastAsiaTheme="minorEastAsia"/>
          <w:lang w:val="en-US"/>
        </w:rPr>
        <w:t>the mean of lowest five oxygen consumption</w:t>
      </w:r>
      <w:r w:rsidR="009312A1">
        <w:rPr>
          <w:rFonts w:eastAsiaTheme="minorEastAsia"/>
          <w:lang w:val="en-US"/>
        </w:rPr>
        <w:t xml:space="preserve"> slopes</w:t>
      </w:r>
      <w:r w:rsidR="006E7046">
        <w:rPr>
          <w:rFonts w:eastAsiaTheme="minorEastAsia"/>
          <w:lang w:val="en-US"/>
        </w:rPr>
        <w:t>.</w:t>
      </w:r>
      <w:r w:rsidR="00352612">
        <w:rPr>
          <w:rFonts w:eastAsiaTheme="minorEastAsia"/>
          <w:lang w:val="en-US"/>
        </w:rPr>
        <w:t xml:space="preserve"> </w:t>
      </w:r>
      <w:r w:rsidR="00B85ECA">
        <w:rPr>
          <w:lang w:val="en-US"/>
        </w:rPr>
        <w:t>Background respiration was measured at the start of each trial by measuring oxygen consumption within empty chambers for at least three consecutive cycles. Background respiration levels were minuscule and typically accounted for &lt;2% of measured oxygen usage rates</w:t>
      </w:r>
      <w:r w:rsidR="00A95F6A">
        <w:rPr>
          <w:lang w:val="en-US"/>
        </w:rPr>
        <w:t xml:space="preserve"> and were subsequently ignored</w:t>
      </w:r>
      <w:r w:rsidR="00B85ECA" w:rsidRPr="00F342BC">
        <w:rPr>
          <w:lang w:val="en-US"/>
        </w:rPr>
        <w:t xml:space="preserve">. </w:t>
      </w:r>
      <w:r w:rsidR="00C46FD5" w:rsidRPr="00F342BC">
        <w:rPr>
          <w:lang w:val="en-US"/>
        </w:rPr>
        <w:t>Mass of fish was measured at the end of respiratory trials</w:t>
      </w:r>
      <w:r w:rsidR="00F342BC" w:rsidRPr="00F342BC">
        <w:rPr>
          <w:lang w:val="en-US"/>
        </w:rPr>
        <w:t>,</w:t>
      </w:r>
      <w:r w:rsidR="00C46FD5" w:rsidRPr="00F342BC">
        <w:rPr>
          <w:lang w:val="en-US"/>
        </w:rPr>
        <w:t xml:space="preserve"> after fish had been euthanized and patted dry with paper towel to avoid the inclusion of excess moisture. The net respirometer volume of chambers ranged from 1:116 to 1:36 depending on the size of each fish. </w:t>
      </w:r>
      <w:r w:rsidR="00B71323">
        <w:rPr>
          <w:rFonts w:eastAsiaTheme="minorEastAsia"/>
          <w:lang w:val="en-US"/>
        </w:rPr>
        <w:t xml:space="preserve">Oxygen consumption rates were converted from percent air saturation values via the </w:t>
      </w:r>
      <w:r w:rsidR="00B71323">
        <w:rPr>
          <w:rFonts w:eastAsiaTheme="minorEastAsia"/>
          <w:i/>
          <w:iCs/>
          <w:lang w:val="en-US"/>
        </w:rPr>
        <w:t>‘</w:t>
      </w:r>
      <w:proofErr w:type="spellStart"/>
      <w:r w:rsidR="00B71323">
        <w:rPr>
          <w:rFonts w:eastAsiaTheme="minorEastAsia"/>
          <w:i/>
          <w:iCs/>
          <w:lang w:val="en-US"/>
        </w:rPr>
        <w:t>convert_rate</w:t>
      </w:r>
      <w:proofErr w:type="spellEnd"/>
      <w:r w:rsidR="00B71323">
        <w:rPr>
          <w:rFonts w:eastAsiaTheme="minorEastAsia"/>
          <w:i/>
          <w:iCs/>
          <w:lang w:val="en-US"/>
        </w:rPr>
        <w:t>’</w:t>
      </w:r>
      <w:r w:rsidR="00B71323">
        <w:rPr>
          <w:rFonts w:eastAsiaTheme="minorEastAsia"/>
          <w:lang w:val="en-US"/>
        </w:rPr>
        <w:t xml:space="preserve"> function within the R package </w:t>
      </w:r>
      <w:proofErr w:type="spellStart"/>
      <w:r w:rsidR="00B71323">
        <w:rPr>
          <w:rFonts w:eastAsiaTheme="minorEastAsia"/>
          <w:i/>
          <w:iCs/>
          <w:lang w:val="en-US"/>
        </w:rPr>
        <w:t>respR</w:t>
      </w:r>
      <w:proofErr w:type="spellEnd"/>
      <w:r w:rsidR="00B71323">
        <w:rPr>
          <w:rFonts w:eastAsiaTheme="minorEastAsia"/>
          <w:lang w:val="en-US"/>
        </w:rPr>
        <w:t xml:space="preserve"> [</w:t>
      </w:r>
      <w:r w:rsidR="00B71323" w:rsidRPr="00352612">
        <w:rPr>
          <w:rFonts w:eastAsiaTheme="minorEastAsia"/>
          <w:highlight w:val="yellow"/>
          <w:lang w:val="en-US"/>
        </w:rPr>
        <w:t>citation</w:t>
      </w:r>
      <w:r w:rsidR="00B71323">
        <w:rPr>
          <w:rFonts w:eastAsiaTheme="minorEastAsia"/>
          <w:lang w:val="en-US"/>
        </w:rPr>
        <w:t>].</w:t>
      </w:r>
    </w:p>
    <w:p w14:paraId="138991FF" w14:textId="77777777" w:rsidR="00486F92" w:rsidRDefault="00486F92" w:rsidP="00486F92">
      <w:pPr>
        <w:pStyle w:val="Heading2"/>
        <w:rPr>
          <w:lang w:val="en-US"/>
        </w:rPr>
      </w:pPr>
      <w:r>
        <w:rPr>
          <w:lang w:val="en-US"/>
        </w:rPr>
        <w:t xml:space="preserve">Phytohemagglutinin (PHA) </w:t>
      </w:r>
    </w:p>
    <w:p w14:paraId="0DD87707" w14:textId="7B0A9CCB" w:rsidR="00AA33DC" w:rsidRDefault="00A47E71" w:rsidP="000105CE">
      <w:pPr>
        <w:rPr>
          <w:lang w:val="en-US"/>
        </w:rPr>
      </w:pPr>
      <w:r>
        <w:rPr>
          <w:lang w:val="en-US"/>
        </w:rPr>
        <w:t>PHA injections produce a cell-mediated response (e.g., inflammation and T-cell proliferation), representing a local cellular immune response</w:t>
      </w:r>
      <w:r>
        <w:rPr>
          <w:lang w:val="en-US"/>
        </w:rPr>
        <w:fldChar w:fldCharType="begin" w:fldLock="1"/>
      </w:r>
      <w:r w:rsidR="00117C30">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lt;sup&gt;25&lt;/sup&gt;","plainTextFormattedCitation":"25","previouslyFormattedCitation":"&lt;sup&gt;25&lt;/sup&gt;"},"properties":{"noteIndex":0},"schema":"https://github.com/citation-style-language/schema/raw/master/csl-citation.json"}</w:instrText>
      </w:r>
      <w:r>
        <w:rPr>
          <w:lang w:val="en-US"/>
        </w:rPr>
        <w:fldChar w:fldCharType="separate"/>
      </w:r>
      <w:r w:rsidR="00117C30" w:rsidRPr="00117C30">
        <w:rPr>
          <w:noProof/>
          <w:vertAlign w:val="superscript"/>
          <w:lang w:val="en-US"/>
        </w:rPr>
        <w:t>25</w:t>
      </w:r>
      <w:r>
        <w:rPr>
          <w:lang w:val="en-US"/>
        </w:rPr>
        <w:fldChar w:fldCharType="end"/>
      </w:r>
      <w:r>
        <w:rPr>
          <w:lang w:val="en-US"/>
        </w:rPr>
        <w:t xml:space="preserve">. </w:t>
      </w:r>
      <w:r w:rsidR="00896A31">
        <w:rPr>
          <w:lang w:val="en-US"/>
        </w:rPr>
        <w:t>Fish were</w:t>
      </w:r>
      <w:r w:rsidR="003B640C">
        <w:rPr>
          <w:lang w:val="en-US"/>
        </w:rPr>
        <w:t xml:space="preserve"> injected in the c</w:t>
      </w:r>
      <w:r w:rsidR="00107DF8">
        <w:rPr>
          <w:lang w:val="en-US"/>
        </w:rPr>
        <w:t>audal pe</w:t>
      </w:r>
      <w:r w:rsidR="00B54DB9">
        <w:rPr>
          <w:lang w:val="en-US"/>
        </w:rPr>
        <w:t>duncle</w:t>
      </w:r>
      <w:r w:rsidR="00AF49E4">
        <w:rPr>
          <w:lang w:val="en-US"/>
        </w:rPr>
        <w:t xml:space="preserve"> with 0.3 </w:t>
      </w:r>
      <w:r w:rsidR="00AF49E4">
        <w:rPr>
          <w:lang w:val="en-US"/>
        </w:rPr>
        <w:lastRenderedPageBreak/>
        <w:t>mL of phytohemagglutinin (PHA</w:t>
      </w:r>
      <w:r w:rsidR="00F13494">
        <w:rPr>
          <w:lang w:val="en-US"/>
        </w:rPr>
        <w:t xml:space="preserve">; </w:t>
      </w:r>
      <w:r w:rsidR="00F13494" w:rsidRPr="00722B77">
        <w:rPr>
          <w:highlight w:val="cyan"/>
          <w:lang w:val="en-US"/>
        </w:rPr>
        <w:t>L8</w:t>
      </w:r>
      <w:r w:rsidR="00722B77" w:rsidRPr="00722B77">
        <w:rPr>
          <w:highlight w:val="cyan"/>
          <w:lang w:val="en-US"/>
        </w:rPr>
        <w:t>754 Sigma-Aldrich, 45 ug 10 uL</w:t>
      </w:r>
      <w:r w:rsidR="00722B77" w:rsidRPr="00722B77">
        <w:rPr>
          <w:highlight w:val="cyan"/>
          <w:vertAlign w:val="superscript"/>
          <w:lang w:val="en-US"/>
        </w:rPr>
        <w:t>-1</w:t>
      </w:r>
      <w:r w:rsidR="00AF49E4">
        <w:rPr>
          <w:lang w:val="en-US"/>
        </w:rPr>
        <w:t>)</w:t>
      </w:r>
      <w:r w:rsidR="003F59ED">
        <w:rPr>
          <w:lang w:val="en-US"/>
        </w:rPr>
        <w:t>.</w:t>
      </w:r>
      <w:r w:rsidR="006D1233">
        <w:rPr>
          <w:lang w:val="en-US"/>
        </w:rPr>
        <w:t xml:space="preserve"> </w:t>
      </w:r>
      <w:r w:rsidR="006E5EAE">
        <w:rPr>
          <w:lang w:val="en-US"/>
        </w:rPr>
        <w:t xml:space="preserve">Immune responses </w:t>
      </w:r>
      <w:r w:rsidR="00474375">
        <w:rPr>
          <w:lang w:val="en-US"/>
        </w:rPr>
        <w:t xml:space="preserve">(i.e., immunocompetence) of fish was determined by </w:t>
      </w:r>
      <w:r w:rsidR="00F50798">
        <w:rPr>
          <w:lang w:val="en-US"/>
        </w:rPr>
        <w:t>measuring the swelling of the injected area</w:t>
      </w:r>
      <w:r w:rsidR="00FB6986">
        <w:rPr>
          <w:lang w:val="en-US"/>
        </w:rPr>
        <w:t xml:space="preserve"> with </w:t>
      </w:r>
      <w:r w:rsidR="00FB6986" w:rsidRPr="00FB6986">
        <w:rPr>
          <w:highlight w:val="cyan"/>
          <w:lang w:val="en-US"/>
        </w:rPr>
        <w:t>XXX</w:t>
      </w:r>
      <w:r w:rsidR="00FB6986">
        <w:rPr>
          <w:lang w:val="en-US"/>
        </w:rPr>
        <w:t xml:space="preserve"> pressure sensitive calipers</w:t>
      </w:r>
      <w:r w:rsidR="00F50798">
        <w:rPr>
          <w:lang w:val="en-US"/>
        </w:rPr>
        <w:t xml:space="preserve"> </w:t>
      </w:r>
      <w:r w:rsidR="00F637D3">
        <w:rPr>
          <w:lang w:val="en-US"/>
        </w:rPr>
        <w:t xml:space="preserve">pre-injection as well as </w:t>
      </w:r>
      <w:r w:rsidR="0001120A">
        <w:rPr>
          <w:lang w:val="en-US"/>
        </w:rPr>
        <w:t>~</w:t>
      </w:r>
      <w:r w:rsidR="00360EF3">
        <w:rPr>
          <w:lang w:val="en-US"/>
        </w:rPr>
        <w:t>18-</w:t>
      </w:r>
      <w:r w:rsidR="0001120A">
        <w:rPr>
          <w:lang w:val="en-US"/>
        </w:rPr>
        <w:t xml:space="preserve">24 hours </w:t>
      </w:r>
      <w:r w:rsidR="00360EF3">
        <w:rPr>
          <w:lang w:val="en-US"/>
        </w:rPr>
        <w:t>post-injection</w:t>
      </w:r>
      <w:r w:rsidR="0001120A">
        <w:rPr>
          <w:lang w:val="en-US"/>
        </w:rPr>
        <w:t xml:space="preserve">. </w:t>
      </w:r>
    </w:p>
    <w:p w14:paraId="3906516E" w14:textId="68281D51" w:rsidR="00FB0C0E" w:rsidRDefault="00E04DBE" w:rsidP="00486F92">
      <w:pPr>
        <w:pStyle w:val="Heading2"/>
        <w:rPr>
          <w:lang w:val="en-US"/>
        </w:rPr>
      </w:pPr>
      <w:r>
        <w:rPr>
          <w:lang w:val="en-US"/>
        </w:rPr>
        <w:t>Maximal e</w:t>
      </w:r>
      <w:r w:rsidR="00AA33DC">
        <w:rPr>
          <w:lang w:val="en-US"/>
        </w:rPr>
        <w:t xml:space="preserve">nzyme </w:t>
      </w:r>
      <w:r w:rsidR="00E843C0">
        <w:rPr>
          <w:lang w:val="en-US"/>
        </w:rPr>
        <w:t xml:space="preserve">activity </w:t>
      </w:r>
      <w:r w:rsidR="00FB0C0E">
        <w:rPr>
          <w:lang w:val="en-US"/>
        </w:rPr>
        <w:t xml:space="preserve">analysis </w:t>
      </w:r>
    </w:p>
    <w:p w14:paraId="2D11B135" w14:textId="6C8399D8" w:rsidR="00FB0C0E" w:rsidRDefault="00842B67" w:rsidP="00281616">
      <w:pPr>
        <w:jc w:val="both"/>
        <w:rPr>
          <w:lang w:val="en-US"/>
        </w:rPr>
      </w:pPr>
      <w:r>
        <w:rPr>
          <w:lang w:val="en-US"/>
        </w:rPr>
        <w:t xml:space="preserve">White muscle tissue </w:t>
      </w:r>
      <w:r w:rsidR="00281616">
        <w:rPr>
          <w:lang w:val="en-US"/>
        </w:rPr>
        <w:t>(</w:t>
      </w:r>
      <w:r>
        <w:rPr>
          <w:lang w:val="en-US"/>
        </w:rPr>
        <w:t xml:space="preserve">dissected from </w:t>
      </w:r>
      <w:r w:rsidR="00E56F79">
        <w:rPr>
          <w:lang w:val="en-US"/>
        </w:rPr>
        <w:t>muscle between the dorsal fin and lateral line</w:t>
      </w:r>
      <w:r w:rsidR="00281616">
        <w:rPr>
          <w:lang w:val="en-US"/>
        </w:rPr>
        <w:t>)</w:t>
      </w:r>
      <w:r w:rsidR="00E56F79">
        <w:rPr>
          <w:lang w:val="en-US"/>
        </w:rPr>
        <w:t xml:space="preserve"> was used to </w:t>
      </w:r>
      <w:r w:rsidR="00E36521">
        <w:rPr>
          <w:lang w:val="en-US"/>
        </w:rPr>
        <w:t>examine</w:t>
      </w:r>
      <w:r w:rsidR="00E56F79">
        <w:rPr>
          <w:lang w:val="en-US"/>
        </w:rPr>
        <w:t xml:space="preserve"> </w:t>
      </w:r>
      <w:r w:rsidR="00281616">
        <w:rPr>
          <w:lang w:val="en-US"/>
        </w:rPr>
        <w:t>the</w:t>
      </w:r>
      <w:r w:rsidR="00E56F79">
        <w:rPr>
          <w:lang w:val="en-US"/>
        </w:rPr>
        <w:t xml:space="preserve"> m</w:t>
      </w:r>
      <w:r w:rsidR="00E04DBE">
        <w:rPr>
          <w:lang w:val="en-US"/>
        </w:rPr>
        <w:t xml:space="preserve">aximal enzyme activity </w:t>
      </w:r>
      <w:r w:rsidR="00281616">
        <w:rPr>
          <w:lang w:val="en-US"/>
        </w:rPr>
        <w:t>of</w:t>
      </w:r>
      <w:r w:rsidR="00E04DBE">
        <w:rPr>
          <w:lang w:val="en-US"/>
        </w:rPr>
        <w:t xml:space="preserve"> lactate dehydrogenase (LDH) and c</w:t>
      </w:r>
      <w:r w:rsidR="00DB23A3">
        <w:rPr>
          <w:lang w:val="en-US"/>
        </w:rPr>
        <w:t>itrate synthase</w:t>
      </w:r>
      <w:r w:rsidR="0012382D">
        <w:rPr>
          <w:lang w:val="en-US"/>
        </w:rPr>
        <w:t xml:space="preserve"> (CS). </w:t>
      </w:r>
      <w:r w:rsidR="000E64AB">
        <w:rPr>
          <w:lang w:val="en-US"/>
        </w:rPr>
        <w:t>Temperatures including 10</w:t>
      </w:r>
      <w:r w:rsidR="000E64AB">
        <w:rPr>
          <w:rFonts w:cstheme="minorHAnsi"/>
          <w:lang w:val="en-US"/>
        </w:rPr>
        <w:t>°C, 20°C, 30°C, 40°C, and 50°C</w:t>
      </w:r>
      <w:r w:rsidR="003B2FC5">
        <w:rPr>
          <w:rFonts w:cstheme="minorHAnsi"/>
          <w:lang w:val="en-US"/>
        </w:rPr>
        <w:t xml:space="preserve"> were used to determine maximal enzyme activity and the associated thermal performance curve.</w:t>
      </w:r>
      <w:r w:rsidR="0097343F">
        <w:rPr>
          <w:lang w:val="en-US"/>
        </w:rPr>
        <w:t xml:space="preserve"> </w:t>
      </w:r>
      <w:r w:rsidR="00D131B4">
        <w:rPr>
          <w:lang w:val="en-US"/>
        </w:rPr>
        <w:t>White muscle tissue</w:t>
      </w:r>
      <w:r w:rsidR="00826B15">
        <w:rPr>
          <w:lang w:val="en-US"/>
        </w:rPr>
        <w:t xml:space="preserve"> was used for the maximal enzyme ac</w:t>
      </w:r>
      <w:r w:rsidR="00141CC2">
        <w:rPr>
          <w:lang w:val="en-US"/>
        </w:rPr>
        <w:t xml:space="preserve">tivity analysis because it plays an important </w:t>
      </w:r>
      <w:r w:rsidR="00A926D4">
        <w:rPr>
          <w:lang w:val="en-US"/>
        </w:rPr>
        <w:t>r</w:t>
      </w:r>
      <w:r w:rsidR="00141CC2">
        <w:rPr>
          <w:lang w:val="en-US"/>
        </w:rPr>
        <w:t>ole in locomotion activ</w:t>
      </w:r>
      <w:r w:rsidR="00A926D4">
        <w:rPr>
          <w:lang w:val="en-US"/>
        </w:rPr>
        <w:t>ities,</w:t>
      </w:r>
      <w:r w:rsidR="00976C6E">
        <w:rPr>
          <w:lang w:val="en-US"/>
        </w:rPr>
        <w:t xml:space="preserve"> compromises most of the body mass for </w:t>
      </w:r>
      <w:r w:rsidR="00976C6E">
        <w:rPr>
          <w:i/>
          <w:iCs/>
          <w:lang w:val="en-US"/>
        </w:rPr>
        <w:t xml:space="preserve">A. </w:t>
      </w:r>
      <w:r w:rsidR="00E36521">
        <w:rPr>
          <w:i/>
          <w:iCs/>
          <w:lang w:val="en-US"/>
        </w:rPr>
        <w:t>polyacanthus</w:t>
      </w:r>
      <w:r w:rsidR="00A926D4">
        <w:rPr>
          <w:lang w:val="en-US"/>
        </w:rPr>
        <w:t>,</w:t>
      </w:r>
      <w:r w:rsidR="00E36521">
        <w:rPr>
          <w:lang w:val="en-US"/>
        </w:rPr>
        <w:t xml:space="preserve"> and </w:t>
      </w:r>
      <w:r w:rsidR="00A926D4">
        <w:rPr>
          <w:lang w:val="en-US"/>
        </w:rPr>
        <w:t>is easily accessible</w:t>
      </w:r>
      <w:r w:rsidR="00E36521">
        <w:rPr>
          <w:lang w:val="en-US"/>
        </w:rPr>
        <w:t xml:space="preserve"> (</w:t>
      </w:r>
      <w:r w:rsidR="00E36521" w:rsidRPr="00E86997">
        <w:rPr>
          <w:highlight w:val="yellow"/>
          <w:lang w:val="en-US"/>
        </w:rPr>
        <w:t xml:space="preserve">more information on why </w:t>
      </w:r>
      <w:r w:rsidR="00E86997" w:rsidRPr="00E86997">
        <w:rPr>
          <w:highlight w:val="yellow"/>
          <w:lang w:val="en-US"/>
        </w:rPr>
        <w:t>w. muscle tissue was used; citation</w:t>
      </w:r>
      <w:r w:rsidR="00E36521">
        <w:rPr>
          <w:lang w:val="en-US"/>
        </w:rPr>
        <w:t>)</w:t>
      </w:r>
      <w:r w:rsidR="00976C6E">
        <w:rPr>
          <w:lang w:val="en-US"/>
        </w:rPr>
        <w:t xml:space="preserve">. </w:t>
      </w:r>
      <w:r w:rsidR="00B8706C">
        <w:rPr>
          <w:lang w:val="en-US"/>
        </w:rPr>
        <w:t>White tissue samples were extracted from fis</w:t>
      </w:r>
      <w:r w:rsidR="00570EDE">
        <w:rPr>
          <w:lang w:val="en-US"/>
        </w:rPr>
        <w:t>h immediately after fish had been euthanized</w:t>
      </w:r>
      <w:r w:rsidR="00623126">
        <w:rPr>
          <w:lang w:val="en-US"/>
        </w:rPr>
        <w:t xml:space="preserve">, </w:t>
      </w:r>
      <w:r w:rsidR="00570EDE">
        <w:rPr>
          <w:lang w:val="en-US"/>
        </w:rPr>
        <w:t>placed in liquid nitrogen</w:t>
      </w:r>
      <w:r w:rsidR="00623126">
        <w:rPr>
          <w:lang w:val="en-US"/>
        </w:rPr>
        <w:t>, and then transferred to a -80</w:t>
      </w:r>
      <w:r w:rsidR="00623126">
        <w:rPr>
          <w:rFonts w:cstheme="minorHAnsi"/>
          <w:lang w:val="en-US"/>
        </w:rPr>
        <w:t xml:space="preserve">°C freezer for long term storage. </w:t>
      </w:r>
      <w:r w:rsidR="00B8706C">
        <w:rPr>
          <w:lang w:val="en-US"/>
        </w:rPr>
        <w:t xml:space="preserve"> </w:t>
      </w:r>
    </w:p>
    <w:p w14:paraId="23CF7116" w14:textId="3EEB258E" w:rsidR="00C57CB9" w:rsidRDefault="007D4816" w:rsidP="00BD293B">
      <w:pPr>
        <w:jc w:val="both"/>
        <w:rPr>
          <w:lang w:val="en-US"/>
        </w:rPr>
      </w:pPr>
      <w:r>
        <w:rPr>
          <w:lang w:val="en-US"/>
        </w:rPr>
        <w:t>The maximal enzyme activity analysis used was adapted from</w:t>
      </w:r>
      <w:r w:rsidR="004D4E03">
        <w:rPr>
          <w:lang w:val="en-US"/>
        </w:rPr>
        <w:t xml:space="preserve"> previous studies</w:t>
      </w:r>
      <w:r w:rsidR="00F949B2">
        <w:rPr>
          <w:highlight w:val="yellow"/>
          <w:lang w:val="en-US"/>
        </w:rPr>
        <w:fldChar w:fldCharType="begin" w:fldLock="1"/>
      </w:r>
      <w:r w:rsidR="00117C30">
        <w:rPr>
          <w:highlight w:val="yellow"/>
          <w:lang w:val="en-US"/>
        </w:rPr>
        <w:instrText>ADDIN CSL_CITATION {"citationItems":[{"id":"ITEM-1","itemData":{"DOI":"10.1007/BF00004671","ISSN":"09201742","abstract":"This study examined how muscle metabolic organization varied during an annual cycle in which rainbow trout (Oncorhynchus mykiss) were held in outdoor holding ponds in which they were exposed to natural changes in temperature (range 0.2 to 15.6°C) and photoperiod. We examined the activities of glycolytic and mitochondrial enzymes in red and white muscle to evaluate whether trout enhance their capacity for lipid and carbohydrate oxidation during cold-acclimization. When assayed at habitat temperature, the enzyme activities generally increased in spring to reach a maximum in summer followed by a decrease in the fall. This led to significantly higher activities at warm than cold periods for all enzymes measured in red muscle and all but one in white muscle. The activities at 10°C provided little evidence for compensatory adjustments of aerobic capacity. Particularly in red muscle, enzyme levels at 10°C were generally lower during cold than warm periods. The variation of enzyme activities throughout the cycle was not due to changes in protein concentration, as the same responses were observed when activities were expressed per g wet mass or per mg protein. Although the aerobic capacity did not increase with cold-acclimatization, the relative capacity for lipid oxidation was higher in winter than in summer trout. In contrast, the relative capacity for aerobic glycolysis was higher in summer than in winter trout. Thus, the metabolic capacities of trout muscle undergo seasonal reorganization.","author":[{"dropping-particle":"","family":"Thibault","given":"M.","non-dropping-particle":"","parse-names":false,"suffix":""},{"dropping-particle":"","family":"Blier","given":"P. U.","non-dropping-particle":"","parse-names":false,"suffix":""},{"dropping-particle":"","family":"Guderley","given":"H.","non-dropping-particle":"","parse-names":false,"suffix":""}],"container-title":"Fish Physiology and Biochemistry","id":"ITEM-1","issue":"2","issued":{"date-parts":[["1997"]]},"page":"139-155","title":"Seasonal variation of muscle metabolic organization in rainbow trout (Oncorhynchus mykiss)","type":"article-journal","volume":"16"},"uris":["http://www.mendeley.com/documents/?uuid=fb71ad92-00a3-42f9-97a2-b2cbc7b6ea99"]},{"id":"ITEM-2","itemData":{"DOI":"10.1086/717049","ISSN":"19398697","PMID":"35015619","abstract":"Climate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Bulletin","id":"ITEM-2","issue":"3","issued":{"date-parts":[["2021"]]},"page":"347-358","title":"Metabolic Responses of Pacific Crown-of-Thorns Sea Stars (Acanthaster sp.) to Acute Warming","type":"article-journal","volume":"241"},"uris":["http://www.mendeley.com/documents/?uuid=8851b1ed-6e02-4d33-bc46-84b343b6b57b"]}],"mendeley":{"formattedCitation":"&lt;sup&gt;26,27&lt;/sup&gt;","plainTextFormattedCitation":"26,27","previouslyFormattedCitation":"&lt;sup&gt;26,27&lt;/sup&gt;"},"properties":{"noteIndex":0},"schema":"https://github.com/citation-style-language/schema/raw/master/csl-citation.json"}</w:instrText>
      </w:r>
      <w:r w:rsidR="00F949B2">
        <w:rPr>
          <w:highlight w:val="yellow"/>
          <w:lang w:val="en-US"/>
        </w:rPr>
        <w:fldChar w:fldCharType="separate"/>
      </w:r>
      <w:r w:rsidR="00117C30" w:rsidRPr="00117C30">
        <w:rPr>
          <w:noProof/>
          <w:highlight w:val="yellow"/>
          <w:vertAlign w:val="superscript"/>
          <w:lang w:val="en-US"/>
        </w:rPr>
        <w:t>26,27</w:t>
      </w:r>
      <w:r w:rsidR="00F949B2">
        <w:rPr>
          <w:highlight w:val="yellow"/>
          <w:lang w:val="en-US"/>
        </w:rPr>
        <w:fldChar w:fldCharType="end"/>
      </w:r>
      <w:r>
        <w:rPr>
          <w:lang w:val="en-US"/>
        </w:rPr>
        <w:t xml:space="preserve"> </w:t>
      </w:r>
      <w:proofErr w:type="spellStart"/>
      <w:r w:rsidR="00C56C88" w:rsidRPr="00C56C88">
        <w:rPr>
          <w:highlight w:val="yellow"/>
          <w:lang w:val="en-US"/>
        </w:rPr>
        <w:t>Seebacher</w:t>
      </w:r>
      <w:proofErr w:type="spellEnd"/>
      <w:r w:rsidR="00C56C88" w:rsidRPr="00C56C88">
        <w:rPr>
          <w:highlight w:val="yellow"/>
          <w:lang w:val="en-US"/>
        </w:rPr>
        <w:t xml:space="preserve"> (2003),</w:t>
      </w:r>
      <w:r w:rsidR="00C56C88">
        <w:rPr>
          <w:lang w:val="en-US"/>
        </w:rPr>
        <w:t xml:space="preserve"> </w:t>
      </w:r>
      <w:r w:rsidR="00C56C88" w:rsidRPr="00C56C88">
        <w:rPr>
          <w:highlight w:val="yellow"/>
          <w:lang w:val="en-US"/>
        </w:rPr>
        <w:t>McClelland (2005).</w:t>
      </w:r>
      <w:r w:rsidR="00C56C88">
        <w:rPr>
          <w:lang w:val="en-US"/>
        </w:rPr>
        <w:t xml:space="preserve"> </w:t>
      </w:r>
      <w:r w:rsidR="00143F68">
        <w:rPr>
          <w:lang w:val="en-US"/>
        </w:rPr>
        <w:t xml:space="preserve">Samples from </w:t>
      </w:r>
      <w:r w:rsidR="00143F68">
        <w:rPr>
          <w:i/>
          <w:iCs/>
          <w:lang w:val="en-US"/>
        </w:rPr>
        <w:t xml:space="preserve">n =38 </w:t>
      </w:r>
      <w:r w:rsidR="00143F68">
        <w:rPr>
          <w:lang w:val="en-US"/>
        </w:rPr>
        <w:t>fish were defrosted on ic</w:t>
      </w:r>
      <w:r w:rsidR="00F01A64">
        <w:rPr>
          <w:lang w:val="en-US"/>
        </w:rPr>
        <w:t>e</w:t>
      </w:r>
      <w:r w:rsidR="0024019E">
        <w:rPr>
          <w:lang w:val="en-US"/>
        </w:rPr>
        <w:t xml:space="preserve">. </w:t>
      </w:r>
      <w:r w:rsidR="00156B17">
        <w:rPr>
          <w:lang w:val="en-US"/>
        </w:rPr>
        <w:t xml:space="preserve">A sterile scalpel blade was used to </w:t>
      </w:r>
      <w:r w:rsidR="00813B5D">
        <w:rPr>
          <w:lang w:val="en-US"/>
        </w:rPr>
        <w:t xml:space="preserve">extract a tissue sample </w:t>
      </w:r>
      <w:r w:rsidR="00F73CB8">
        <w:rPr>
          <w:lang w:val="en-US"/>
        </w:rPr>
        <w:t>(</w:t>
      </w:r>
      <w:r w:rsidR="00813B5D">
        <w:rPr>
          <w:lang w:val="en-US"/>
        </w:rPr>
        <w:t>20 – 40 mg</w:t>
      </w:r>
      <w:r w:rsidR="00F73CB8">
        <w:rPr>
          <w:lang w:val="en-US"/>
        </w:rPr>
        <w:t>)</w:t>
      </w:r>
      <w:r w:rsidR="00813B5D">
        <w:rPr>
          <w:lang w:val="en-US"/>
        </w:rPr>
        <w:t xml:space="preserve">. </w:t>
      </w:r>
      <w:r w:rsidR="00D62AE9">
        <w:rPr>
          <w:lang w:val="en-US"/>
        </w:rPr>
        <w:t xml:space="preserve">Extracted tissue samples were homogenized via a microtube </w:t>
      </w:r>
      <w:r w:rsidR="00EE1D2A">
        <w:rPr>
          <w:lang w:val="en-US"/>
        </w:rPr>
        <w:t xml:space="preserve">homogenizer </w:t>
      </w:r>
      <w:r w:rsidR="00EE1D2A" w:rsidRPr="00EE1D2A">
        <w:rPr>
          <w:highlight w:val="yellow"/>
          <w:lang w:val="en-US"/>
        </w:rPr>
        <w:t>(</w:t>
      </w:r>
      <w:proofErr w:type="spellStart"/>
      <w:r w:rsidR="00EE1D2A" w:rsidRPr="00EE1D2A">
        <w:rPr>
          <w:highlight w:val="yellow"/>
          <w:lang w:val="en-US"/>
        </w:rPr>
        <w:t>BeadBug</w:t>
      </w:r>
      <w:proofErr w:type="spellEnd"/>
      <w:r w:rsidR="00EE1D2A" w:rsidRPr="00EE1D2A">
        <w:rPr>
          <w:highlight w:val="yellow"/>
          <w:lang w:val="en-US"/>
        </w:rPr>
        <w:t xml:space="preserve"> 6, Benchmark Scientific, Edison NJ – double check)</w:t>
      </w:r>
      <w:r w:rsidR="00407485">
        <w:rPr>
          <w:lang w:val="en-US"/>
        </w:rPr>
        <w:t xml:space="preserve"> in </w:t>
      </w:r>
      <w:r w:rsidR="00407485" w:rsidRPr="00407485">
        <w:rPr>
          <w:highlight w:val="yellow"/>
          <w:lang w:val="en-US"/>
        </w:rPr>
        <w:t>1:10</w:t>
      </w:r>
      <w:r w:rsidR="00407485">
        <w:rPr>
          <w:lang w:val="en-US"/>
        </w:rPr>
        <w:t xml:space="preserve"> proportions</w:t>
      </w:r>
      <w:r w:rsidR="006E1638">
        <w:rPr>
          <w:lang w:val="en-US"/>
        </w:rPr>
        <w:t xml:space="preserve"> with a buffer consisting of 50 mmol L</w:t>
      </w:r>
      <w:r w:rsidR="006E1638">
        <w:rPr>
          <w:vertAlign w:val="superscript"/>
          <w:lang w:val="en-US"/>
        </w:rPr>
        <w:t>-1</w:t>
      </w:r>
      <w:r w:rsidR="006E1638">
        <w:rPr>
          <w:lang w:val="en-US"/>
        </w:rPr>
        <w:t xml:space="preserve"> </w:t>
      </w:r>
      <w:r w:rsidR="00A96F10">
        <w:rPr>
          <w:lang w:val="en-US"/>
        </w:rPr>
        <w:t>4-(2-hydroxyethyl)-1-piperazineethanesulfonic acid (HEPES)</w:t>
      </w:r>
      <w:r w:rsidR="00C92EA3">
        <w:rPr>
          <w:lang w:val="en-US"/>
        </w:rPr>
        <w:t>, 1 mmol L</w:t>
      </w:r>
      <w:r w:rsidR="00C92EA3">
        <w:rPr>
          <w:vertAlign w:val="superscript"/>
          <w:lang w:val="en-US"/>
        </w:rPr>
        <w:t>-1</w:t>
      </w:r>
      <w:r w:rsidR="00C92EA3">
        <w:rPr>
          <w:lang w:val="en-US"/>
        </w:rPr>
        <w:t xml:space="preserve"> ethylenediaminetetraacetic </w:t>
      </w:r>
      <w:r w:rsidR="00756953">
        <w:rPr>
          <w:lang w:val="en-US"/>
        </w:rPr>
        <w:t>acid (EDTA), 0.01% Triton X-100, and 99.99% Milli-Q water</w:t>
      </w:r>
      <w:r w:rsidR="00A743DE">
        <w:rPr>
          <w:lang w:val="en-US"/>
        </w:rPr>
        <w:t xml:space="preserve">, </w:t>
      </w:r>
      <w:r w:rsidR="00D615DE">
        <w:rPr>
          <w:lang w:val="en-US"/>
        </w:rPr>
        <w:t xml:space="preserve">and </w:t>
      </w:r>
      <w:r w:rsidR="00A743DE">
        <w:rPr>
          <w:lang w:val="en-US"/>
        </w:rPr>
        <w:t>adjusted</w:t>
      </w:r>
      <w:r w:rsidR="00D615DE">
        <w:rPr>
          <w:lang w:val="en-US"/>
        </w:rPr>
        <w:t xml:space="preserve"> to pH 7.4</w:t>
      </w:r>
      <w:r w:rsidR="00E54C6B">
        <w:rPr>
          <w:lang w:val="en-US"/>
        </w:rPr>
        <w:t xml:space="preserve"> with sodium hydroxide (NaOH). </w:t>
      </w:r>
      <w:r w:rsidR="006F4AFA">
        <w:rPr>
          <w:lang w:val="en-US"/>
        </w:rPr>
        <w:t xml:space="preserve">A subset of homogenized tissue was extracted for </w:t>
      </w:r>
      <w:r w:rsidR="00486715">
        <w:rPr>
          <w:lang w:val="en-US"/>
        </w:rPr>
        <w:t>LDH,</w:t>
      </w:r>
      <w:r w:rsidR="006F4AFA">
        <w:rPr>
          <w:lang w:val="en-US"/>
        </w:rPr>
        <w:t xml:space="preserve"> and </w:t>
      </w:r>
      <w:r w:rsidR="00612B70">
        <w:rPr>
          <w:lang w:val="en-US"/>
        </w:rPr>
        <w:t>CS</w:t>
      </w:r>
      <w:r w:rsidR="003C7AE4">
        <w:rPr>
          <w:lang w:val="en-US"/>
        </w:rPr>
        <w:t xml:space="preserve">. </w:t>
      </w:r>
      <w:r w:rsidR="003C3E88">
        <w:rPr>
          <w:lang w:val="en-US"/>
        </w:rPr>
        <w:t>Homogenized tissue samples</w:t>
      </w:r>
      <w:r w:rsidR="003E7A9A">
        <w:rPr>
          <w:lang w:val="en-US"/>
        </w:rPr>
        <w:t xml:space="preserve"> used</w:t>
      </w:r>
      <w:r w:rsidR="00464BB0">
        <w:rPr>
          <w:lang w:val="en-US"/>
        </w:rPr>
        <w:t xml:space="preserve"> for the LDH assay</w:t>
      </w:r>
      <w:r w:rsidR="003E7A9A">
        <w:rPr>
          <w:lang w:val="en-US"/>
        </w:rPr>
        <w:t xml:space="preserve"> </w:t>
      </w:r>
      <w:r w:rsidR="00805894">
        <w:rPr>
          <w:lang w:val="en-US"/>
        </w:rPr>
        <w:t>were centrifuged (</w:t>
      </w:r>
      <w:r w:rsidR="00805894" w:rsidRPr="00805894">
        <w:rPr>
          <w:highlight w:val="yellow"/>
          <w:lang w:val="en-US"/>
        </w:rPr>
        <w:t>Eppendorf Centrifuge 5430, Hamburg, Germany</w:t>
      </w:r>
      <w:r w:rsidR="00805894">
        <w:rPr>
          <w:lang w:val="en-US"/>
        </w:rPr>
        <w:t>)</w:t>
      </w:r>
      <w:r w:rsidR="00F805FA">
        <w:rPr>
          <w:lang w:val="en-US"/>
        </w:rPr>
        <w:t xml:space="preserve"> at </w:t>
      </w:r>
      <w:r w:rsidR="005D6514">
        <w:rPr>
          <w:lang w:val="en-US"/>
        </w:rPr>
        <w:t>150</w:t>
      </w:r>
      <w:r w:rsidR="00FF46A8">
        <w:rPr>
          <w:lang w:val="en-US"/>
        </w:rPr>
        <w:t xml:space="preserve"> </w:t>
      </w:r>
      <w:r w:rsidR="00F805FA">
        <w:rPr>
          <w:lang w:val="en-US"/>
        </w:rPr>
        <w:t xml:space="preserve">rpm for </w:t>
      </w:r>
      <w:r w:rsidR="005D6514">
        <w:rPr>
          <w:lang w:val="en-US"/>
        </w:rPr>
        <w:t>&lt;3 seconds</w:t>
      </w:r>
      <w:r w:rsidR="00895C48">
        <w:rPr>
          <w:lang w:val="en-US"/>
        </w:rPr>
        <w:t>. H</w:t>
      </w:r>
      <w:r w:rsidR="00D305CD">
        <w:rPr>
          <w:lang w:val="en-US"/>
        </w:rPr>
        <w:t>omogenized tissue samples used for the CS assay were not centrifuged</w:t>
      </w:r>
      <w:r w:rsidR="00375B8C">
        <w:rPr>
          <w:lang w:val="en-US"/>
        </w:rPr>
        <w:t xml:space="preserve"> to allow mitochondria to be retained </w:t>
      </w:r>
      <w:r w:rsidR="00464BB0">
        <w:rPr>
          <w:lang w:val="en-US"/>
        </w:rPr>
        <w:t>within the supernatant</w:t>
      </w:r>
      <w:r w:rsidR="00F805FA">
        <w:rPr>
          <w:lang w:val="en-US"/>
        </w:rPr>
        <w:t>.</w:t>
      </w:r>
      <w:r w:rsidR="00464BB0">
        <w:rPr>
          <w:lang w:val="en-US"/>
        </w:rPr>
        <w:t xml:space="preserve"> </w:t>
      </w:r>
    </w:p>
    <w:p w14:paraId="2F772D37" w14:textId="65CF6A96" w:rsidR="00B51A61" w:rsidRDefault="00B01648" w:rsidP="00BD293B">
      <w:pPr>
        <w:jc w:val="both"/>
        <w:rPr>
          <w:lang w:val="en-US"/>
        </w:rPr>
      </w:pPr>
      <w:r>
        <w:rPr>
          <w:lang w:val="en-US"/>
        </w:rPr>
        <w:t>Absorbance readings were measured with a spectrophotometer (</w:t>
      </w:r>
      <w:r w:rsidR="000B3A99">
        <w:rPr>
          <w:lang w:val="en-US"/>
        </w:rPr>
        <w:t xml:space="preserve">2-s readings, with 20 readings over 13 </w:t>
      </w:r>
      <w:r w:rsidR="00C2377A">
        <w:rPr>
          <w:lang w:val="en-US"/>
        </w:rPr>
        <w:t xml:space="preserve">minutes: </w:t>
      </w:r>
      <w:r>
        <w:rPr>
          <w:lang w:val="en-US"/>
        </w:rPr>
        <w:t xml:space="preserve">UV5, Mettler-Toledo, Columbus, OH). </w:t>
      </w:r>
      <w:r w:rsidR="009716BB">
        <w:rPr>
          <w:lang w:val="en-US"/>
        </w:rPr>
        <w:t>Treatment temperatures were maintained with a Loop</w:t>
      </w:r>
      <w:r w:rsidR="00394B41">
        <w:rPr>
          <w:lang w:val="en-US"/>
        </w:rPr>
        <w:t xml:space="preserve"> L100 circulation thermostat (Lauda, Lauda-</w:t>
      </w:r>
      <w:proofErr w:type="spellStart"/>
      <w:r w:rsidR="00394B41">
        <w:rPr>
          <w:lang w:val="en-US"/>
        </w:rPr>
        <w:t>K</w:t>
      </w:r>
      <w:r w:rsidR="009765B8">
        <w:rPr>
          <w:rFonts w:cstheme="minorHAnsi"/>
          <w:lang w:val="en-US"/>
        </w:rPr>
        <w:t>önigshofen</w:t>
      </w:r>
      <w:proofErr w:type="spellEnd"/>
      <w:r w:rsidR="009765B8">
        <w:rPr>
          <w:rFonts w:cstheme="minorHAnsi"/>
          <w:lang w:val="en-US"/>
        </w:rPr>
        <w:t xml:space="preserve">, Germany). </w:t>
      </w:r>
      <w:r w:rsidR="00C57CB9">
        <w:rPr>
          <w:rFonts w:cstheme="minorHAnsi"/>
          <w:lang w:val="en-US"/>
        </w:rPr>
        <w:t xml:space="preserve">All samples were measured in </w:t>
      </w:r>
      <w:r w:rsidR="00C2377A">
        <w:rPr>
          <w:rFonts w:cstheme="minorHAnsi"/>
          <w:lang w:val="en-US"/>
        </w:rPr>
        <w:t>triplicate and</w:t>
      </w:r>
      <w:r w:rsidR="00A74E97">
        <w:rPr>
          <w:rFonts w:cstheme="minorHAnsi"/>
          <w:lang w:val="en-US"/>
        </w:rPr>
        <w:t xml:space="preserve"> included a blank sampl</w:t>
      </w:r>
      <w:r w:rsidR="000C4A51">
        <w:rPr>
          <w:rFonts w:cstheme="minorHAnsi"/>
          <w:lang w:val="en-US"/>
        </w:rPr>
        <w:t>e</w:t>
      </w:r>
      <w:r w:rsidR="000B3A99">
        <w:rPr>
          <w:rFonts w:cstheme="minorHAnsi"/>
          <w:lang w:val="en-US"/>
        </w:rPr>
        <w:t>.</w:t>
      </w:r>
    </w:p>
    <w:p w14:paraId="36100489" w14:textId="7663783B" w:rsidR="00245EF9" w:rsidRDefault="00617DD8" w:rsidP="00E64F75">
      <w:pPr>
        <w:jc w:val="both"/>
        <w:rPr>
          <w:rFonts w:cstheme="minorHAnsi"/>
          <w:lang w:val="en-US"/>
        </w:rPr>
      </w:pPr>
      <w:r>
        <w:rPr>
          <w:lang w:val="en-US"/>
        </w:rPr>
        <w:t xml:space="preserve">LDH was assayed in </w:t>
      </w:r>
      <w:r w:rsidR="003C60AB">
        <w:rPr>
          <w:lang w:val="en-US"/>
        </w:rPr>
        <w:t>0.5 mmol L</w:t>
      </w:r>
      <w:r w:rsidR="003C60AB">
        <w:rPr>
          <w:vertAlign w:val="superscript"/>
          <w:lang w:val="en-US"/>
        </w:rPr>
        <w:t>-1</w:t>
      </w:r>
      <w:r w:rsidR="003C60AB">
        <w:rPr>
          <w:lang w:val="en-US"/>
        </w:rPr>
        <w:t xml:space="preserve"> of </w:t>
      </w:r>
      <w:r w:rsidR="00CB4314" w:rsidRPr="00EE69E4">
        <w:rPr>
          <w:rFonts w:cstheme="minorHAnsi"/>
          <w:lang w:val="en-US"/>
        </w:rPr>
        <w:t>β</w:t>
      </w:r>
      <w:r w:rsidR="00EE69E4">
        <w:rPr>
          <w:rFonts w:cstheme="minorHAnsi"/>
          <w:i/>
          <w:iCs/>
          <w:lang w:val="en-US"/>
        </w:rPr>
        <w:t>-</w:t>
      </w:r>
      <w:r w:rsidR="00EE69E4">
        <w:rPr>
          <w:rFonts w:cstheme="minorHAnsi"/>
          <w:lang w:val="en-US"/>
        </w:rPr>
        <w:t>nicotinamide adenine dinucleotide</w:t>
      </w:r>
      <w:r w:rsidR="00E86498">
        <w:rPr>
          <w:rFonts w:cstheme="minorHAnsi"/>
          <w:lang w:val="en-US"/>
        </w:rPr>
        <w:t xml:space="preserve"> reduced disodium salt hydrate (NADH)-</w:t>
      </w:r>
      <w:proofErr w:type="gramStart"/>
      <w:r w:rsidR="00E86498">
        <w:rPr>
          <w:rFonts w:cstheme="minorHAnsi"/>
          <w:lang w:val="en-US"/>
        </w:rPr>
        <w:t>Tris</w:t>
      </w:r>
      <w:proofErr w:type="gramEnd"/>
      <w:r w:rsidR="00E86498">
        <w:rPr>
          <w:rFonts w:cstheme="minorHAnsi"/>
          <w:lang w:val="en-US"/>
        </w:rPr>
        <w:t xml:space="preserve"> solution (pH 7.4). and 50 </w:t>
      </w:r>
      <w:r w:rsidR="00FC1B76">
        <w:rPr>
          <w:rFonts w:cstheme="minorHAnsi"/>
          <w:lang w:val="en-US"/>
        </w:rPr>
        <w:t>mmol L</w:t>
      </w:r>
      <w:r w:rsidR="00FC1B76">
        <w:rPr>
          <w:rFonts w:cstheme="minorHAnsi"/>
          <w:vertAlign w:val="superscript"/>
          <w:lang w:val="en-US"/>
        </w:rPr>
        <w:t>-1</w:t>
      </w:r>
      <w:r w:rsidR="00FC1B76">
        <w:rPr>
          <w:rFonts w:cstheme="minorHAnsi"/>
          <w:lang w:val="en-US"/>
        </w:rPr>
        <w:t xml:space="preserve"> of sodium-pyruvate-NADH-</w:t>
      </w:r>
      <w:proofErr w:type="gramStart"/>
      <w:r w:rsidR="00FC1B76">
        <w:rPr>
          <w:rFonts w:cstheme="minorHAnsi"/>
          <w:lang w:val="en-US"/>
        </w:rPr>
        <w:t>Tris</w:t>
      </w:r>
      <w:proofErr w:type="gramEnd"/>
      <w:r w:rsidR="00FC1B76">
        <w:rPr>
          <w:rFonts w:cstheme="minorHAnsi"/>
          <w:lang w:val="en-US"/>
        </w:rPr>
        <w:t xml:space="preserve"> solution (pH 7.4). </w:t>
      </w:r>
      <w:r w:rsidR="00F3248C">
        <w:rPr>
          <w:rFonts w:cstheme="minorHAnsi"/>
          <w:lang w:val="en-US"/>
        </w:rPr>
        <w:t>NADH absorbance was measured at a wavelength of 340</w:t>
      </w:r>
      <w:r w:rsidR="008D4C99">
        <w:rPr>
          <w:rFonts w:cstheme="minorHAnsi"/>
          <w:lang w:val="en-US"/>
        </w:rPr>
        <w:t xml:space="preserve"> nm (</w:t>
      </w:r>
      <w:proofErr w:type="spellStart"/>
      <w:r w:rsidR="008D4C99">
        <w:rPr>
          <w:rFonts w:cstheme="minorHAnsi"/>
          <w:lang w:val="en-US"/>
        </w:rPr>
        <w:t>Seebacher</w:t>
      </w:r>
      <w:proofErr w:type="spellEnd"/>
      <w:r w:rsidR="008D4C99">
        <w:rPr>
          <w:rFonts w:cstheme="minorHAnsi"/>
          <w:lang w:val="en-US"/>
        </w:rPr>
        <w:t xml:space="preserve"> 2003). </w:t>
      </w:r>
      <w:r w:rsidR="00245EF9">
        <w:rPr>
          <w:rFonts w:cstheme="minorHAnsi"/>
          <w:lang w:val="en-US"/>
        </w:rPr>
        <w:t>CS was assay in 2 mmol L</w:t>
      </w:r>
      <w:r w:rsidR="00245EF9">
        <w:rPr>
          <w:rFonts w:cstheme="minorHAnsi"/>
          <w:vertAlign w:val="superscript"/>
          <w:lang w:val="en-US"/>
        </w:rPr>
        <w:t>-1</w:t>
      </w:r>
      <w:r w:rsidR="00245EF9">
        <w:rPr>
          <w:rFonts w:cstheme="minorHAnsi"/>
          <w:lang w:val="en-US"/>
        </w:rPr>
        <w:t xml:space="preserve"> 5,5’-dithobi</w:t>
      </w:r>
      <w:r w:rsidR="00A127AA">
        <w:rPr>
          <w:rFonts w:cstheme="minorHAnsi"/>
          <w:lang w:val="en-US"/>
        </w:rPr>
        <w:t>s-(2-nitronemzoic acid) (DTNB)-ethanol solution</w:t>
      </w:r>
      <w:r w:rsidR="00D823E2">
        <w:rPr>
          <w:rFonts w:cstheme="minorHAnsi"/>
          <w:lang w:val="en-US"/>
        </w:rPr>
        <w:t>, 12 mmol L</w:t>
      </w:r>
      <w:r w:rsidR="00D823E2">
        <w:rPr>
          <w:rFonts w:cstheme="minorHAnsi"/>
          <w:vertAlign w:val="superscript"/>
          <w:lang w:val="en-US"/>
        </w:rPr>
        <w:t>-1</w:t>
      </w:r>
      <w:r w:rsidR="00D823E2">
        <w:rPr>
          <w:rFonts w:cstheme="minorHAnsi"/>
          <w:lang w:val="en-US"/>
        </w:rPr>
        <w:t xml:space="preserve"> </w:t>
      </w:r>
      <w:r w:rsidR="00930C41">
        <w:rPr>
          <w:rFonts w:cstheme="minorHAnsi"/>
          <w:lang w:val="en-US"/>
        </w:rPr>
        <w:t>acetyl coenzyme A-lithium salt-Milli-Q solution, and 50 mmol L</w:t>
      </w:r>
      <w:r w:rsidR="00930C41">
        <w:rPr>
          <w:rFonts w:cstheme="minorHAnsi"/>
          <w:vertAlign w:val="superscript"/>
          <w:lang w:val="en-US"/>
        </w:rPr>
        <w:t>-1</w:t>
      </w:r>
      <w:r w:rsidR="00482934">
        <w:rPr>
          <w:rFonts w:cstheme="minorHAnsi"/>
          <w:lang w:val="en-US"/>
        </w:rPr>
        <w:t xml:space="preserve"> oxaloacetic acid-</w:t>
      </w:r>
      <w:proofErr w:type="gramStart"/>
      <w:r w:rsidR="00482934">
        <w:rPr>
          <w:rFonts w:cstheme="minorHAnsi"/>
          <w:lang w:val="en-US"/>
        </w:rPr>
        <w:t>Tris</w:t>
      </w:r>
      <w:proofErr w:type="gramEnd"/>
      <w:r w:rsidR="00482934">
        <w:rPr>
          <w:rFonts w:cstheme="minorHAnsi"/>
          <w:lang w:val="en-US"/>
        </w:rPr>
        <w:t xml:space="preserve"> solution (pH 8.0). </w:t>
      </w:r>
      <w:r w:rsidR="00294559">
        <w:rPr>
          <w:rFonts w:cstheme="minorHAnsi"/>
          <w:lang w:val="en-US"/>
        </w:rPr>
        <w:t>DTNB absorbance was measured at a wavelength of 412 nm (</w:t>
      </w:r>
      <w:proofErr w:type="spellStart"/>
      <w:r w:rsidR="00294559">
        <w:rPr>
          <w:rFonts w:cstheme="minorHAnsi"/>
          <w:lang w:val="en-US"/>
        </w:rPr>
        <w:t>Seebacher</w:t>
      </w:r>
      <w:proofErr w:type="spellEnd"/>
      <w:r w:rsidR="00294559">
        <w:rPr>
          <w:rFonts w:cstheme="minorHAnsi"/>
          <w:lang w:val="en-US"/>
        </w:rPr>
        <w:t xml:space="preserve"> 2003</w:t>
      </w:r>
      <w:r w:rsidR="00E64F75">
        <w:rPr>
          <w:rFonts w:cstheme="minorHAnsi"/>
          <w:lang w:val="en-US"/>
        </w:rPr>
        <w:t xml:space="preserve">; Blank 2004).  </w:t>
      </w:r>
    </w:p>
    <w:p w14:paraId="610872EE" w14:textId="0C64262E" w:rsidR="00E64F75" w:rsidRDefault="00E64F75" w:rsidP="00E64F75">
      <w:pPr>
        <w:jc w:val="both"/>
        <w:rPr>
          <w:rFonts w:cstheme="minorHAnsi"/>
          <w:lang w:val="en-US"/>
        </w:rPr>
      </w:pPr>
      <w:r>
        <w:rPr>
          <w:rFonts w:cstheme="minorHAnsi"/>
          <w:lang w:val="en-US"/>
        </w:rPr>
        <w:t>The</w:t>
      </w:r>
      <w:r w:rsidR="00832836">
        <w:rPr>
          <w:rFonts w:cstheme="minorHAnsi"/>
          <w:lang w:val="en-US"/>
        </w:rPr>
        <w:t xml:space="preserve"> mean of the three absorbance slopes was used to determine maximal enzyme activity. </w:t>
      </w:r>
      <w:r w:rsidR="00023028">
        <w:rPr>
          <w:rFonts w:cstheme="minorHAnsi"/>
          <w:lang w:val="en-US"/>
        </w:rPr>
        <w:t xml:space="preserve">Background activity was subtracted from sample absorbance slopes </w:t>
      </w:r>
      <w:r w:rsidR="00D47322">
        <w:rPr>
          <w:rFonts w:cstheme="minorHAnsi"/>
          <w:lang w:val="en-US"/>
        </w:rPr>
        <w:t>(</w:t>
      </w:r>
      <w:r w:rsidR="00D47322" w:rsidRPr="00D47322">
        <w:rPr>
          <w:rFonts w:cstheme="minorHAnsi"/>
          <w:highlight w:val="yellow"/>
          <w:lang w:val="en-US"/>
        </w:rPr>
        <w:t>citation</w:t>
      </w:r>
      <w:r w:rsidR="00D47322">
        <w:rPr>
          <w:rFonts w:cstheme="minorHAnsi"/>
          <w:lang w:val="en-US"/>
        </w:rPr>
        <w:t xml:space="preserve">). </w:t>
      </w:r>
      <w:r w:rsidR="00BB3FEB">
        <w:rPr>
          <w:rFonts w:cstheme="minorHAnsi"/>
          <w:lang w:val="en-US"/>
        </w:rPr>
        <w:t>Final maximal enzyme activity levels were calculated in units per milligram tissue (U mg</w:t>
      </w:r>
      <w:r w:rsidR="00E5332D">
        <w:rPr>
          <w:rFonts w:cstheme="minorHAnsi"/>
          <w:vertAlign w:val="superscript"/>
          <w:lang w:val="en-US"/>
        </w:rPr>
        <w:t xml:space="preserve">-1 </w:t>
      </w:r>
      <w:r w:rsidR="00E5332D">
        <w:rPr>
          <w:rFonts w:cstheme="minorHAnsi"/>
          <w:lang w:val="en-US"/>
        </w:rPr>
        <w:t>tissue)</w:t>
      </w:r>
      <w:r w:rsidR="00FC24E9">
        <w:rPr>
          <w:rFonts w:cstheme="minorHAnsi"/>
          <w:lang w:val="en-US"/>
        </w:rPr>
        <w:t xml:space="preserve"> using the following formula: </w:t>
      </w:r>
    </w:p>
    <w:p w14:paraId="120301E1" w14:textId="6ED687D9" w:rsidR="00FC24E9" w:rsidRDefault="00FC24E9" w:rsidP="00E64F75">
      <w:pPr>
        <w:jc w:val="both"/>
        <w:rPr>
          <w:rFonts w:cstheme="minorHAnsi"/>
          <w:lang w:val="en-US"/>
        </w:rPr>
      </w:pPr>
      <w:r>
        <w:rPr>
          <w:rFonts w:cstheme="minorHAnsi"/>
          <w:lang w:val="en-US"/>
        </w:rPr>
        <w:t>[</w:t>
      </w:r>
      <w:r w:rsidRPr="00FC24E9">
        <w:rPr>
          <w:rFonts w:cstheme="minorHAnsi"/>
          <w:highlight w:val="yellow"/>
          <w:lang w:val="en-US"/>
        </w:rPr>
        <w:t>ENTER FORMULA HERE</w:t>
      </w:r>
      <w:r>
        <w:rPr>
          <w:rFonts w:cstheme="minorHAnsi"/>
          <w:lang w:val="en-US"/>
        </w:rPr>
        <w:t xml:space="preserve">} </w:t>
      </w:r>
    </w:p>
    <w:p w14:paraId="372679A2" w14:textId="6778BEFA" w:rsidR="00FC24E9" w:rsidRPr="00E5332D" w:rsidRDefault="00FC24E9" w:rsidP="00E64F75">
      <w:pPr>
        <w:jc w:val="both"/>
        <w:rPr>
          <w:rFonts w:cstheme="minorHAnsi"/>
          <w:lang w:val="en-US"/>
        </w:rPr>
      </w:pPr>
      <w:r>
        <w:rPr>
          <w:rFonts w:cstheme="minorHAnsi"/>
          <w:lang w:val="en-US"/>
        </w:rPr>
        <w:t>(</w:t>
      </w:r>
      <w:r w:rsidRPr="00FC24E9">
        <w:rPr>
          <w:rFonts w:cstheme="minorHAnsi"/>
          <w:highlight w:val="cyan"/>
          <w:lang w:val="en-US"/>
        </w:rPr>
        <w:t>Description of variables in formula</w:t>
      </w:r>
      <w:r>
        <w:rPr>
          <w:rFonts w:cstheme="minorHAnsi"/>
          <w:lang w:val="en-US"/>
        </w:rPr>
        <w:t xml:space="preserve">). </w:t>
      </w:r>
    </w:p>
    <w:p w14:paraId="08628D21" w14:textId="77777777" w:rsidR="00FB0C0E" w:rsidRDefault="00FB0C0E" w:rsidP="00486F92">
      <w:pPr>
        <w:pStyle w:val="Heading2"/>
        <w:rPr>
          <w:lang w:val="en-US"/>
        </w:rPr>
      </w:pPr>
    </w:p>
    <w:p w14:paraId="58A9A8DE" w14:textId="77777777" w:rsidR="00FB0C0E" w:rsidRDefault="00FB0C0E" w:rsidP="00486F92">
      <w:pPr>
        <w:pStyle w:val="Heading2"/>
        <w:rPr>
          <w:lang w:val="en-US"/>
        </w:rPr>
      </w:pPr>
      <w:r>
        <w:rPr>
          <w:lang w:val="en-US"/>
        </w:rPr>
        <w:t xml:space="preserve">Hematocrit </w:t>
      </w:r>
    </w:p>
    <w:p w14:paraId="204BB17B" w14:textId="1D756B82" w:rsidR="00A70CC3" w:rsidRDefault="00066817" w:rsidP="00B90C33">
      <w:pPr>
        <w:jc w:val="both"/>
        <w:rPr>
          <w:lang w:val="en-US"/>
        </w:rPr>
      </w:pPr>
      <w:r>
        <w:rPr>
          <w:lang w:val="en-US"/>
        </w:rPr>
        <w:t xml:space="preserve">Blood </w:t>
      </w:r>
      <w:r w:rsidR="00044791">
        <w:rPr>
          <w:lang w:val="en-US"/>
        </w:rPr>
        <w:t>used</w:t>
      </w:r>
      <w:r>
        <w:rPr>
          <w:lang w:val="en-US"/>
        </w:rPr>
        <w:t xml:space="preserve"> from hematocrit</w:t>
      </w:r>
      <w:r w:rsidR="00044791">
        <w:rPr>
          <w:lang w:val="en-US"/>
        </w:rPr>
        <w:t xml:space="preserve"> samples was collected at the end of the </w:t>
      </w:r>
      <w:r w:rsidR="004326B4">
        <w:rPr>
          <w:lang w:val="en-US"/>
        </w:rPr>
        <w:t>experiment when the temperature treatment was 31.5</w:t>
      </w:r>
      <w:r w:rsidR="004326B4">
        <w:rPr>
          <w:rFonts w:cstheme="minorHAnsi"/>
          <w:lang w:val="en-US"/>
        </w:rPr>
        <w:t>°C</w:t>
      </w:r>
      <w:r w:rsidR="00B90C33">
        <w:rPr>
          <w:rFonts w:cstheme="minorHAnsi"/>
          <w:lang w:val="en-US"/>
        </w:rPr>
        <w:t xml:space="preserve">, </w:t>
      </w:r>
      <w:r w:rsidR="00B90C33" w:rsidRPr="00B90C33">
        <w:rPr>
          <w:rFonts w:cstheme="minorHAnsi"/>
          <w:highlight w:val="cyan"/>
          <w:lang w:val="en-US"/>
        </w:rPr>
        <w:t>XX</w:t>
      </w:r>
      <w:r w:rsidR="00B90C33">
        <w:rPr>
          <w:rFonts w:cstheme="minorHAnsi"/>
          <w:lang w:val="en-US"/>
        </w:rPr>
        <w:t xml:space="preserve"> days after the final PHA immunocompetence trial had been completed.</w:t>
      </w:r>
      <w:r w:rsidR="004326B4">
        <w:rPr>
          <w:rFonts w:cstheme="minorHAnsi"/>
          <w:lang w:val="en-US"/>
        </w:rPr>
        <w:t xml:space="preserve"> </w:t>
      </w:r>
      <w:r w:rsidR="00836352">
        <w:rPr>
          <w:lang w:val="en-US"/>
        </w:rPr>
        <w:t>Microcapillary tube</w:t>
      </w:r>
      <w:r w:rsidR="005D7531">
        <w:rPr>
          <w:lang w:val="en-US"/>
        </w:rPr>
        <w:t xml:space="preserve">s </w:t>
      </w:r>
      <w:r w:rsidR="0069409A">
        <w:rPr>
          <w:lang w:val="en-US"/>
        </w:rPr>
        <w:t xml:space="preserve">were used to collect </w:t>
      </w:r>
      <w:r w:rsidR="0069409A" w:rsidRPr="00B90C33">
        <w:rPr>
          <w:highlight w:val="cyan"/>
          <w:lang w:val="en-US"/>
        </w:rPr>
        <w:t>XX</w:t>
      </w:r>
      <w:r w:rsidR="0069409A">
        <w:rPr>
          <w:lang w:val="en-US"/>
        </w:rPr>
        <w:t xml:space="preserve"> </w:t>
      </w:r>
      <w:proofErr w:type="spellStart"/>
      <w:r w:rsidR="0069409A">
        <w:rPr>
          <w:lang w:val="en-US"/>
        </w:rPr>
        <w:t>ul</w:t>
      </w:r>
      <w:proofErr w:type="spellEnd"/>
      <w:r w:rsidR="0069409A">
        <w:rPr>
          <w:lang w:val="en-US"/>
        </w:rPr>
        <w:t xml:space="preserve"> of blood from the</w:t>
      </w:r>
      <w:r w:rsidR="00AC2826">
        <w:rPr>
          <w:lang w:val="en-US"/>
        </w:rPr>
        <w:t xml:space="preserve"> </w:t>
      </w:r>
      <w:r w:rsidR="0041505F">
        <w:rPr>
          <w:lang w:val="en-US"/>
        </w:rPr>
        <w:t>caudal</w:t>
      </w:r>
      <w:r w:rsidR="00AC2826">
        <w:rPr>
          <w:lang w:val="en-US"/>
        </w:rPr>
        <w:t xml:space="preserve"> vein. Collected </w:t>
      </w:r>
      <w:r w:rsidR="00AC2826">
        <w:rPr>
          <w:lang w:val="en-US"/>
        </w:rPr>
        <w:lastRenderedPageBreak/>
        <w:t>blood samples were</w:t>
      </w:r>
      <w:r w:rsidR="00B37C3B">
        <w:rPr>
          <w:lang w:val="en-US"/>
        </w:rPr>
        <w:t xml:space="preserve"> centrifuged at </w:t>
      </w:r>
      <w:r w:rsidR="00B37C3B" w:rsidRPr="00B90C33">
        <w:rPr>
          <w:highlight w:val="cyan"/>
          <w:lang w:val="en-US"/>
        </w:rPr>
        <w:t>XXX</w:t>
      </w:r>
      <w:r w:rsidR="00B37C3B">
        <w:rPr>
          <w:lang w:val="en-US"/>
        </w:rPr>
        <w:t xml:space="preserve"> rpm for </w:t>
      </w:r>
      <w:r w:rsidR="00B37C3B" w:rsidRPr="00B90C33">
        <w:rPr>
          <w:highlight w:val="cyan"/>
          <w:lang w:val="en-US"/>
        </w:rPr>
        <w:t>XX</w:t>
      </w:r>
      <w:r w:rsidR="00B37C3B">
        <w:rPr>
          <w:lang w:val="en-US"/>
        </w:rPr>
        <w:t xml:space="preserve"> seconds to separate red cells from blood plasma</w:t>
      </w:r>
      <w:r w:rsidR="009D212D">
        <w:rPr>
          <w:lang w:val="en-US"/>
        </w:rPr>
        <w:t>. The proportion of blood volume occupied by red blood cells</w:t>
      </w:r>
      <w:r w:rsidR="00F65581">
        <w:rPr>
          <w:lang w:val="en-US"/>
        </w:rPr>
        <w:t xml:space="preserve"> (hematocrit)</w:t>
      </w:r>
      <w:r w:rsidR="009D212D">
        <w:rPr>
          <w:lang w:val="en-US"/>
        </w:rPr>
        <w:t xml:space="preserve"> </w:t>
      </w:r>
      <w:r w:rsidR="00180A9A">
        <w:rPr>
          <w:lang w:val="en-US"/>
        </w:rPr>
        <w:t xml:space="preserve">was </w:t>
      </w:r>
      <w:r w:rsidR="00CE4E38">
        <w:rPr>
          <w:lang w:val="en-US"/>
        </w:rPr>
        <w:t>recorded</w:t>
      </w:r>
      <w:r w:rsidR="00180A9A">
        <w:rPr>
          <w:lang w:val="en-US"/>
        </w:rPr>
        <w:t xml:space="preserve"> by</w:t>
      </w:r>
      <w:r w:rsidR="00B21FB9">
        <w:rPr>
          <w:lang w:val="en-US"/>
        </w:rPr>
        <w:t xml:space="preserve"> </w:t>
      </w:r>
      <w:proofErr w:type="spellStart"/>
      <w:r w:rsidR="00B21FB9">
        <w:rPr>
          <w:lang w:val="en-US"/>
        </w:rPr>
        <w:t>using</w:t>
      </w:r>
      <w:r w:rsidR="002D490C">
        <w:rPr>
          <w:lang w:val="en-US"/>
        </w:rPr>
        <w:t>a</w:t>
      </w:r>
      <w:proofErr w:type="spellEnd"/>
      <w:r w:rsidR="00B21FB9">
        <w:rPr>
          <w:lang w:val="en-US"/>
        </w:rPr>
        <w:t xml:space="preserve"> ruler to</w:t>
      </w:r>
      <w:r w:rsidR="00180A9A">
        <w:rPr>
          <w:lang w:val="en-US"/>
        </w:rPr>
        <w:t xml:space="preserve"> first </w:t>
      </w:r>
      <w:r w:rsidR="007B725B">
        <w:rPr>
          <w:lang w:val="en-US"/>
        </w:rPr>
        <w:t>measure</w:t>
      </w:r>
      <w:r w:rsidR="00180A9A">
        <w:rPr>
          <w:lang w:val="en-US"/>
        </w:rPr>
        <w:t xml:space="preserve"> the </w:t>
      </w:r>
      <w:r w:rsidR="00CD5454">
        <w:rPr>
          <w:lang w:val="en-US"/>
        </w:rPr>
        <w:t>space of the microcapillary tube that was occupied by</w:t>
      </w:r>
      <w:r w:rsidR="003C678B">
        <w:rPr>
          <w:lang w:val="en-US"/>
        </w:rPr>
        <w:t xml:space="preserve"> </w:t>
      </w:r>
      <w:r w:rsidR="00C87018">
        <w:rPr>
          <w:lang w:val="en-US"/>
        </w:rPr>
        <w:t>the total blood volume (</w:t>
      </w:r>
      <w:r w:rsidR="003C678B">
        <w:rPr>
          <w:lang w:val="en-US"/>
        </w:rPr>
        <w:t>packed</w:t>
      </w:r>
      <w:r w:rsidR="00180A9A">
        <w:rPr>
          <w:lang w:val="en-US"/>
        </w:rPr>
        <w:t xml:space="preserve"> red blood cells and blood plasma</w:t>
      </w:r>
      <w:r w:rsidR="00C87018">
        <w:rPr>
          <w:lang w:val="en-US"/>
        </w:rPr>
        <w:t>)</w:t>
      </w:r>
      <w:r w:rsidR="00180A9A">
        <w:rPr>
          <w:lang w:val="en-US"/>
        </w:rPr>
        <w:t>, followed by measuring the</w:t>
      </w:r>
      <w:r w:rsidR="00CD5454">
        <w:rPr>
          <w:lang w:val="en-US"/>
        </w:rPr>
        <w:t xml:space="preserve"> space occupied by</w:t>
      </w:r>
      <w:r w:rsidR="00180A9A">
        <w:rPr>
          <w:lang w:val="en-US"/>
        </w:rPr>
        <w:t xml:space="preserve"> just</w:t>
      </w:r>
      <w:r w:rsidR="00C87018">
        <w:rPr>
          <w:lang w:val="en-US"/>
        </w:rPr>
        <w:t xml:space="preserve"> packed</w:t>
      </w:r>
      <w:r w:rsidR="00180A9A">
        <w:rPr>
          <w:lang w:val="en-US"/>
        </w:rPr>
        <w:t xml:space="preserve"> red blood cells</w:t>
      </w:r>
      <w:r w:rsidR="00B21FB9">
        <w:rPr>
          <w:lang w:val="en-US"/>
        </w:rPr>
        <w:t xml:space="preserve">. </w:t>
      </w:r>
      <w:r w:rsidR="007F1792">
        <w:rPr>
          <w:lang w:val="en-US"/>
        </w:rPr>
        <w:t xml:space="preserve">Hematocrit scores were </w:t>
      </w:r>
      <w:r w:rsidR="00A70CC3">
        <w:rPr>
          <w:lang w:val="en-US"/>
        </w:rPr>
        <w:t xml:space="preserve">calculated using the following formula: </w:t>
      </w:r>
    </w:p>
    <w:p w14:paraId="0B74455C" w14:textId="121BE552" w:rsidR="00FB0C0E" w:rsidRDefault="00A70CC3" w:rsidP="00161AFE">
      <w:pPr>
        <w:rPr>
          <w:lang w:val="en-US"/>
        </w:rPr>
      </w:pPr>
      <m:oMath>
        <m:r>
          <w:rPr>
            <w:rFonts w:ascii="Cambria Math" w:hAnsi="Cambria Math"/>
            <w:lang w:val="en-US"/>
          </w:rPr>
          <m:t>hematocrit=</m:t>
        </m:r>
        <m:f>
          <m:fPr>
            <m:ctrlPr>
              <w:rPr>
                <w:rFonts w:ascii="Cambria Math" w:hAnsi="Cambria Math"/>
                <w:i/>
                <w:lang w:val="en-US"/>
              </w:rPr>
            </m:ctrlPr>
          </m:fPr>
          <m:num>
            <m:r>
              <w:rPr>
                <w:rFonts w:ascii="Cambria Math" w:hAnsi="Cambria Math"/>
                <w:lang w:val="en-US"/>
              </w:rPr>
              <m:t>packed red blood cells</m:t>
            </m:r>
          </m:num>
          <m:den>
            <m:r>
              <w:rPr>
                <w:rFonts w:ascii="Cambria Math" w:hAnsi="Cambria Math"/>
                <w:lang w:val="en-US"/>
              </w:rPr>
              <m:t>total blood volume</m:t>
            </m:r>
          </m:den>
        </m:f>
        <m:r>
          <w:rPr>
            <w:rFonts w:ascii="Cambria Math" w:hAnsi="Cambria Math"/>
            <w:lang w:val="en-US"/>
          </w:rPr>
          <m:t xml:space="preserve">  </m:t>
        </m:r>
      </m:oMath>
      <w:r w:rsidR="004432FB">
        <w:rPr>
          <w:lang w:val="en-US"/>
        </w:rPr>
        <w:t xml:space="preserve"> </w:t>
      </w:r>
    </w:p>
    <w:p w14:paraId="322105D9" w14:textId="1E5F6B32" w:rsidR="00FB0C0E" w:rsidRDefault="005B2247" w:rsidP="005B2247">
      <w:pPr>
        <w:pStyle w:val="Heading2"/>
        <w:rPr>
          <w:lang w:val="en-US"/>
        </w:rPr>
      </w:pPr>
      <w:r>
        <w:rPr>
          <w:lang w:val="en-US"/>
        </w:rPr>
        <w:t xml:space="preserve">Statistical analysis </w:t>
      </w:r>
    </w:p>
    <w:p w14:paraId="4DA014AF" w14:textId="2CD25DCB" w:rsidR="005B2247" w:rsidRDefault="00833455" w:rsidP="001944F6">
      <w:pPr>
        <w:jc w:val="both"/>
        <w:rPr>
          <w:lang w:val="en-US"/>
        </w:rPr>
      </w:pPr>
      <w:r>
        <w:rPr>
          <w:lang w:val="en-US"/>
        </w:rPr>
        <w:t xml:space="preserve">Generalized linear mixed effect models were used to model </w:t>
      </w:r>
      <w:r w:rsidR="00F33C35">
        <w:rPr>
          <w:lang w:val="en-US"/>
        </w:rPr>
        <w:t xml:space="preserve">metabolic, immunocompetence, enzyme activity, and hematocrit </w:t>
      </w:r>
      <w:r w:rsidR="004B284A">
        <w:rPr>
          <w:lang w:val="en-US"/>
        </w:rPr>
        <w:t>responses</w:t>
      </w:r>
      <w:r w:rsidR="00F33C35">
        <w:rPr>
          <w:lang w:val="en-US"/>
        </w:rPr>
        <w:t xml:space="preserve"> within Cairns and Mackay re</w:t>
      </w:r>
      <w:r w:rsidR="004B284A">
        <w:rPr>
          <w:lang w:val="en-US"/>
        </w:rPr>
        <w:t>gion</w:t>
      </w:r>
      <w:r w:rsidR="00274405">
        <w:rPr>
          <w:lang w:val="en-US"/>
        </w:rPr>
        <w:t xml:space="preserve"> fish</w:t>
      </w:r>
      <w:r w:rsidR="004B284A">
        <w:rPr>
          <w:lang w:val="en-US"/>
        </w:rPr>
        <w:t xml:space="preserve"> to temperature</w:t>
      </w:r>
      <w:r w:rsidR="00C95774">
        <w:rPr>
          <w:lang w:val="en-US"/>
        </w:rPr>
        <w:t xml:space="preserve"> treatments</w:t>
      </w:r>
      <w:r w:rsidR="004B284A">
        <w:rPr>
          <w:lang w:val="en-US"/>
        </w:rPr>
        <w:t xml:space="preserve">. </w:t>
      </w:r>
      <w:r w:rsidR="00F6742C">
        <w:rPr>
          <w:lang w:val="en-US"/>
        </w:rPr>
        <w:t xml:space="preserve">All metabolic models were run using a gaussian distribution, unless otherwise stated. </w:t>
      </w:r>
      <w:r w:rsidR="001944F6">
        <w:rPr>
          <w:lang w:val="en-US"/>
        </w:rPr>
        <w:t>To model</w:t>
      </w:r>
      <w:r w:rsidR="005E4481">
        <w:rPr>
          <w:lang w:val="en-US"/>
        </w:rPr>
        <w:t xml:space="preserve"> metabolic responses</w:t>
      </w:r>
      <w:r w:rsidR="00E50077">
        <w:rPr>
          <w:lang w:val="en-US"/>
        </w:rPr>
        <w:t xml:space="preserve"> including</w:t>
      </w:r>
      <w:r w:rsidR="0095702B">
        <w:rPr>
          <w:lang w:val="en-US"/>
        </w:rPr>
        <w:t xml:space="preserve"> </w:t>
      </w:r>
      <w:r w:rsidR="00C95774">
        <w:rPr>
          <w:lang w:val="en-US"/>
        </w:rPr>
        <w:t>NAS, RMR, and MMR</w:t>
      </w:r>
      <w:r w:rsidR="001944F6">
        <w:rPr>
          <w:lang w:val="en-US"/>
        </w:rPr>
        <w:t>,</w:t>
      </w:r>
      <w:r w:rsidR="008B43CC">
        <w:rPr>
          <w:lang w:val="en-US"/>
        </w:rPr>
        <w:t xml:space="preserve"> independent variables</w:t>
      </w:r>
      <w:r w:rsidR="00B33242">
        <w:rPr>
          <w:lang w:val="en-US"/>
        </w:rPr>
        <w:t xml:space="preserve"> including</w:t>
      </w:r>
      <w:r w:rsidR="00634CC8">
        <w:rPr>
          <w:lang w:val="en-US"/>
        </w:rPr>
        <w:t xml:space="preserve">, region and temperature were </w:t>
      </w:r>
      <w:r w:rsidR="00F0277C">
        <w:rPr>
          <w:lang w:val="en-US"/>
        </w:rPr>
        <w:t>modelled</w:t>
      </w:r>
      <w:r w:rsidR="00634CC8">
        <w:rPr>
          <w:lang w:val="en-US"/>
        </w:rPr>
        <w:t xml:space="preserve"> as an interaction and</w:t>
      </w:r>
      <w:r w:rsidR="00705DCB">
        <w:rPr>
          <w:lang w:val="en-US"/>
        </w:rPr>
        <w:t xml:space="preserve"> fish mass (centered)</w:t>
      </w:r>
      <w:r w:rsidR="00534CDE">
        <w:rPr>
          <w:lang w:val="en-US"/>
        </w:rPr>
        <w:t xml:space="preserve"> was used as a covariate</w:t>
      </w:r>
      <w:r w:rsidR="00BD7AD1">
        <w:rPr>
          <w:lang w:val="en-US"/>
        </w:rPr>
        <w:t>.</w:t>
      </w:r>
      <w:r w:rsidR="00534CDE">
        <w:rPr>
          <w:lang w:val="en-US"/>
        </w:rPr>
        <w:t xml:space="preserve"> </w:t>
      </w:r>
      <w:r w:rsidR="00130DE4">
        <w:rPr>
          <w:lang w:val="en-US"/>
        </w:rPr>
        <w:t xml:space="preserve">Individual identification codes for each fish </w:t>
      </w:r>
      <w:r w:rsidR="00BD7AD1">
        <w:rPr>
          <w:lang w:val="en-US"/>
        </w:rPr>
        <w:t>were</w:t>
      </w:r>
      <w:r w:rsidR="00130DE4">
        <w:rPr>
          <w:lang w:val="en-US"/>
        </w:rPr>
        <w:t xml:space="preserve"> used as a random factor</w:t>
      </w:r>
      <w:r w:rsidR="00B33242">
        <w:rPr>
          <w:lang w:val="en-US"/>
        </w:rPr>
        <w:t xml:space="preserve"> due to repeated measures</w:t>
      </w:r>
      <w:r w:rsidR="001944F6">
        <w:rPr>
          <w:lang w:val="en-US"/>
        </w:rPr>
        <w:t xml:space="preserve">. </w:t>
      </w:r>
      <w:r w:rsidR="00D45119">
        <w:rPr>
          <w:lang w:val="en-US"/>
        </w:rPr>
        <w:t>The model for resting metabolic rat</w:t>
      </w:r>
      <w:r w:rsidR="00F0277C">
        <w:rPr>
          <w:lang w:val="en-US"/>
        </w:rPr>
        <w:t>e</w:t>
      </w:r>
      <w:r w:rsidR="00D45119">
        <w:rPr>
          <w:lang w:val="en-US"/>
        </w:rPr>
        <w:t xml:space="preserve"> included the additional covariate of </w:t>
      </w:r>
      <w:r w:rsidR="00722326">
        <w:rPr>
          <w:lang w:val="en-US"/>
        </w:rPr>
        <w:t xml:space="preserve">testing runtime. </w:t>
      </w:r>
      <w:r w:rsidR="009952E6">
        <w:rPr>
          <w:lang w:val="en-US"/>
        </w:rPr>
        <w:t>The same</w:t>
      </w:r>
      <w:r w:rsidR="00787209">
        <w:rPr>
          <w:lang w:val="en-US"/>
        </w:rPr>
        <w:t xml:space="preserve"> variables included in the</w:t>
      </w:r>
      <w:r w:rsidR="009952E6">
        <w:rPr>
          <w:lang w:val="en-US"/>
        </w:rPr>
        <w:t xml:space="preserve"> GLMM </w:t>
      </w:r>
      <w:r w:rsidR="00787209">
        <w:rPr>
          <w:lang w:val="en-US"/>
        </w:rPr>
        <w:t>used</w:t>
      </w:r>
      <w:r w:rsidR="009952E6">
        <w:rPr>
          <w:lang w:val="en-US"/>
        </w:rPr>
        <w:t xml:space="preserve"> for metabolic rates</w:t>
      </w:r>
      <w:r w:rsidR="00787209">
        <w:rPr>
          <w:lang w:val="en-US"/>
        </w:rPr>
        <w:t>, w</w:t>
      </w:r>
      <w:r w:rsidR="00FF7B86">
        <w:rPr>
          <w:lang w:val="en-US"/>
        </w:rPr>
        <w:t>ere</w:t>
      </w:r>
      <w:r w:rsidR="00787209">
        <w:rPr>
          <w:lang w:val="en-US"/>
        </w:rPr>
        <w:t xml:space="preserve"> used for modelling PHA immunocompetence response</w:t>
      </w:r>
      <w:r w:rsidR="00E129E5">
        <w:rPr>
          <w:lang w:val="en-US"/>
        </w:rPr>
        <w:t xml:space="preserve"> and</w:t>
      </w:r>
      <w:r w:rsidR="00D922E1">
        <w:rPr>
          <w:lang w:val="en-US"/>
        </w:rPr>
        <w:t xml:space="preserve"> enzyme (lactate dehydrogenase) activity.</w:t>
      </w:r>
      <w:r w:rsidR="00787209">
        <w:rPr>
          <w:lang w:val="en-US"/>
        </w:rPr>
        <w:t xml:space="preserve"> </w:t>
      </w:r>
      <w:r w:rsidR="00D922E1">
        <w:rPr>
          <w:lang w:val="en-US"/>
        </w:rPr>
        <w:t>H</w:t>
      </w:r>
      <w:r w:rsidR="00787209">
        <w:rPr>
          <w:lang w:val="en-US"/>
        </w:rPr>
        <w:t xml:space="preserve">owever, </w:t>
      </w:r>
      <w:r w:rsidR="00D922E1">
        <w:rPr>
          <w:lang w:val="en-US"/>
        </w:rPr>
        <w:t xml:space="preserve">for the PHA swelling response model </w:t>
      </w:r>
      <w:r w:rsidR="00787209">
        <w:rPr>
          <w:lang w:val="en-US"/>
        </w:rPr>
        <w:t>instead of a gaussian distribution, a gamma distribution was used with an inverse link</w:t>
      </w:r>
      <w:r w:rsidR="00B33ADF">
        <w:rPr>
          <w:lang w:val="en-US"/>
        </w:rPr>
        <w:t>. For the enzyme analysis for</w:t>
      </w:r>
      <w:r w:rsidR="00D922E1">
        <w:rPr>
          <w:lang w:val="en-US"/>
        </w:rPr>
        <w:t xml:space="preserve"> lactate dehydrogenase model tissue mass (centered) was used instead of fish mass. </w:t>
      </w:r>
      <w:r w:rsidR="00DD3182">
        <w:rPr>
          <w:lang w:val="en-US"/>
        </w:rPr>
        <w:t xml:space="preserve">To model the </w:t>
      </w:r>
      <w:r w:rsidR="00D16726">
        <w:rPr>
          <w:lang w:val="en-US"/>
        </w:rPr>
        <w:t>(combined region) correlation between</w:t>
      </w:r>
      <w:r w:rsidR="00DD3182">
        <w:rPr>
          <w:lang w:val="en-US"/>
        </w:rPr>
        <w:t xml:space="preserve"> lactate dehydrogenase </w:t>
      </w:r>
      <w:r w:rsidR="00D16726">
        <w:rPr>
          <w:lang w:val="en-US"/>
        </w:rPr>
        <w:t>activity and temperature</w:t>
      </w:r>
      <w:r w:rsidR="003639C8">
        <w:rPr>
          <w:lang w:val="en-US"/>
        </w:rPr>
        <w:t xml:space="preserve">, </w:t>
      </w:r>
      <w:r w:rsidR="00A56CDE">
        <w:rPr>
          <w:lang w:val="en-US"/>
        </w:rPr>
        <w:t xml:space="preserve">temperature </w:t>
      </w:r>
      <w:r w:rsidR="003639C8">
        <w:rPr>
          <w:lang w:val="en-US"/>
        </w:rPr>
        <w:t>w</w:t>
      </w:r>
      <w:r w:rsidR="00A56CDE">
        <w:rPr>
          <w:lang w:val="en-US"/>
        </w:rPr>
        <w:t xml:space="preserve">as </w:t>
      </w:r>
      <w:r w:rsidR="003639C8">
        <w:rPr>
          <w:lang w:val="en-US"/>
        </w:rPr>
        <w:t xml:space="preserve">modelled as </w:t>
      </w:r>
      <w:r w:rsidR="00A56CDE">
        <w:rPr>
          <w:lang w:val="en-US"/>
        </w:rPr>
        <w:t>a continuous numerical variable</w:t>
      </w:r>
      <w:r w:rsidR="00B2430E">
        <w:rPr>
          <w:lang w:val="en-US"/>
        </w:rPr>
        <w:t xml:space="preserve"> and third order polynomial</w:t>
      </w:r>
      <w:r w:rsidR="00A56CDE">
        <w:rPr>
          <w:lang w:val="en-US"/>
        </w:rPr>
        <w:t>, tissue mass (centered</w:t>
      </w:r>
      <w:r w:rsidR="00591C53">
        <w:rPr>
          <w:lang w:val="en-US"/>
        </w:rPr>
        <w:t>; fixed</w:t>
      </w:r>
      <w:r w:rsidR="00A56CDE">
        <w:rPr>
          <w:lang w:val="en-US"/>
        </w:rPr>
        <w:t>), and individual</w:t>
      </w:r>
      <w:r w:rsidR="00B2430E">
        <w:rPr>
          <w:lang w:val="en-US"/>
        </w:rPr>
        <w:t xml:space="preserve"> fish identification codes as a random factor. </w:t>
      </w:r>
      <w:r w:rsidR="00642412">
        <w:rPr>
          <w:lang w:val="en-US"/>
        </w:rPr>
        <w:t>Hematocrit was modelled as</w:t>
      </w:r>
      <w:r w:rsidR="00591C53">
        <w:rPr>
          <w:lang w:val="en-US"/>
        </w:rPr>
        <w:t xml:space="preserve"> a</w:t>
      </w:r>
      <w:r w:rsidR="00642412">
        <w:rPr>
          <w:lang w:val="en-US"/>
        </w:rPr>
        <w:t xml:space="preserve"> linear regression with percent packed blood cells as the dependent factor and region as an independent variable. </w:t>
      </w:r>
    </w:p>
    <w:p w14:paraId="598E56E9" w14:textId="522F994D" w:rsidR="00F02D61" w:rsidRPr="005B2247" w:rsidRDefault="00642412" w:rsidP="001944F6">
      <w:pPr>
        <w:jc w:val="both"/>
        <w:rPr>
          <w:lang w:val="en-US"/>
        </w:rPr>
      </w:pPr>
      <w:r>
        <w:rPr>
          <w:lang w:val="en-US"/>
        </w:rPr>
        <w:t>All statistical analysis was conducted in R</w:t>
      </w:r>
      <w:r w:rsidR="00FB3134">
        <w:rPr>
          <w:lang w:val="en-US"/>
        </w:rPr>
        <w:t xml:space="preserve"> (v</w:t>
      </w:r>
      <w:r w:rsidR="00DF311C">
        <w:rPr>
          <w:lang w:val="en-US"/>
        </w:rPr>
        <w:t xml:space="preserve"> </w:t>
      </w:r>
      <w:r w:rsidR="007776F4">
        <w:rPr>
          <w:lang w:val="en-US"/>
        </w:rPr>
        <w:t>4.2.2</w:t>
      </w:r>
      <w:r w:rsidR="00DE221B">
        <w:rPr>
          <w:lang w:val="en-US"/>
        </w:rPr>
        <w:t>). GLMMs were run using the ‘</w:t>
      </w:r>
      <w:proofErr w:type="spellStart"/>
      <w:r w:rsidR="00DE221B">
        <w:rPr>
          <w:lang w:val="en-US"/>
        </w:rPr>
        <w:t>glmmTMB</w:t>
      </w:r>
      <w:proofErr w:type="spellEnd"/>
      <w:r w:rsidR="00DE221B">
        <w:rPr>
          <w:lang w:val="en-US"/>
        </w:rPr>
        <w:t xml:space="preserve">’ function within the </w:t>
      </w:r>
      <w:r w:rsidR="00D03A0B">
        <w:rPr>
          <w:lang w:val="en-US"/>
        </w:rPr>
        <w:t>‘</w:t>
      </w:r>
      <w:proofErr w:type="spellStart"/>
      <w:r w:rsidR="00D03A0B">
        <w:rPr>
          <w:i/>
          <w:iCs/>
          <w:lang w:val="en-US"/>
        </w:rPr>
        <w:t>glmmTMB</w:t>
      </w:r>
      <w:proofErr w:type="spellEnd"/>
      <w:r w:rsidR="00D03A0B">
        <w:rPr>
          <w:i/>
          <w:iCs/>
          <w:lang w:val="en-US"/>
        </w:rPr>
        <w:t xml:space="preserve">’ </w:t>
      </w:r>
      <w:r w:rsidR="00D03A0B">
        <w:rPr>
          <w:lang w:val="en-US"/>
        </w:rPr>
        <w:t xml:space="preserve">(v.1.1.5). </w:t>
      </w:r>
      <w:r w:rsidR="003340E6">
        <w:rPr>
          <w:lang w:val="en-US"/>
        </w:rPr>
        <w:t xml:space="preserve">Model selection occurred </w:t>
      </w:r>
      <w:r w:rsidR="00FA0278">
        <w:rPr>
          <w:lang w:val="en-US"/>
        </w:rPr>
        <w:t>using</w:t>
      </w:r>
      <w:r w:rsidR="003340E6">
        <w:rPr>
          <w:lang w:val="en-US"/>
        </w:rPr>
        <w:t xml:space="preserve"> the function ‘</w:t>
      </w:r>
      <w:proofErr w:type="spellStart"/>
      <w:r w:rsidR="003340E6">
        <w:rPr>
          <w:lang w:val="en-US"/>
        </w:rPr>
        <w:t>AICc</w:t>
      </w:r>
      <w:proofErr w:type="spellEnd"/>
      <w:r w:rsidR="003340E6">
        <w:rPr>
          <w:lang w:val="en-US"/>
        </w:rPr>
        <w:t xml:space="preserve">’ via the </w:t>
      </w:r>
      <w:r w:rsidR="003340E6">
        <w:rPr>
          <w:i/>
          <w:iCs/>
          <w:lang w:val="en-US"/>
        </w:rPr>
        <w:t>‘</w:t>
      </w:r>
      <w:proofErr w:type="spellStart"/>
      <w:r w:rsidR="003340E6">
        <w:rPr>
          <w:i/>
          <w:iCs/>
          <w:lang w:val="en-US"/>
        </w:rPr>
        <w:t>Mu</w:t>
      </w:r>
      <w:r w:rsidR="005B2938">
        <w:rPr>
          <w:i/>
          <w:iCs/>
          <w:lang w:val="en-US"/>
        </w:rPr>
        <w:t>Min</w:t>
      </w:r>
      <w:proofErr w:type="spellEnd"/>
      <w:r w:rsidR="005B2938">
        <w:rPr>
          <w:i/>
          <w:iCs/>
          <w:lang w:val="en-US"/>
        </w:rPr>
        <w:t xml:space="preserve">’ </w:t>
      </w:r>
      <w:r w:rsidR="005B2938">
        <w:rPr>
          <w:lang w:val="en-US"/>
        </w:rPr>
        <w:t xml:space="preserve">(v.1.47.1). Visual and statistical </w:t>
      </w:r>
      <w:r w:rsidR="00ED5F3B">
        <w:rPr>
          <w:lang w:val="en-US"/>
        </w:rPr>
        <w:t>performance of models was checked via both the ‘</w:t>
      </w:r>
      <w:proofErr w:type="spellStart"/>
      <w:r w:rsidR="00ED5F3B">
        <w:rPr>
          <w:lang w:val="en-US"/>
        </w:rPr>
        <w:t>check_model</w:t>
      </w:r>
      <w:proofErr w:type="spellEnd"/>
      <w:r w:rsidR="00ED5F3B">
        <w:rPr>
          <w:lang w:val="en-US"/>
        </w:rPr>
        <w:t xml:space="preserve">’ function in the </w:t>
      </w:r>
      <w:r w:rsidR="00ED5F3B">
        <w:rPr>
          <w:i/>
          <w:iCs/>
          <w:lang w:val="en-US"/>
        </w:rPr>
        <w:t xml:space="preserve">‘performance’ </w:t>
      </w:r>
      <w:r w:rsidR="00ED5F3B">
        <w:rPr>
          <w:lang w:val="en-US"/>
        </w:rPr>
        <w:t>(v. 0.10.0) package</w:t>
      </w:r>
      <w:r w:rsidR="00E24C3F">
        <w:rPr>
          <w:lang w:val="en-US"/>
        </w:rPr>
        <w:t xml:space="preserve"> and the ‘</w:t>
      </w:r>
      <w:proofErr w:type="spellStart"/>
      <w:r w:rsidR="00E24C3F">
        <w:rPr>
          <w:lang w:val="en-US"/>
        </w:rPr>
        <w:t>simulateRedisuals</w:t>
      </w:r>
      <w:proofErr w:type="spellEnd"/>
      <w:r w:rsidR="00E24C3F">
        <w:rPr>
          <w:lang w:val="en-US"/>
        </w:rPr>
        <w:t>’ and ‘</w:t>
      </w:r>
      <w:proofErr w:type="spellStart"/>
      <w:r w:rsidR="00E24C3F">
        <w:rPr>
          <w:lang w:val="en-US"/>
        </w:rPr>
        <w:t>testResiduals</w:t>
      </w:r>
      <w:proofErr w:type="spellEnd"/>
      <w:r w:rsidR="00E24C3F">
        <w:rPr>
          <w:lang w:val="en-US"/>
        </w:rPr>
        <w:t>’ functions in the</w:t>
      </w:r>
      <w:r w:rsidR="007B1604">
        <w:rPr>
          <w:lang w:val="en-US"/>
        </w:rPr>
        <w:t xml:space="preserve"> ‘</w:t>
      </w:r>
      <w:proofErr w:type="spellStart"/>
      <w:r w:rsidR="007B1604">
        <w:rPr>
          <w:i/>
          <w:iCs/>
          <w:lang w:val="en-US"/>
        </w:rPr>
        <w:t>DHARMa</w:t>
      </w:r>
      <w:proofErr w:type="spellEnd"/>
      <w:r w:rsidR="007B1604">
        <w:rPr>
          <w:i/>
          <w:iCs/>
          <w:lang w:val="en-US"/>
        </w:rPr>
        <w:t xml:space="preserve">’ </w:t>
      </w:r>
      <w:r w:rsidR="007B1604">
        <w:rPr>
          <w:lang w:val="en-US"/>
        </w:rPr>
        <w:t xml:space="preserve">(v. 0.4.6) package. </w:t>
      </w:r>
      <w:r w:rsidR="00DF311C">
        <w:rPr>
          <w:lang w:val="en-US"/>
        </w:rPr>
        <w:t xml:space="preserve">The </w:t>
      </w:r>
      <w:r w:rsidR="00DF311C">
        <w:rPr>
          <w:i/>
          <w:iCs/>
          <w:lang w:val="en-US"/>
        </w:rPr>
        <w:t>‘</w:t>
      </w:r>
      <w:proofErr w:type="spellStart"/>
      <w:r w:rsidR="00DF311C">
        <w:rPr>
          <w:i/>
          <w:iCs/>
          <w:lang w:val="en-US"/>
        </w:rPr>
        <w:t>emmeans</w:t>
      </w:r>
      <w:proofErr w:type="spellEnd"/>
      <w:r w:rsidR="00DF311C">
        <w:rPr>
          <w:i/>
          <w:iCs/>
          <w:lang w:val="en-US"/>
        </w:rPr>
        <w:t>’</w:t>
      </w:r>
      <w:r w:rsidR="00DF311C">
        <w:rPr>
          <w:lang w:val="en-US"/>
        </w:rPr>
        <w:t xml:space="preserve"> (v. </w:t>
      </w:r>
      <w:r w:rsidR="00E5432A">
        <w:rPr>
          <w:lang w:val="en-US"/>
        </w:rPr>
        <w:t>1.8.2) package was used to extract estimated marginal means from models that were used to tested for statistical significance.</w:t>
      </w:r>
      <w:r w:rsidR="00B46394">
        <w:rPr>
          <w:lang w:val="en-US"/>
        </w:rPr>
        <w:t xml:space="preserve"> </w:t>
      </w:r>
      <w:r w:rsidR="001B2621">
        <w:rPr>
          <w:lang w:val="en-US"/>
        </w:rPr>
        <w:t>All figures were made using the ‘</w:t>
      </w:r>
      <w:r w:rsidR="001B2621">
        <w:rPr>
          <w:i/>
          <w:iCs/>
          <w:lang w:val="en-US"/>
        </w:rPr>
        <w:t>ggplot2</w:t>
      </w:r>
      <w:r w:rsidR="001B2621">
        <w:rPr>
          <w:lang w:val="en-US"/>
        </w:rPr>
        <w:t xml:space="preserve">’ (v. </w:t>
      </w:r>
      <w:r w:rsidR="00224B15">
        <w:rPr>
          <w:lang w:val="en-US"/>
        </w:rPr>
        <w:t xml:space="preserve">3.4.0) package. </w:t>
      </w:r>
    </w:p>
    <w:p w14:paraId="5E0E321C" w14:textId="15EEC28E" w:rsidR="00486F92" w:rsidRPr="00486F92" w:rsidRDefault="00486F92" w:rsidP="00486F92">
      <w:pPr>
        <w:pStyle w:val="Heading2"/>
        <w:rPr>
          <w:lang w:val="en-US"/>
        </w:rPr>
      </w:pPr>
    </w:p>
    <w:p w14:paraId="5E3C3CD8" w14:textId="5F4D09A8" w:rsidR="00BB13BE" w:rsidRDefault="00BB13BE" w:rsidP="00BB13BE">
      <w:pPr>
        <w:jc w:val="both"/>
        <w:rPr>
          <w:lang w:val="en-US"/>
        </w:rPr>
      </w:pPr>
    </w:p>
    <w:p w14:paraId="29785204" w14:textId="07EF3115" w:rsidR="002E764B" w:rsidRDefault="002E764B" w:rsidP="00BB13BE">
      <w:pPr>
        <w:jc w:val="both"/>
        <w:rPr>
          <w:lang w:val="en-US"/>
        </w:rPr>
      </w:pPr>
    </w:p>
    <w:p w14:paraId="7E3AACFF" w14:textId="5D8824D0" w:rsidR="002E764B" w:rsidRDefault="002E764B" w:rsidP="002E764B">
      <w:pPr>
        <w:pStyle w:val="Heading1"/>
        <w:rPr>
          <w:lang w:val="en-US"/>
        </w:rPr>
      </w:pPr>
      <w:r>
        <w:rPr>
          <w:lang w:val="en-US"/>
        </w:rPr>
        <w:t xml:space="preserve">Results </w:t>
      </w:r>
    </w:p>
    <w:p w14:paraId="4AF917FA" w14:textId="4BC51BAD" w:rsidR="002E764B" w:rsidRDefault="00856A93" w:rsidP="00CF792A">
      <w:pPr>
        <w:jc w:val="both"/>
        <w:rPr>
          <w:lang w:val="en-US"/>
        </w:rPr>
      </w:pPr>
      <w:r>
        <w:rPr>
          <w:lang w:val="en-US"/>
        </w:rPr>
        <w:t xml:space="preserve">In total </w:t>
      </w:r>
      <w:r w:rsidR="00B1563E" w:rsidRPr="0004467B">
        <w:rPr>
          <w:highlight w:val="cyan"/>
          <w:lang w:val="en-US"/>
        </w:rPr>
        <w:t>XX</w:t>
      </w:r>
      <w:r w:rsidR="00B1563E">
        <w:rPr>
          <w:lang w:val="en-US"/>
        </w:rPr>
        <w:t xml:space="preserve"> fish were sampled</w:t>
      </w:r>
      <w:r w:rsidR="0027011E">
        <w:rPr>
          <w:lang w:val="en-US"/>
        </w:rPr>
        <w:t xml:space="preserve"> over the duration of the experiment</w:t>
      </w:r>
      <w:r w:rsidR="00C104C6">
        <w:rPr>
          <w:lang w:val="en-US"/>
        </w:rPr>
        <w:t xml:space="preserve"> (</w:t>
      </w:r>
      <w:r w:rsidR="00C104C6">
        <w:rPr>
          <w:b/>
          <w:bCs/>
          <w:lang w:val="en-US"/>
        </w:rPr>
        <w:t xml:space="preserve">Table </w:t>
      </w:r>
      <w:r w:rsidR="00A4739D">
        <w:rPr>
          <w:b/>
          <w:bCs/>
          <w:lang w:val="en-US"/>
        </w:rPr>
        <w:t>1</w:t>
      </w:r>
      <w:r w:rsidR="00A4739D">
        <w:rPr>
          <w:lang w:val="en-US"/>
        </w:rPr>
        <w:t xml:space="preserve">). </w:t>
      </w:r>
      <w:r w:rsidR="002E101D">
        <w:rPr>
          <w:lang w:val="en-US"/>
        </w:rPr>
        <w:t>Resting metabolic rate</w:t>
      </w:r>
      <w:r w:rsidR="00A64D80">
        <w:rPr>
          <w:lang w:val="en-US"/>
        </w:rPr>
        <w:t>, maximum metabolic rate, aerobic scope, immunocompetence, maximal enzyme analysis, hematocrit samples</w:t>
      </w:r>
      <w:r w:rsidR="00582907">
        <w:rPr>
          <w:lang w:val="en-US"/>
        </w:rPr>
        <w:t>, and genetic sequencing data</w:t>
      </w:r>
      <w:r w:rsidR="00A64D80">
        <w:rPr>
          <w:lang w:val="en-US"/>
        </w:rPr>
        <w:t xml:space="preserve"> were all collected </w:t>
      </w:r>
      <w:r w:rsidR="00D2564E">
        <w:rPr>
          <w:lang w:val="en-US"/>
        </w:rPr>
        <w:t>for</w:t>
      </w:r>
      <w:r w:rsidR="001F4139">
        <w:rPr>
          <w:lang w:val="en-US"/>
        </w:rPr>
        <w:t xml:space="preserve"> </w:t>
      </w:r>
      <w:r w:rsidR="001F4139">
        <w:rPr>
          <w:i/>
          <w:iCs/>
          <w:lang w:val="en-US"/>
        </w:rPr>
        <w:t>n =38</w:t>
      </w:r>
      <w:r w:rsidR="001F4139">
        <w:rPr>
          <w:lang w:val="en-US"/>
        </w:rPr>
        <w:t xml:space="preserve"> fish in total</w:t>
      </w:r>
      <w:r w:rsidR="00B31189">
        <w:rPr>
          <w:lang w:val="en-US"/>
        </w:rPr>
        <w:t>, sampled from Tongue Reef</w:t>
      </w:r>
      <w:r w:rsidR="00D86123">
        <w:rPr>
          <w:lang w:val="en-US"/>
        </w:rPr>
        <w:t xml:space="preserve"> (</w:t>
      </w:r>
      <w:r w:rsidR="002372D0">
        <w:rPr>
          <w:i/>
          <w:iCs/>
          <w:lang w:val="en-US"/>
        </w:rPr>
        <w:t>n =</w:t>
      </w:r>
      <w:r w:rsidR="005A5201">
        <w:rPr>
          <w:i/>
          <w:iCs/>
          <w:lang w:val="en-US"/>
        </w:rPr>
        <w:t>6</w:t>
      </w:r>
      <w:r w:rsidR="00D86123">
        <w:rPr>
          <w:lang w:val="en-US"/>
        </w:rPr>
        <w:t>), Sudbury Reef (</w:t>
      </w:r>
      <w:r w:rsidR="002372D0">
        <w:rPr>
          <w:i/>
          <w:iCs/>
          <w:lang w:val="en-US"/>
        </w:rPr>
        <w:t>n =</w:t>
      </w:r>
      <w:r w:rsidR="005A5201">
        <w:rPr>
          <w:i/>
          <w:iCs/>
          <w:lang w:val="en-US"/>
        </w:rPr>
        <w:t>9</w:t>
      </w:r>
      <w:r w:rsidR="00D86123">
        <w:rPr>
          <w:lang w:val="en-US"/>
        </w:rPr>
        <w:t xml:space="preserve">), </w:t>
      </w:r>
      <w:proofErr w:type="spellStart"/>
      <w:r w:rsidR="00D86123">
        <w:rPr>
          <w:lang w:val="en-US"/>
        </w:rPr>
        <w:t>Vlassof</w:t>
      </w:r>
      <w:proofErr w:type="spellEnd"/>
      <w:r w:rsidR="00D86123">
        <w:rPr>
          <w:lang w:val="en-US"/>
        </w:rPr>
        <w:t xml:space="preserve"> Cay (</w:t>
      </w:r>
      <w:r w:rsidR="002372D0">
        <w:rPr>
          <w:i/>
          <w:iCs/>
          <w:lang w:val="en-US"/>
        </w:rPr>
        <w:t>n =</w:t>
      </w:r>
      <w:r w:rsidR="00F30971">
        <w:rPr>
          <w:i/>
          <w:iCs/>
          <w:lang w:val="en-US"/>
        </w:rPr>
        <w:t>6</w:t>
      </w:r>
      <w:r w:rsidR="00D86123">
        <w:rPr>
          <w:lang w:val="en-US"/>
        </w:rPr>
        <w:t>), Cockermouth Island (</w:t>
      </w:r>
      <w:r w:rsidR="002372D0">
        <w:rPr>
          <w:i/>
          <w:iCs/>
          <w:lang w:val="en-US"/>
        </w:rPr>
        <w:t>n =</w:t>
      </w:r>
      <w:r w:rsidR="005A5201">
        <w:rPr>
          <w:i/>
          <w:iCs/>
          <w:lang w:val="en-US"/>
        </w:rPr>
        <w:t>8</w:t>
      </w:r>
      <w:r w:rsidR="00D86123">
        <w:rPr>
          <w:lang w:val="en-US"/>
        </w:rPr>
        <w:t>), Keswick Island (</w:t>
      </w:r>
      <w:r w:rsidR="002372D0">
        <w:rPr>
          <w:i/>
          <w:iCs/>
          <w:lang w:val="en-US"/>
        </w:rPr>
        <w:t>n =</w:t>
      </w:r>
      <w:r w:rsidR="005A5201">
        <w:rPr>
          <w:i/>
          <w:iCs/>
          <w:lang w:val="en-US"/>
        </w:rPr>
        <w:t>4</w:t>
      </w:r>
      <w:r w:rsidR="00D86123">
        <w:rPr>
          <w:lang w:val="en-US"/>
        </w:rPr>
        <w:t>), and Chauvel Reef (</w:t>
      </w:r>
      <w:r w:rsidR="002372D0">
        <w:rPr>
          <w:i/>
          <w:iCs/>
          <w:lang w:val="en-US"/>
        </w:rPr>
        <w:t>n =</w:t>
      </w:r>
      <w:r w:rsidR="0025011F">
        <w:rPr>
          <w:i/>
          <w:iCs/>
          <w:lang w:val="en-US"/>
        </w:rPr>
        <w:t>5</w:t>
      </w:r>
      <w:r w:rsidR="002372D0">
        <w:rPr>
          <w:lang w:val="en-US"/>
        </w:rPr>
        <w:t>).</w:t>
      </w:r>
      <w:r w:rsidR="00F30971">
        <w:rPr>
          <w:lang w:val="en-US"/>
        </w:rPr>
        <w:t xml:space="preserve"> </w:t>
      </w:r>
      <w:r w:rsidR="00C315BA">
        <w:rPr>
          <w:lang w:val="en-US"/>
        </w:rPr>
        <w:t>Additional samples were included for the respirometry and immunocompetence trials</w:t>
      </w:r>
      <w:r w:rsidR="00341629">
        <w:rPr>
          <w:lang w:val="en-US"/>
        </w:rPr>
        <w:t xml:space="preserve">, however, not all fish survived </w:t>
      </w:r>
      <w:r w:rsidR="00AF22AA">
        <w:rPr>
          <w:lang w:val="en-US"/>
        </w:rPr>
        <w:t>the duration of the</w:t>
      </w:r>
      <w:r w:rsidR="00341629">
        <w:rPr>
          <w:lang w:val="en-US"/>
        </w:rPr>
        <w:t xml:space="preserve"> experiment.</w:t>
      </w:r>
    </w:p>
    <w:p w14:paraId="2190C010" w14:textId="403A01FC" w:rsidR="00F30971" w:rsidRDefault="00F30971" w:rsidP="00F30971">
      <w:pPr>
        <w:pStyle w:val="Heading2"/>
        <w:rPr>
          <w:lang w:val="en-US"/>
        </w:rPr>
      </w:pPr>
      <w:r>
        <w:rPr>
          <w:lang w:val="en-US"/>
        </w:rPr>
        <w:lastRenderedPageBreak/>
        <w:t xml:space="preserve">Metabolic rate </w:t>
      </w:r>
    </w:p>
    <w:p w14:paraId="0C6AF2BF" w14:textId="50746CD8" w:rsidR="00AF5D17" w:rsidRPr="00AF5D17" w:rsidRDefault="00AF5D17" w:rsidP="00AF5D17">
      <w:pPr>
        <w:pStyle w:val="Heading3"/>
        <w:rPr>
          <w:lang w:val="en-US"/>
        </w:rPr>
      </w:pPr>
      <w:r>
        <w:rPr>
          <w:lang w:val="en-US"/>
        </w:rPr>
        <w:t>Net aerobic scope</w:t>
      </w:r>
    </w:p>
    <w:p w14:paraId="32F73949" w14:textId="7901C41E" w:rsidR="00664CB5" w:rsidRDefault="00F42102" w:rsidP="004F0777">
      <w:pPr>
        <w:spacing w:after="0" w:line="240" w:lineRule="auto"/>
        <w:jc w:val="both"/>
        <w:rPr>
          <w:rFonts w:cstheme="minorHAnsi"/>
          <w:lang w:val="en-US"/>
        </w:rPr>
      </w:pPr>
      <w:r>
        <w:rPr>
          <w:rFonts w:cstheme="minorHAnsi"/>
          <w:lang w:val="en-US"/>
        </w:rPr>
        <w:t xml:space="preserve">Significant differences in net aerobic scope </w:t>
      </w:r>
      <w:r w:rsidR="002A25C7">
        <w:rPr>
          <w:rFonts w:cstheme="minorHAnsi"/>
          <w:lang w:val="en-US"/>
        </w:rPr>
        <w:t xml:space="preserve">(NAS) </w:t>
      </w:r>
      <w:r>
        <w:rPr>
          <w:rFonts w:cstheme="minorHAnsi"/>
          <w:lang w:val="en-US"/>
        </w:rPr>
        <w:t xml:space="preserve">were seen between </w:t>
      </w:r>
      <w:r w:rsidR="00FD7C4E">
        <w:rPr>
          <w:rFonts w:cstheme="minorHAnsi"/>
          <w:lang w:val="en-US"/>
        </w:rPr>
        <w:t>fish from Cairns and Mackay regions of the GBR at</w:t>
      </w:r>
      <w:r w:rsidR="00D52A87">
        <w:rPr>
          <w:rFonts w:cstheme="minorHAnsi"/>
          <w:lang w:val="en-US"/>
        </w:rPr>
        <w:t xml:space="preserve"> warmer temperatures</w:t>
      </w:r>
      <w:r w:rsidR="00060B5A">
        <w:rPr>
          <w:rFonts w:cstheme="minorHAnsi"/>
          <w:lang w:val="en-US"/>
        </w:rPr>
        <w:t xml:space="preserve"> (</w:t>
      </w:r>
      <w:r w:rsidR="00060B5A">
        <w:rPr>
          <w:rFonts w:cstheme="minorHAnsi"/>
          <w:b/>
          <w:bCs/>
          <w:lang w:val="en-US"/>
        </w:rPr>
        <w:t>Figure</w:t>
      </w:r>
      <w:r w:rsidR="002F42C1">
        <w:rPr>
          <w:rFonts w:cstheme="minorHAnsi"/>
          <w:b/>
          <w:bCs/>
          <w:lang w:val="en-US"/>
        </w:rPr>
        <w:t>2</w:t>
      </w:r>
      <w:r w:rsidR="0010579E">
        <w:rPr>
          <w:rFonts w:cstheme="minorHAnsi"/>
          <w:b/>
          <w:bCs/>
          <w:lang w:val="en-US"/>
        </w:rPr>
        <w:t>a</w:t>
      </w:r>
      <w:r w:rsidR="00060B5A">
        <w:rPr>
          <w:rFonts w:cstheme="minorHAnsi"/>
          <w:lang w:val="en-US"/>
        </w:rPr>
        <w:t>)</w:t>
      </w:r>
      <w:r w:rsidR="00D52A87">
        <w:rPr>
          <w:rFonts w:cstheme="minorHAnsi"/>
          <w:lang w:val="en-US"/>
        </w:rPr>
        <w:t>.</w:t>
      </w:r>
      <w:r w:rsidR="005B2247">
        <w:rPr>
          <w:rFonts w:cstheme="minorHAnsi"/>
          <w:lang w:val="en-US"/>
        </w:rPr>
        <w:t xml:space="preserve"> At 30°C (</w:t>
      </w:r>
      <w:r w:rsidR="001B199C">
        <w:rPr>
          <w:rFonts w:cstheme="minorHAnsi"/>
          <w:i/>
          <w:iCs/>
          <w:lang w:val="en-US"/>
        </w:rPr>
        <w:t>p =0.0050</w:t>
      </w:r>
      <w:r w:rsidR="000F2E21">
        <w:rPr>
          <w:rFonts w:cstheme="minorHAnsi"/>
          <w:i/>
          <w:iCs/>
          <w:lang w:val="en-US"/>
        </w:rPr>
        <w:t xml:space="preserve">, </w:t>
      </w:r>
      <w:r w:rsidR="000F2E21">
        <w:rPr>
          <w:rFonts w:cstheme="minorHAnsi"/>
          <w:lang w:val="en-US"/>
        </w:rPr>
        <w:t xml:space="preserve">[CI: </w:t>
      </w:r>
      <w:r w:rsidR="000059BF">
        <w:rPr>
          <w:rFonts w:cstheme="minorHAnsi"/>
          <w:lang w:val="en-US"/>
        </w:rPr>
        <w:t>0.732</w:t>
      </w:r>
      <w:r w:rsidR="00876293">
        <w:rPr>
          <w:rFonts w:cstheme="minorHAnsi"/>
          <w:lang w:val="en-US"/>
        </w:rPr>
        <w:t>,</w:t>
      </w:r>
      <w:r w:rsidR="000059BF">
        <w:rPr>
          <w:rFonts w:cstheme="minorHAnsi"/>
          <w:lang w:val="en-US"/>
        </w:rPr>
        <w:t xml:space="preserve"> 4.06]</w:t>
      </w:r>
      <w:r w:rsidR="005B2247">
        <w:rPr>
          <w:rFonts w:cstheme="minorHAnsi"/>
          <w:lang w:val="en-US"/>
        </w:rPr>
        <w:t>) and 31.5°C (</w:t>
      </w:r>
      <w:r w:rsidR="001B199C">
        <w:rPr>
          <w:rFonts w:cstheme="minorHAnsi"/>
          <w:i/>
          <w:iCs/>
          <w:lang w:val="en-US"/>
        </w:rPr>
        <w:t>p =</w:t>
      </w:r>
      <w:r w:rsidR="000F2E21">
        <w:rPr>
          <w:rFonts w:cstheme="minorHAnsi"/>
          <w:i/>
          <w:iCs/>
          <w:lang w:val="en-US"/>
        </w:rPr>
        <w:t>0.0094</w:t>
      </w:r>
      <w:r w:rsidR="000059BF">
        <w:rPr>
          <w:rFonts w:cstheme="minorHAnsi"/>
          <w:i/>
          <w:iCs/>
          <w:lang w:val="en-US"/>
        </w:rPr>
        <w:t>,</w:t>
      </w:r>
      <w:r w:rsidR="00C249C2">
        <w:rPr>
          <w:rFonts w:cstheme="minorHAnsi"/>
          <w:i/>
          <w:iCs/>
          <w:lang w:val="en-US"/>
        </w:rPr>
        <w:t xml:space="preserve"> </w:t>
      </w:r>
      <w:r w:rsidR="000059BF">
        <w:rPr>
          <w:rFonts w:cstheme="minorHAnsi"/>
          <w:lang w:val="en-US"/>
        </w:rPr>
        <w:t xml:space="preserve">[CI: 0.565, </w:t>
      </w:r>
      <w:r w:rsidR="00876293">
        <w:rPr>
          <w:rFonts w:cstheme="minorHAnsi"/>
          <w:lang w:val="en-US"/>
        </w:rPr>
        <w:t>3.99]</w:t>
      </w:r>
      <w:r w:rsidR="005B2247">
        <w:rPr>
          <w:rFonts w:cstheme="minorHAnsi"/>
          <w:lang w:val="en-US"/>
        </w:rPr>
        <w:t>)</w:t>
      </w:r>
      <w:r w:rsidR="00D914EC">
        <w:rPr>
          <w:rFonts w:cstheme="minorHAnsi"/>
          <w:lang w:val="en-US"/>
        </w:rPr>
        <w:t xml:space="preserve"> fish from the Cairns region had significantly larger aerobic scope capacity than fish from Mackay. </w:t>
      </w:r>
      <w:r w:rsidR="00EB6430">
        <w:rPr>
          <w:rFonts w:cstheme="minorHAnsi"/>
          <w:lang w:val="en-US"/>
        </w:rPr>
        <w:t>The net aerobic capacity of Cairns region fish w</w:t>
      </w:r>
      <w:r w:rsidR="00A11929">
        <w:rPr>
          <w:rFonts w:cstheme="minorHAnsi"/>
          <w:lang w:val="en-US"/>
        </w:rPr>
        <w:t>as</w:t>
      </w:r>
      <w:r w:rsidR="008A3355">
        <w:rPr>
          <w:rFonts w:cstheme="minorHAnsi"/>
          <w:lang w:val="en-US"/>
        </w:rPr>
        <w:t xml:space="preserve"> </w:t>
      </w:r>
      <w:r w:rsidR="00AF5D17">
        <w:rPr>
          <w:rFonts w:cstheme="minorHAnsi"/>
          <w:lang w:val="en-US"/>
        </w:rPr>
        <w:t>2.40 and</w:t>
      </w:r>
      <w:r w:rsidR="00A01637">
        <w:rPr>
          <w:rFonts w:cstheme="minorHAnsi"/>
          <w:lang w:val="en-US"/>
        </w:rPr>
        <w:t xml:space="preserve"> 2.28 </w:t>
      </w:r>
      <w:r w:rsidR="008A3355" w:rsidRPr="008A3355">
        <w:rPr>
          <w:rFonts w:cstheme="minorHAnsi"/>
          <w:highlight w:val="yellow"/>
          <w:lang w:val="en-US"/>
        </w:rPr>
        <w:t>MgO2_hr</w:t>
      </w:r>
      <w:r w:rsidR="008A3355">
        <w:rPr>
          <w:rFonts w:cstheme="minorHAnsi"/>
          <w:lang w:val="en-US"/>
        </w:rPr>
        <w:t xml:space="preserve"> of oxygen larger at</w:t>
      </w:r>
      <w:r w:rsidR="00A01637">
        <w:rPr>
          <w:rFonts w:cstheme="minorHAnsi"/>
          <w:lang w:val="en-US"/>
        </w:rPr>
        <w:t xml:space="preserve"> 30°C and 31.5°C</w:t>
      </w:r>
      <w:r w:rsidR="006A488B">
        <w:rPr>
          <w:rFonts w:cstheme="minorHAnsi"/>
          <w:lang w:val="en-US"/>
        </w:rPr>
        <w:t>, re</w:t>
      </w:r>
      <w:r w:rsidR="00CA7E22">
        <w:rPr>
          <w:rFonts w:cstheme="minorHAnsi"/>
          <w:lang w:val="en-US"/>
        </w:rPr>
        <w:t>spectively, both representing an increase in MgO2_hr of 30%</w:t>
      </w:r>
      <w:r w:rsidR="00FC0B81">
        <w:rPr>
          <w:rFonts w:cstheme="minorHAnsi"/>
          <w:lang w:val="en-US"/>
        </w:rPr>
        <w:t xml:space="preserve"> over Mackay region fish</w:t>
      </w:r>
      <w:r w:rsidR="00CA7E22">
        <w:rPr>
          <w:rFonts w:cstheme="minorHAnsi"/>
          <w:lang w:val="en-US"/>
        </w:rPr>
        <w:t>.</w:t>
      </w:r>
      <w:r w:rsidR="00AF5D17">
        <w:rPr>
          <w:rFonts w:cstheme="minorHAnsi"/>
          <w:lang w:val="en-US"/>
        </w:rPr>
        <w:t xml:space="preserve"> No significant differences</w:t>
      </w:r>
      <w:r w:rsidR="00CA7E22">
        <w:rPr>
          <w:rFonts w:cstheme="minorHAnsi"/>
          <w:lang w:val="en-US"/>
        </w:rPr>
        <w:t xml:space="preserve"> </w:t>
      </w:r>
      <w:r w:rsidR="00AF5D17">
        <w:rPr>
          <w:rFonts w:cstheme="minorHAnsi"/>
          <w:lang w:val="en-US"/>
        </w:rPr>
        <w:t xml:space="preserve">were identified between Cairns and Mackay region fish at </w:t>
      </w:r>
      <w:r w:rsidR="002A0D3E">
        <w:rPr>
          <w:rFonts w:cstheme="minorHAnsi"/>
          <w:lang w:val="en-US"/>
        </w:rPr>
        <w:t>27</w:t>
      </w:r>
      <w:r w:rsidR="00DE6943">
        <w:rPr>
          <w:rFonts w:cstheme="minorHAnsi"/>
          <w:lang w:val="en-US"/>
        </w:rPr>
        <w:t>°C</w:t>
      </w:r>
      <w:r w:rsidR="007A1F4C">
        <w:rPr>
          <w:rFonts w:cstheme="minorHAnsi"/>
          <w:lang w:val="en-US"/>
        </w:rPr>
        <w:t xml:space="preserve"> (</w:t>
      </w:r>
      <w:r w:rsidR="007A1F4C">
        <w:rPr>
          <w:rFonts w:cstheme="minorHAnsi"/>
          <w:i/>
          <w:iCs/>
          <w:lang w:val="en-US"/>
        </w:rPr>
        <w:t>p = 0.</w:t>
      </w:r>
      <w:r w:rsidR="005E0FBB">
        <w:rPr>
          <w:rFonts w:cstheme="minorHAnsi"/>
          <w:i/>
          <w:iCs/>
          <w:lang w:val="en-US"/>
        </w:rPr>
        <w:t>70</w:t>
      </w:r>
      <w:r w:rsidR="007A1F4C">
        <w:rPr>
          <w:rFonts w:cstheme="minorHAnsi"/>
          <w:lang w:val="en-US"/>
        </w:rPr>
        <w:t>), or 28.5°C</w:t>
      </w:r>
      <w:r w:rsidR="005E0FBB">
        <w:rPr>
          <w:rFonts w:cstheme="minorHAnsi"/>
          <w:lang w:val="en-US"/>
        </w:rPr>
        <w:t xml:space="preserve"> (</w:t>
      </w:r>
      <w:r w:rsidR="005E0FBB">
        <w:rPr>
          <w:rFonts w:cstheme="minorHAnsi"/>
          <w:i/>
          <w:iCs/>
          <w:lang w:val="en-US"/>
        </w:rPr>
        <w:t>p = 0.086</w:t>
      </w:r>
      <w:r w:rsidR="005E0FBB">
        <w:rPr>
          <w:rFonts w:cstheme="minorHAnsi"/>
          <w:lang w:val="en-US"/>
        </w:rPr>
        <w:t>).</w:t>
      </w:r>
      <w:r w:rsidR="00A73A42">
        <w:rPr>
          <w:rFonts w:cstheme="minorHAnsi"/>
          <w:lang w:val="en-US"/>
        </w:rPr>
        <w:t xml:space="preserve"> Changes in NAS across tested experimental temperatures occurred across greater increments (steeper trends) within fish from the Cairns region compared to fish from Mackay region.</w:t>
      </w:r>
      <w:r w:rsidR="005E0FBB">
        <w:rPr>
          <w:rFonts w:cstheme="minorHAnsi"/>
          <w:lang w:val="en-US"/>
        </w:rPr>
        <w:t xml:space="preserve"> </w:t>
      </w:r>
      <w:r w:rsidR="002A25C7">
        <w:rPr>
          <w:rFonts w:cstheme="minorHAnsi"/>
          <w:lang w:val="en-US"/>
        </w:rPr>
        <w:t>NAS</w:t>
      </w:r>
      <w:r w:rsidR="0097202A">
        <w:rPr>
          <w:rFonts w:cstheme="minorHAnsi"/>
          <w:lang w:val="en-US"/>
        </w:rPr>
        <w:t xml:space="preserve"> for Cairns region fish was lowest at</w:t>
      </w:r>
      <w:r w:rsidR="00757C42">
        <w:rPr>
          <w:rFonts w:cstheme="minorHAnsi"/>
          <w:lang w:val="en-US"/>
        </w:rPr>
        <w:t xml:space="preserve"> 27°C (</w:t>
      </w:r>
      <w:r w:rsidR="00294D2B">
        <w:rPr>
          <w:rFonts w:cstheme="minorHAnsi"/>
          <w:lang w:val="en-US"/>
        </w:rPr>
        <w:t>8.04 MgO2</w:t>
      </w:r>
      <w:r w:rsidR="003F3A8B">
        <w:rPr>
          <w:rFonts w:cstheme="minorHAnsi"/>
          <w:lang w:val="en-US"/>
        </w:rPr>
        <w:t xml:space="preserve"> hr</w:t>
      </w:r>
      <w:r w:rsidR="003F3A8B">
        <w:rPr>
          <w:rFonts w:cstheme="minorHAnsi"/>
          <w:vertAlign w:val="superscript"/>
          <w:lang w:val="en-US"/>
        </w:rPr>
        <w:t>-1</w:t>
      </w:r>
      <w:r w:rsidR="00757C42">
        <w:rPr>
          <w:rFonts w:cstheme="minorHAnsi"/>
          <w:lang w:val="en-US"/>
        </w:rPr>
        <w:t>)</w:t>
      </w:r>
      <w:r w:rsidR="003F3A8B">
        <w:rPr>
          <w:rFonts w:cstheme="minorHAnsi"/>
          <w:lang w:val="en-US"/>
        </w:rPr>
        <w:t>, and highest at 30°C (10.40 MgO2</w:t>
      </w:r>
      <w:r w:rsidR="00132A05">
        <w:rPr>
          <w:rFonts w:cstheme="minorHAnsi"/>
          <w:lang w:val="en-US"/>
        </w:rPr>
        <w:t xml:space="preserve"> hr</w:t>
      </w:r>
      <w:r w:rsidR="00132A05">
        <w:rPr>
          <w:rFonts w:cstheme="minorHAnsi"/>
          <w:vertAlign w:val="superscript"/>
          <w:lang w:val="en-US"/>
        </w:rPr>
        <w:t>-1</w:t>
      </w:r>
      <w:r w:rsidR="00132A05">
        <w:rPr>
          <w:rFonts w:cstheme="minorHAnsi"/>
          <w:lang w:val="en-US"/>
        </w:rPr>
        <w:t xml:space="preserve">), an increase of </w:t>
      </w:r>
      <w:r w:rsidR="004E1C1C">
        <w:rPr>
          <w:rFonts w:cstheme="minorHAnsi"/>
          <w:lang w:val="en-US"/>
        </w:rPr>
        <w:t xml:space="preserve">29%. </w:t>
      </w:r>
      <w:r w:rsidR="00A96B8F">
        <w:rPr>
          <w:rFonts w:cstheme="minorHAnsi"/>
          <w:lang w:val="en-US"/>
        </w:rPr>
        <w:t xml:space="preserve">Interestingly, at </w:t>
      </w:r>
      <w:r w:rsidR="00540A06">
        <w:rPr>
          <w:rFonts w:cstheme="minorHAnsi"/>
          <w:lang w:val="en-US"/>
        </w:rPr>
        <w:t>28.5°C and 31.5°C Cairns region fish showed similar NAS values</w:t>
      </w:r>
      <w:r w:rsidR="00351D68">
        <w:rPr>
          <w:rFonts w:cstheme="minorHAnsi"/>
          <w:lang w:val="en-US"/>
        </w:rPr>
        <w:t xml:space="preserve"> of 9.72 MgO2 hr</w:t>
      </w:r>
      <w:r w:rsidR="00351D68">
        <w:rPr>
          <w:rFonts w:cstheme="minorHAnsi"/>
          <w:vertAlign w:val="superscript"/>
          <w:lang w:val="en-US"/>
        </w:rPr>
        <w:t xml:space="preserve">-1 </w:t>
      </w:r>
      <w:r w:rsidR="00351D68">
        <w:rPr>
          <w:rFonts w:cstheme="minorHAnsi"/>
          <w:lang w:val="en-US"/>
        </w:rPr>
        <w:t>and 9.80</w:t>
      </w:r>
      <w:r w:rsidR="00351D68" w:rsidRPr="00351D68">
        <w:rPr>
          <w:rFonts w:cstheme="minorHAnsi"/>
          <w:lang w:val="en-US"/>
        </w:rPr>
        <w:t xml:space="preserve"> </w:t>
      </w:r>
      <w:r w:rsidR="00351D68">
        <w:rPr>
          <w:rFonts w:cstheme="minorHAnsi"/>
          <w:lang w:val="en-US"/>
        </w:rPr>
        <w:t>MgO2 hr</w:t>
      </w:r>
      <w:r w:rsidR="00351D68">
        <w:rPr>
          <w:rFonts w:cstheme="minorHAnsi"/>
          <w:vertAlign w:val="superscript"/>
          <w:lang w:val="en-US"/>
        </w:rPr>
        <w:t>-1</w:t>
      </w:r>
      <w:r w:rsidR="00421E2E">
        <w:rPr>
          <w:rFonts w:cstheme="minorHAnsi"/>
          <w:lang w:val="en-US"/>
        </w:rPr>
        <w:t xml:space="preserve">, respectively. </w:t>
      </w:r>
      <w:r w:rsidR="00520708">
        <w:rPr>
          <w:rFonts w:cstheme="minorHAnsi"/>
          <w:lang w:val="en-US"/>
        </w:rPr>
        <w:t>Differences between NAS values within Mackay region fish were</w:t>
      </w:r>
      <w:r w:rsidR="00B33F2C">
        <w:rPr>
          <w:rFonts w:cstheme="minorHAnsi"/>
          <w:lang w:val="en-US"/>
        </w:rPr>
        <w:t xml:space="preserve"> much less pronounced. The </w:t>
      </w:r>
      <w:r w:rsidR="008152BA">
        <w:rPr>
          <w:rFonts w:cstheme="minorHAnsi"/>
          <w:lang w:val="en-US"/>
        </w:rPr>
        <w:t xml:space="preserve">lowest </w:t>
      </w:r>
      <w:r w:rsidR="00B33F2C">
        <w:rPr>
          <w:rFonts w:cstheme="minorHAnsi"/>
          <w:lang w:val="en-US"/>
        </w:rPr>
        <w:t xml:space="preserve">NAS value for Mackay region fish was at </w:t>
      </w:r>
      <w:r w:rsidR="008152BA">
        <w:rPr>
          <w:rFonts w:cstheme="minorHAnsi"/>
          <w:lang w:val="en-US"/>
        </w:rPr>
        <w:t>31.5</w:t>
      </w:r>
      <w:r w:rsidR="008152BA" w:rsidRPr="009C125C">
        <w:rPr>
          <w:rFonts w:cstheme="minorHAnsi"/>
          <w:lang w:val="en-US"/>
        </w:rPr>
        <w:t xml:space="preserve"> </w:t>
      </w:r>
      <w:r w:rsidR="008152BA">
        <w:rPr>
          <w:rFonts w:cstheme="minorHAnsi"/>
          <w:lang w:val="en-US"/>
        </w:rPr>
        <w:t>°C (7.52 MgO2 hr</w:t>
      </w:r>
      <w:r w:rsidR="008152BA">
        <w:rPr>
          <w:rFonts w:cstheme="minorHAnsi"/>
          <w:vertAlign w:val="superscript"/>
          <w:lang w:val="en-US"/>
        </w:rPr>
        <w:t>-1</w:t>
      </w:r>
      <w:r w:rsidR="008152BA">
        <w:rPr>
          <w:rFonts w:cstheme="minorHAnsi"/>
          <w:lang w:val="en-US"/>
        </w:rPr>
        <w:t>),</w:t>
      </w:r>
      <w:r w:rsidR="009C125C">
        <w:rPr>
          <w:rFonts w:cstheme="minorHAnsi"/>
          <w:lang w:val="en-US"/>
        </w:rPr>
        <w:t xml:space="preserve"> while the </w:t>
      </w:r>
      <w:r w:rsidR="008152BA">
        <w:rPr>
          <w:rFonts w:cstheme="minorHAnsi"/>
          <w:lang w:val="en-US"/>
        </w:rPr>
        <w:t>highest</w:t>
      </w:r>
      <w:r w:rsidR="009C125C">
        <w:rPr>
          <w:rFonts w:cstheme="minorHAnsi"/>
          <w:lang w:val="en-US"/>
        </w:rPr>
        <w:t xml:space="preserve"> value at </w:t>
      </w:r>
      <w:r w:rsidR="008152BA">
        <w:rPr>
          <w:rFonts w:cstheme="minorHAnsi"/>
          <w:lang w:val="en-US"/>
        </w:rPr>
        <w:t>27</w:t>
      </w:r>
      <w:r w:rsidR="008152BA" w:rsidRPr="00B33F2C">
        <w:rPr>
          <w:rFonts w:cstheme="minorHAnsi"/>
          <w:lang w:val="en-US"/>
        </w:rPr>
        <w:t xml:space="preserve"> </w:t>
      </w:r>
      <w:r w:rsidR="008152BA">
        <w:rPr>
          <w:rFonts w:cstheme="minorHAnsi"/>
          <w:lang w:val="en-US"/>
        </w:rPr>
        <w:t>°C (8.37 MgO2 hr</w:t>
      </w:r>
      <w:r w:rsidR="008152BA">
        <w:rPr>
          <w:rFonts w:cstheme="minorHAnsi"/>
          <w:vertAlign w:val="superscript"/>
          <w:lang w:val="en-US"/>
        </w:rPr>
        <w:t>-1</w:t>
      </w:r>
      <w:r w:rsidR="008152BA">
        <w:rPr>
          <w:rFonts w:cstheme="minorHAnsi"/>
          <w:lang w:val="en-US"/>
        </w:rPr>
        <w:t>),</w:t>
      </w:r>
      <w:r w:rsidR="00581620">
        <w:rPr>
          <w:rFonts w:cstheme="minorHAnsi"/>
          <w:lang w:val="en-US"/>
        </w:rPr>
        <w:t xml:space="preserve"> just </w:t>
      </w:r>
      <w:r w:rsidR="008152BA">
        <w:rPr>
          <w:rFonts w:cstheme="minorHAnsi"/>
          <w:lang w:val="en-US"/>
        </w:rPr>
        <w:t>0.85 MgO2 hr</w:t>
      </w:r>
      <w:r w:rsidR="008152BA">
        <w:rPr>
          <w:rFonts w:cstheme="minorHAnsi"/>
          <w:vertAlign w:val="superscript"/>
          <w:lang w:val="en-US"/>
        </w:rPr>
        <w:t xml:space="preserve">-1 </w:t>
      </w:r>
      <w:r w:rsidR="008152BA">
        <w:rPr>
          <w:rFonts w:cstheme="minorHAnsi"/>
          <w:lang w:val="en-US"/>
        </w:rPr>
        <w:t xml:space="preserve">or </w:t>
      </w:r>
      <w:r w:rsidR="00234E7E">
        <w:rPr>
          <w:rFonts w:cstheme="minorHAnsi"/>
          <w:lang w:val="en-US"/>
        </w:rPr>
        <w:t xml:space="preserve">11% higher. </w:t>
      </w:r>
    </w:p>
    <w:p w14:paraId="0F4C7F97" w14:textId="71C82B6B" w:rsidR="00E45A33" w:rsidRDefault="00E45A33" w:rsidP="004F0777">
      <w:pPr>
        <w:spacing w:after="0" w:line="240" w:lineRule="auto"/>
        <w:jc w:val="both"/>
        <w:rPr>
          <w:rFonts w:cstheme="minorHAnsi"/>
          <w:lang w:val="en-US"/>
        </w:rPr>
      </w:pPr>
    </w:p>
    <w:p w14:paraId="77564D29" w14:textId="77777777" w:rsidR="00A362AF" w:rsidRDefault="00A362AF" w:rsidP="00A362AF">
      <w:pPr>
        <w:pStyle w:val="Heading3"/>
        <w:rPr>
          <w:lang w:val="en-US"/>
        </w:rPr>
      </w:pPr>
      <w:r>
        <w:rPr>
          <w:lang w:val="en-US"/>
        </w:rPr>
        <w:t xml:space="preserve">Maximum metabolic rate </w:t>
      </w:r>
    </w:p>
    <w:p w14:paraId="2736AB4C" w14:textId="6DE83BE1" w:rsidR="00A362AF" w:rsidRPr="00C70B78" w:rsidRDefault="00A362AF" w:rsidP="00C70B78">
      <w:pPr>
        <w:jc w:val="both"/>
        <w:rPr>
          <w:lang w:val="en-US"/>
        </w:rPr>
      </w:pPr>
      <w:r>
        <w:rPr>
          <w:lang w:val="en-US"/>
        </w:rPr>
        <w:t>Significant differences</w:t>
      </w:r>
      <w:r w:rsidR="002903B6">
        <w:rPr>
          <w:lang w:val="en-US"/>
        </w:rPr>
        <w:t xml:space="preserve"> in maximum metabolic rate between Cairns and Mackay region </w:t>
      </w:r>
      <w:r w:rsidR="00862E7A">
        <w:rPr>
          <w:lang w:val="en-US"/>
        </w:rPr>
        <w:t xml:space="preserve">fish </w:t>
      </w:r>
      <w:r w:rsidR="000342CF">
        <w:rPr>
          <w:lang w:val="en-US"/>
        </w:rPr>
        <w:t>were seen at similar temperatures as NAS. At 30</w:t>
      </w:r>
      <w:r w:rsidR="0010579E">
        <w:rPr>
          <w:rFonts w:cstheme="minorHAnsi"/>
          <w:lang w:val="en-US"/>
        </w:rPr>
        <w:t>°C (</w:t>
      </w:r>
      <w:r w:rsidR="0010579E">
        <w:rPr>
          <w:rFonts w:cstheme="minorHAnsi"/>
          <w:i/>
          <w:iCs/>
          <w:lang w:val="en-US"/>
        </w:rPr>
        <w:t>p =</w:t>
      </w:r>
      <w:r w:rsidR="0010579E">
        <w:rPr>
          <w:rFonts w:cstheme="minorHAnsi"/>
          <w:lang w:val="en-US"/>
        </w:rPr>
        <w:t>0.0052</w:t>
      </w:r>
      <w:r w:rsidR="001904A4">
        <w:rPr>
          <w:rFonts w:cstheme="minorHAnsi"/>
          <w:lang w:val="en-US"/>
        </w:rPr>
        <w:t>, [CI: 0.697, – 3.92]) and 31.5°C (</w:t>
      </w:r>
      <w:r w:rsidR="001904A4">
        <w:rPr>
          <w:rFonts w:cstheme="minorHAnsi"/>
          <w:i/>
          <w:iCs/>
          <w:lang w:val="en-US"/>
        </w:rPr>
        <w:t>p =</w:t>
      </w:r>
      <w:r w:rsidR="0046446A">
        <w:rPr>
          <w:rFonts w:cstheme="minorHAnsi"/>
          <w:lang w:val="en-US"/>
        </w:rPr>
        <w:t>0.0017, [CI: 1.02, 4.</w:t>
      </w:r>
      <w:r w:rsidR="002238EC">
        <w:rPr>
          <w:rFonts w:cstheme="minorHAnsi"/>
          <w:lang w:val="en-US"/>
        </w:rPr>
        <w:t xml:space="preserve">33]) </w:t>
      </w:r>
      <w:proofErr w:type="gramStart"/>
      <w:r w:rsidR="002238EC">
        <w:rPr>
          <w:rFonts w:cstheme="minorHAnsi"/>
          <w:lang w:val="en-US"/>
        </w:rPr>
        <w:t>Cairns</w:t>
      </w:r>
      <w:proofErr w:type="gramEnd"/>
      <w:r w:rsidR="002238EC">
        <w:rPr>
          <w:rFonts w:cstheme="minorHAnsi"/>
          <w:lang w:val="en-US"/>
        </w:rPr>
        <w:t xml:space="preserve"> region fish had significantly higher maximum metabolic rates</w:t>
      </w:r>
      <w:r w:rsidR="009C3BC4">
        <w:rPr>
          <w:rFonts w:cstheme="minorHAnsi"/>
          <w:lang w:val="en-US"/>
        </w:rPr>
        <w:t xml:space="preserve"> than fish from Mackay</w:t>
      </w:r>
      <w:r w:rsidR="00095701">
        <w:rPr>
          <w:rFonts w:cstheme="minorHAnsi"/>
          <w:lang w:val="en-US"/>
        </w:rPr>
        <w:t xml:space="preserve"> (</w:t>
      </w:r>
      <w:r w:rsidR="00095701">
        <w:rPr>
          <w:rFonts w:cstheme="minorHAnsi"/>
          <w:b/>
          <w:bCs/>
          <w:lang w:val="en-US"/>
        </w:rPr>
        <w:t>Figure</w:t>
      </w:r>
      <w:r w:rsidR="002F42C1">
        <w:rPr>
          <w:rFonts w:cstheme="minorHAnsi"/>
          <w:b/>
          <w:bCs/>
          <w:lang w:val="en-US"/>
        </w:rPr>
        <w:t>2</w:t>
      </w:r>
      <w:r w:rsidR="00447011">
        <w:rPr>
          <w:rFonts w:cstheme="minorHAnsi"/>
          <w:b/>
          <w:bCs/>
          <w:lang w:val="en-US"/>
        </w:rPr>
        <w:t>b</w:t>
      </w:r>
      <w:r w:rsidR="00095701">
        <w:rPr>
          <w:rFonts w:cstheme="minorHAnsi"/>
          <w:lang w:val="en-US"/>
        </w:rPr>
        <w:t>)</w:t>
      </w:r>
      <w:r w:rsidR="002238EC">
        <w:rPr>
          <w:rFonts w:cstheme="minorHAnsi"/>
          <w:lang w:val="en-US"/>
        </w:rPr>
        <w:t>.</w:t>
      </w:r>
      <w:r w:rsidR="00E14D25">
        <w:rPr>
          <w:rFonts w:cstheme="minorHAnsi"/>
          <w:lang w:val="en-US"/>
        </w:rPr>
        <w:t xml:space="preserve"> </w:t>
      </w:r>
      <w:r w:rsidR="00E45954">
        <w:rPr>
          <w:rFonts w:cstheme="minorHAnsi"/>
          <w:lang w:val="en-US"/>
        </w:rPr>
        <w:t xml:space="preserve">At 30°C and 31.5°C Cairns region fish </w:t>
      </w:r>
      <w:r w:rsidR="008D2827">
        <w:rPr>
          <w:rFonts w:cstheme="minorHAnsi"/>
          <w:lang w:val="en-US"/>
        </w:rPr>
        <w:t>maximum metabolic rate w</w:t>
      </w:r>
      <w:r w:rsidR="00196854">
        <w:rPr>
          <w:rFonts w:cstheme="minorHAnsi"/>
          <w:lang w:val="en-US"/>
        </w:rPr>
        <w:t>as 16%</w:t>
      </w:r>
      <w:r w:rsidR="008D2827">
        <w:rPr>
          <w:rFonts w:cstheme="minorHAnsi"/>
          <w:lang w:val="en-US"/>
        </w:rPr>
        <w:t xml:space="preserve"> </w:t>
      </w:r>
      <w:r w:rsidR="009F090D">
        <w:rPr>
          <w:rFonts w:cstheme="minorHAnsi"/>
          <w:lang w:val="en-US"/>
        </w:rPr>
        <w:t>(</w:t>
      </w:r>
      <w:r w:rsidR="008D2827">
        <w:rPr>
          <w:rFonts w:cstheme="minorHAnsi"/>
          <w:lang w:val="en-US"/>
        </w:rPr>
        <w:t xml:space="preserve">2.31 </w:t>
      </w:r>
      <w:r w:rsidR="009F090D">
        <w:rPr>
          <w:rFonts w:cstheme="minorHAnsi"/>
          <w:lang w:val="en-US"/>
        </w:rPr>
        <w:t>MgO2 hr</w:t>
      </w:r>
      <w:r w:rsidR="009F090D">
        <w:rPr>
          <w:rFonts w:cstheme="minorHAnsi"/>
          <w:vertAlign w:val="superscript"/>
          <w:lang w:val="en-US"/>
        </w:rPr>
        <w:t>-</w:t>
      </w:r>
      <w:r w:rsidR="009F090D" w:rsidRPr="009F090D">
        <w:rPr>
          <w:rFonts w:cstheme="minorHAnsi"/>
          <w:lang w:val="en-US"/>
        </w:rPr>
        <w:t>1</w:t>
      </w:r>
      <w:r w:rsidR="009F090D">
        <w:rPr>
          <w:rFonts w:cstheme="minorHAnsi"/>
          <w:lang w:val="en-US"/>
        </w:rPr>
        <w:t xml:space="preserve">) </w:t>
      </w:r>
      <w:r w:rsidR="008D2827" w:rsidRPr="009F090D">
        <w:rPr>
          <w:rFonts w:cstheme="minorHAnsi"/>
          <w:lang w:val="en-US"/>
        </w:rPr>
        <w:t>and</w:t>
      </w:r>
      <w:r w:rsidR="00196854">
        <w:rPr>
          <w:rFonts w:cstheme="minorHAnsi"/>
          <w:lang w:val="en-US"/>
        </w:rPr>
        <w:t xml:space="preserve"> </w:t>
      </w:r>
      <w:r w:rsidR="00405C8A">
        <w:rPr>
          <w:rFonts w:cstheme="minorHAnsi"/>
          <w:lang w:val="en-US"/>
        </w:rPr>
        <w:t>19%</w:t>
      </w:r>
      <w:r w:rsidR="008D2827">
        <w:rPr>
          <w:rFonts w:cstheme="minorHAnsi"/>
          <w:lang w:val="en-US"/>
        </w:rPr>
        <w:t xml:space="preserve"> </w:t>
      </w:r>
      <w:r w:rsidR="009F090D">
        <w:rPr>
          <w:rFonts w:cstheme="minorHAnsi"/>
          <w:lang w:val="en-US"/>
        </w:rPr>
        <w:t>(</w:t>
      </w:r>
      <w:r w:rsidR="008D2827">
        <w:rPr>
          <w:rFonts w:cstheme="minorHAnsi"/>
          <w:lang w:val="en-US"/>
        </w:rPr>
        <w:t>2.68 MgO2 hr</w:t>
      </w:r>
      <w:r w:rsidR="005A5785">
        <w:rPr>
          <w:rFonts w:cstheme="minorHAnsi"/>
          <w:vertAlign w:val="superscript"/>
          <w:lang w:val="en-US"/>
        </w:rPr>
        <w:t>-1</w:t>
      </w:r>
      <w:r w:rsidR="009F090D">
        <w:rPr>
          <w:rFonts w:cstheme="minorHAnsi"/>
          <w:lang w:val="en-US"/>
        </w:rPr>
        <w:t>)</w:t>
      </w:r>
      <w:r w:rsidR="005A5785">
        <w:rPr>
          <w:rFonts w:cstheme="minorHAnsi"/>
          <w:lang w:val="en-US"/>
        </w:rPr>
        <w:t xml:space="preserve"> higher than Mackay region fish, respectively</w:t>
      </w:r>
      <w:r w:rsidR="00405C8A">
        <w:rPr>
          <w:rFonts w:cstheme="minorHAnsi"/>
          <w:lang w:val="en-US"/>
        </w:rPr>
        <w:t xml:space="preserve">. </w:t>
      </w:r>
      <w:r w:rsidR="003A57C0">
        <w:rPr>
          <w:rFonts w:cstheme="minorHAnsi"/>
          <w:lang w:val="en-US"/>
        </w:rPr>
        <w:t>No significant differences were identified between Cairns and Mackay regional fish</w:t>
      </w:r>
      <w:r w:rsidR="004A7868">
        <w:rPr>
          <w:rFonts w:cstheme="minorHAnsi"/>
          <w:lang w:val="en-US"/>
        </w:rPr>
        <w:t xml:space="preserve"> at cooler temperatures including 27°C (</w:t>
      </w:r>
      <w:r w:rsidR="004A7868">
        <w:rPr>
          <w:rFonts w:cstheme="minorHAnsi"/>
          <w:i/>
          <w:iCs/>
          <w:lang w:val="en-US"/>
        </w:rPr>
        <w:t xml:space="preserve">p </w:t>
      </w:r>
      <w:r w:rsidR="004A7868">
        <w:rPr>
          <w:rFonts w:cstheme="minorHAnsi"/>
          <w:lang w:val="en-US"/>
        </w:rPr>
        <w:t>=</w:t>
      </w:r>
      <w:r w:rsidR="00586CAD">
        <w:rPr>
          <w:rFonts w:cstheme="minorHAnsi"/>
          <w:lang w:val="en-US"/>
        </w:rPr>
        <w:t>0.82</w:t>
      </w:r>
      <w:r w:rsidR="004A7868">
        <w:rPr>
          <w:rFonts w:cstheme="minorHAnsi"/>
          <w:lang w:val="en-US"/>
        </w:rPr>
        <w:t>)</w:t>
      </w:r>
      <w:r w:rsidR="00586CAD">
        <w:rPr>
          <w:rFonts w:cstheme="minorHAnsi"/>
          <w:lang w:val="en-US"/>
        </w:rPr>
        <w:t xml:space="preserve"> and 28.5°C (</w:t>
      </w:r>
      <w:r w:rsidR="00586CAD">
        <w:rPr>
          <w:rFonts w:cstheme="minorHAnsi"/>
          <w:i/>
          <w:iCs/>
          <w:lang w:val="en-US"/>
        </w:rPr>
        <w:t xml:space="preserve">p </w:t>
      </w:r>
      <w:r w:rsidR="00586CAD">
        <w:rPr>
          <w:rFonts w:cstheme="minorHAnsi"/>
          <w:lang w:val="en-US"/>
        </w:rPr>
        <w:t xml:space="preserve">=0.079). </w:t>
      </w:r>
      <w:r w:rsidR="001E63CA">
        <w:rPr>
          <w:rFonts w:cstheme="minorHAnsi"/>
          <w:lang w:val="en-US"/>
        </w:rPr>
        <w:t>When comparing within region</w:t>
      </w:r>
      <w:r w:rsidR="00206877">
        <w:rPr>
          <w:rFonts w:cstheme="minorHAnsi"/>
          <w:lang w:val="en-US"/>
        </w:rPr>
        <w:t xml:space="preserve"> performances, </w:t>
      </w:r>
      <w:proofErr w:type="gramStart"/>
      <w:r w:rsidR="00206877">
        <w:rPr>
          <w:rFonts w:cstheme="minorHAnsi"/>
          <w:lang w:val="en-US"/>
        </w:rPr>
        <w:t>Cairns</w:t>
      </w:r>
      <w:proofErr w:type="gramEnd"/>
      <w:r w:rsidR="00206877">
        <w:rPr>
          <w:rFonts w:cstheme="minorHAnsi"/>
          <w:lang w:val="en-US"/>
        </w:rPr>
        <w:t xml:space="preserve"> region fish displayed an increase of </w:t>
      </w:r>
      <w:r w:rsidR="00AB7BA7">
        <w:rPr>
          <w:rFonts w:cstheme="minorHAnsi"/>
          <w:lang w:val="en-US"/>
        </w:rPr>
        <w:t>10%, 16%, and 19%</w:t>
      </w:r>
      <w:r w:rsidR="003B70BC">
        <w:rPr>
          <w:rFonts w:cstheme="minorHAnsi"/>
          <w:lang w:val="en-US"/>
        </w:rPr>
        <w:t>, at 28.5°C, 30°C, and 31.5°C, respectively</w:t>
      </w:r>
      <w:r w:rsidR="00FA274E">
        <w:rPr>
          <w:rFonts w:cstheme="minorHAnsi"/>
          <w:lang w:val="en-US"/>
        </w:rPr>
        <w:t>, compared to MMR at 27°C</w:t>
      </w:r>
      <w:r w:rsidR="003B70BC">
        <w:rPr>
          <w:rFonts w:cstheme="minorHAnsi"/>
          <w:lang w:val="en-US"/>
        </w:rPr>
        <w:t>. However, among Mackay regional fish li</w:t>
      </w:r>
      <w:r w:rsidR="00683503">
        <w:rPr>
          <w:rFonts w:cstheme="minorHAnsi"/>
          <w:lang w:val="en-US"/>
        </w:rPr>
        <w:t>ttle difference w</w:t>
      </w:r>
      <w:r w:rsidR="00FA274E">
        <w:rPr>
          <w:rFonts w:cstheme="minorHAnsi"/>
          <w:lang w:val="en-US"/>
        </w:rPr>
        <w:t>as</w:t>
      </w:r>
      <w:r w:rsidR="00683503">
        <w:rPr>
          <w:rFonts w:cstheme="minorHAnsi"/>
          <w:lang w:val="en-US"/>
        </w:rPr>
        <w:t xml:space="preserve"> seen in </w:t>
      </w:r>
      <w:r w:rsidR="00FA274E">
        <w:rPr>
          <w:rFonts w:cstheme="minorHAnsi"/>
          <w:lang w:val="en-US"/>
        </w:rPr>
        <w:t xml:space="preserve">MMR </w:t>
      </w:r>
      <w:r w:rsidR="00683503">
        <w:rPr>
          <w:rFonts w:cstheme="minorHAnsi"/>
          <w:lang w:val="en-US"/>
        </w:rPr>
        <w:t>between temperatures</w:t>
      </w:r>
      <w:r w:rsidR="00FA274E">
        <w:rPr>
          <w:rFonts w:cstheme="minorHAnsi"/>
          <w:lang w:val="en-US"/>
        </w:rPr>
        <w:t xml:space="preserve">. </w:t>
      </w:r>
      <w:r w:rsidR="00F91BE2">
        <w:rPr>
          <w:rFonts w:cstheme="minorHAnsi"/>
          <w:lang w:val="en-US"/>
        </w:rPr>
        <w:t xml:space="preserve">Compared to 27°C increases in MMR at 28.5°C, 30°C, and </w:t>
      </w:r>
      <w:r w:rsidR="00F83F4C">
        <w:rPr>
          <w:rFonts w:cstheme="minorHAnsi"/>
          <w:lang w:val="en-US"/>
        </w:rPr>
        <w:t>31.5°C were 2%, 1%, and 1%, respectively</w:t>
      </w:r>
      <w:r w:rsidR="00515471">
        <w:rPr>
          <w:rFonts w:cstheme="minorHAnsi"/>
          <w:lang w:val="en-US"/>
        </w:rPr>
        <w:t xml:space="preserve"> for Mackay region fish</w:t>
      </w:r>
      <w:r w:rsidR="00F83F4C">
        <w:rPr>
          <w:rFonts w:cstheme="minorHAnsi"/>
          <w:lang w:val="en-US"/>
        </w:rPr>
        <w:t xml:space="preserve">. </w:t>
      </w:r>
    </w:p>
    <w:p w14:paraId="74D7B6ED" w14:textId="2BE57876" w:rsidR="00E45A33" w:rsidRDefault="00CB1E39" w:rsidP="00CB1E39">
      <w:pPr>
        <w:pStyle w:val="Heading3"/>
        <w:rPr>
          <w:lang w:val="en-US"/>
        </w:rPr>
      </w:pPr>
      <w:r>
        <w:rPr>
          <w:lang w:val="en-US"/>
        </w:rPr>
        <w:t xml:space="preserve">Resting metabolic rate </w:t>
      </w:r>
    </w:p>
    <w:p w14:paraId="49BF48F7" w14:textId="15AB6119" w:rsidR="0064693A" w:rsidRDefault="00E6774E" w:rsidP="00CC7E05">
      <w:pPr>
        <w:jc w:val="both"/>
        <w:rPr>
          <w:rFonts w:cstheme="minorHAnsi"/>
          <w:lang w:val="en-US"/>
        </w:rPr>
      </w:pPr>
      <w:r>
        <w:rPr>
          <w:lang w:val="en-US"/>
        </w:rPr>
        <w:t>No sign</w:t>
      </w:r>
      <w:r w:rsidR="00B751AF">
        <w:rPr>
          <w:lang w:val="en-US"/>
        </w:rPr>
        <w:t>ificant differences were seen in RMR when comparing fish from Cairns and Mackay regions at tested experimental temperatures</w:t>
      </w:r>
      <w:r w:rsidR="00447011">
        <w:rPr>
          <w:lang w:val="en-US"/>
        </w:rPr>
        <w:t xml:space="preserve"> (</w:t>
      </w:r>
      <w:r w:rsidR="00447011">
        <w:rPr>
          <w:b/>
          <w:bCs/>
          <w:lang w:val="en-US"/>
        </w:rPr>
        <w:t>Figure</w:t>
      </w:r>
      <w:r w:rsidR="002F42C1">
        <w:rPr>
          <w:b/>
          <w:bCs/>
          <w:lang w:val="en-US"/>
        </w:rPr>
        <w:t>2</w:t>
      </w:r>
      <w:r w:rsidR="00447011">
        <w:rPr>
          <w:b/>
          <w:bCs/>
          <w:lang w:val="en-US"/>
        </w:rPr>
        <w:t>c</w:t>
      </w:r>
      <w:r w:rsidR="00447011">
        <w:rPr>
          <w:lang w:val="en-US"/>
        </w:rPr>
        <w:t>)</w:t>
      </w:r>
      <w:r w:rsidR="00EE1AEC">
        <w:rPr>
          <w:lang w:val="en-US"/>
        </w:rPr>
        <w:t xml:space="preserve">, however, </w:t>
      </w:r>
      <w:r w:rsidR="001F76A3">
        <w:rPr>
          <w:lang w:val="en-US"/>
        </w:rPr>
        <w:t>RMR</w:t>
      </w:r>
      <w:r w:rsidR="00F14EE0">
        <w:rPr>
          <w:lang w:val="en-US"/>
        </w:rPr>
        <w:t xml:space="preserve"> displayed a positive </w:t>
      </w:r>
      <w:r w:rsidR="000A6E9A">
        <w:rPr>
          <w:lang w:val="en-US"/>
        </w:rPr>
        <w:t>relationship with temperatur</w:t>
      </w:r>
      <w:r w:rsidR="00A07842">
        <w:rPr>
          <w:lang w:val="en-US"/>
        </w:rPr>
        <w:t xml:space="preserve">e. </w:t>
      </w:r>
      <w:r w:rsidR="00844A04">
        <w:rPr>
          <w:lang w:val="en-US"/>
        </w:rPr>
        <w:t>Among Cairns region fish, RMR</w:t>
      </w:r>
      <w:r w:rsidR="00454427">
        <w:rPr>
          <w:lang w:val="en-US"/>
        </w:rPr>
        <w:t xml:space="preserve"> was significantly higher</w:t>
      </w:r>
      <w:r w:rsidR="00277B66">
        <w:rPr>
          <w:lang w:val="en-US"/>
        </w:rPr>
        <w:t xml:space="preserve"> at 31.5</w:t>
      </w:r>
      <w:r w:rsidR="00277B66">
        <w:rPr>
          <w:rFonts w:cstheme="minorHAnsi"/>
          <w:lang w:val="en-US"/>
        </w:rPr>
        <w:t>°C compared to RMR</w:t>
      </w:r>
      <w:r w:rsidR="00844A04">
        <w:rPr>
          <w:lang w:val="en-US"/>
        </w:rPr>
        <w:t xml:space="preserve"> </w:t>
      </w:r>
      <w:r w:rsidR="00277B66">
        <w:rPr>
          <w:lang w:val="en-US"/>
        </w:rPr>
        <w:t>at</w:t>
      </w:r>
      <w:r w:rsidR="00B9120C">
        <w:rPr>
          <w:lang w:val="en-US"/>
        </w:rPr>
        <w:t xml:space="preserve"> 27</w:t>
      </w:r>
      <w:r w:rsidR="00B9120C">
        <w:rPr>
          <w:rFonts w:cstheme="minorHAnsi"/>
          <w:lang w:val="en-US"/>
        </w:rPr>
        <w:t>°C</w:t>
      </w:r>
      <w:r w:rsidR="00D03151">
        <w:rPr>
          <w:rFonts w:cstheme="minorHAnsi"/>
          <w:lang w:val="en-US"/>
        </w:rPr>
        <w:t xml:space="preserve"> (</w:t>
      </w:r>
      <w:r w:rsidR="00AE2DDA">
        <w:rPr>
          <w:rFonts w:cstheme="minorHAnsi"/>
          <w:i/>
          <w:iCs/>
          <w:lang w:val="en-US"/>
        </w:rPr>
        <w:t xml:space="preserve">p </w:t>
      </w:r>
      <w:r w:rsidR="00B04AD4">
        <w:rPr>
          <w:rFonts w:cstheme="minorHAnsi"/>
          <w:lang w:val="en-US"/>
        </w:rPr>
        <w:t>&lt;0.0001, [</w:t>
      </w:r>
      <w:r w:rsidR="00DD3E8D">
        <w:rPr>
          <w:rFonts w:cstheme="minorHAnsi"/>
          <w:lang w:val="en-US"/>
        </w:rPr>
        <w:t xml:space="preserve">CI: </w:t>
      </w:r>
      <w:r w:rsidR="007C2FFC">
        <w:rPr>
          <w:rFonts w:cstheme="minorHAnsi"/>
          <w:lang w:val="en-US"/>
        </w:rPr>
        <w:t>-2.07, -0.66]</w:t>
      </w:r>
      <w:r w:rsidR="00D03151">
        <w:rPr>
          <w:rFonts w:cstheme="minorHAnsi"/>
          <w:lang w:val="en-US"/>
        </w:rPr>
        <w:t>)</w:t>
      </w:r>
      <w:r w:rsidR="00B9120C">
        <w:rPr>
          <w:lang w:val="en-US"/>
        </w:rPr>
        <w:t>, 28.5</w:t>
      </w:r>
      <w:r w:rsidR="00B9120C">
        <w:rPr>
          <w:rFonts w:cstheme="minorHAnsi"/>
          <w:lang w:val="en-US"/>
        </w:rPr>
        <w:t>°C</w:t>
      </w:r>
      <w:r w:rsidR="00D03151">
        <w:rPr>
          <w:rFonts w:cstheme="minorHAnsi"/>
          <w:lang w:val="en-US"/>
        </w:rPr>
        <w:t xml:space="preserve"> (</w:t>
      </w:r>
      <w:r w:rsidR="007C2FFC">
        <w:rPr>
          <w:rFonts w:cstheme="minorHAnsi"/>
          <w:i/>
          <w:iCs/>
          <w:lang w:val="en-US"/>
        </w:rPr>
        <w:t xml:space="preserve">p </w:t>
      </w:r>
      <w:r w:rsidR="007C2FFC">
        <w:rPr>
          <w:rFonts w:cstheme="minorHAnsi"/>
          <w:lang w:val="en-US"/>
        </w:rPr>
        <w:t>&lt;0.0001, [</w:t>
      </w:r>
      <w:r w:rsidR="00DD3E8D">
        <w:rPr>
          <w:rFonts w:cstheme="minorHAnsi"/>
          <w:lang w:val="en-US"/>
        </w:rPr>
        <w:t xml:space="preserve">CI: </w:t>
      </w:r>
      <w:r w:rsidR="007C2FFC">
        <w:rPr>
          <w:rFonts w:cstheme="minorHAnsi"/>
          <w:lang w:val="en-US"/>
        </w:rPr>
        <w:t>-</w:t>
      </w:r>
      <w:r w:rsidR="00C474AA">
        <w:rPr>
          <w:rFonts w:cstheme="minorHAnsi"/>
          <w:lang w:val="en-US"/>
        </w:rPr>
        <w:t>1.99</w:t>
      </w:r>
      <w:r w:rsidR="007C2FFC">
        <w:rPr>
          <w:rFonts w:cstheme="minorHAnsi"/>
          <w:lang w:val="en-US"/>
        </w:rPr>
        <w:t>, -0.6</w:t>
      </w:r>
      <w:r w:rsidR="00C474AA">
        <w:rPr>
          <w:rFonts w:cstheme="minorHAnsi"/>
          <w:lang w:val="en-US"/>
        </w:rPr>
        <w:t>5</w:t>
      </w:r>
      <w:r w:rsidR="007C2FFC">
        <w:rPr>
          <w:rFonts w:cstheme="minorHAnsi"/>
          <w:lang w:val="en-US"/>
        </w:rPr>
        <w:t>]</w:t>
      </w:r>
      <w:r w:rsidR="00D03151">
        <w:rPr>
          <w:rFonts w:cstheme="minorHAnsi"/>
          <w:lang w:val="en-US"/>
        </w:rPr>
        <w:t>)</w:t>
      </w:r>
      <w:r w:rsidR="00B9120C">
        <w:rPr>
          <w:lang w:val="en-US"/>
        </w:rPr>
        <w:t>, and 30</w:t>
      </w:r>
      <w:r w:rsidR="00B9120C">
        <w:rPr>
          <w:rFonts w:cstheme="minorHAnsi"/>
          <w:lang w:val="en-US"/>
        </w:rPr>
        <w:t>°C</w:t>
      </w:r>
      <w:r w:rsidR="00D03151">
        <w:rPr>
          <w:rFonts w:cstheme="minorHAnsi"/>
          <w:lang w:val="en-US"/>
        </w:rPr>
        <w:t xml:space="preserve"> (</w:t>
      </w:r>
      <w:r w:rsidR="00C474AA">
        <w:rPr>
          <w:rFonts w:cstheme="minorHAnsi"/>
          <w:i/>
          <w:iCs/>
          <w:lang w:val="en-US"/>
        </w:rPr>
        <w:t xml:space="preserve">p </w:t>
      </w:r>
      <w:r w:rsidR="00C474AA">
        <w:rPr>
          <w:rFonts w:cstheme="minorHAnsi"/>
          <w:lang w:val="en-US"/>
        </w:rPr>
        <w:t>=0.0077, [</w:t>
      </w:r>
      <w:r w:rsidR="00DD3E8D">
        <w:rPr>
          <w:rFonts w:cstheme="minorHAnsi"/>
          <w:lang w:val="en-US"/>
        </w:rPr>
        <w:t xml:space="preserve">CI: </w:t>
      </w:r>
      <w:r w:rsidR="00C474AA">
        <w:rPr>
          <w:rFonts w:cstheme="minorHAnsi"/>
          <w:lang w:val="en-US"/>
        </w:rPr>
        <w:t>-1.5</w:t>
      </w:r>
      <w:r w:rsidR="00DD3E8D">
        <w:rPr>
          <w:rFonts w:cstheme="minorHAnsi"/>
          <w:lang w:val="en-US"/>
        </w:rPr>
        <w:t>0</w:t>
      </w:r>
      <w:r w:rsidR="00C474AA">
        <w:rPr>
          <w:rFonts w:cstheme="minorHAnsi"/>
          <w:lang w:val="en-US"/>
        </w:rPr>
        <w:t>, -0.</w:t>
      </w:r>
      <w:r w:rsidR="00DD3E8D">
        <w:rPr>
          <w:rFonts w:cstheme="minorHAnsi"/>
          <w:lang w:val="en-US"/>
        </w:rPr>
        <w:t>17</w:t>
      </w:r>
      <w:r w:rsidR="00C474AA">
        <w:rPr>
          <w:rFonts w:cstheme="minorHAnsi"/>
          <w:lang w:val="en-US"/>
        </w:rPr>
        <w:t>]</w:t>
      </w:r>
      <w:r w:rsidR="00D03151">
        <w:rPr>
          <w:rFonts w:cstheme="minorHAnsi"/>
          <w:lang w:val="en-US"/>
        </w:rPr>
        <w:t>)</w:t>
      </w:r>
      <w:r w:rsidR="00B9120C">
        <w:rPr>
          <w:rFonts w:cstheme="minorHAnsi"/>
          <w:lang w:val="en-US"/>
        </w:rPr>
        <w:t>. F</w:t>
      </w:r>
      <w:r w:rsidR="00DD3E8D">
        <w:rPr>
          <w:rFonts w:cstheme="minorHAnsi"/>
          <w:lang w:val="en-US"/>
        </w:rPr>
        <w:t>rom</w:t>
      </w:r>
      <w:r w:rsidR="00B9120C">
        <w:rPr>
          <w:rFonts w:cstheme="minorHAnsi"/>
          <w:lang w:val="en-US"/>
        </w:rPr>
        <w:t xml:space="preserve"> the lowest temperature, 27°C, within </w:t>
      </w:r>
      <w:proofErr w:type="gramStart"/>
      <w:r w:rsidR="00D03151">
        <w:rPr>
          <w:rFonts w:cstheme="minorHAnsi"/>
          <w:lang w:val="en-US"/>
        </w:rPr>
        <w:t>Cairns</w:t>
      </w:r>
      <w:proofErr w:type="gramEnd"/>
      <w:r w:rsidR="00D03151">
        <w:rPr>
          <w:rFonts w:cstheme="minorHAnsi"/>
          <w:lang w:val="en-US"/>
        </w:rPr>
        <w:t xml:space="preserve"> region fish RMR</w:t>
      </w:r>
      <w:r w:rsidR="00B9120C">
        <w:rPr>
          <w:lang w:val="en-US"/>
        </w:rPr>
        <w:t xml:space="preserve"> </w:t>
      </w:r>
      <w:r w:rsidR="00844A04">
        <w:rPr>
          <w:lang w:val="en-US"/>
        </w:rPr>
        <w:t>increase</w:t>
      </w:r>
      <w:r w:rsidR="00920EB2">
        <w:rPr>
          <w:lang w:val="en-US"/>
        </w:rPr>
        <w:t xml:space="preserve"> by </w:t>
      </w:r>
      <w:r w:rsidR="00F32688">
        <w:rPr>
          <w:lang w:val="en-US"/>
        </w:rPr>
        <w:t xml:space="preserve">1%, </w:t>
      </w:r>
      <w:r w:rsidR="00E87288">
        <w:rPr>
          <w:lang w:val="en-US"/>
        </w:rPr>
        <w:t xml:space="preserve">9%, and </w:t>
      </w:r>
      <w:r w:rsidR="003D0B01">
        <w:rPr>
          <w:lang w:val="en-US"/>
        </w:rPr>
        <w:t>24% at 28.5</w:t>
      </w:r>
      <w:r w:rsidR="003D0B01">
        <w:rPr>
          <w:rFonts w:cstheme="minorHAnsi"/>
          <w:lang w:val="en-US"/>
        </w:rPr>
        <w:t>°C, 30°C, and 31.5</w:t>
      </w:r>
      <w:r w:rsidR="00C825A6">
        <w:rPr>
          <w:rFonts w:cstheme="minorHAnsi"/>
          <w:lang w:val="en-US"/>
        </w:rPr>
        <w:t>°C</w:t>
      </w:r>
      <w:r w:rsidR="003D0B01">
        <w:rPr>
          <w:rFonts w:cstheme="minorHAnsi"/>
          <w:lang w:val="en-US"/>
        </w:rPr>
        <w:t>, respectively</w:t>
      </w:r>
      <w:r w:rsidR="0044419D">
        <w:rPr>
          <w:rFonts w:cstheme="minorHAnsi"/>
          <w:lang w:val="en-US"/>
        </w:rPr>
        <w:t xml:space="preserve">. </w:t>
      </w:r>
      <w:r w:rsidR="003F30DD">
        <w:rPr>
          <w:rFonts w:cstheme="minorHAnsi"/>
          <w:lang w:val="en-US"/>
        </w:rPr>
        <w:t>Among</w:t>
      </w:r>
      <w:r w:rsidR="0044419D">
        <w:rPr>
          <w:rFonts w:cstheme="minorHAnsi"/>
          <w:lang w:val="en-US"/>
        </w:rPr>
        <w:t xml:space="preserve"> Mackay region fish </w:t>
      </w:r>
      <w:r w:rsidR="00493956">
        <w:rPr>
          <w:rFonts w:cstheme="minorHAnsi"/>
          <w:lang w:val="en-US"/>
        </w:rPr>
        <w:t>RMR had the greatest increase between 28.5°C and 30°C</w:t>
      </w:r>
      <w:r w:rsidR="007D4A3A">
        <w:rPr>
          <w:rFonts w:cstheme="minorHAnsi"/>
          <w:lang w:val="en-US"/>
        </w:rPr>
        <w:t>; RMR at 30°C (</w:t>
      </w:r>
      <w:r w:rsidR="007D4A3A">
        <w:rPr>
          <w:rFonts w:cstheme="minorHAnsi"/>
          <w:i/>
          <w:iCs/>
          <w:lang w:val="en-US"/>
        </w:rPr>
        <w:t>p</w:t>
      </w:r>
      <w:r w:rsidR="007D4A3A">
        <w:rPr>
          <w:rFonts w:cstheme="minorHAnsi"/>
          <w:i/>
          <w:iCs/>
          <w:vertAlign w:val="subscript"/>
          <w:lang w:val="en-US"/>
        </w:rPr>
        <w:t>27</w:t>
      </w:r>
      <w:r w:rsidR="00DD2CF5">
        <w:rPr>
          <w:rFonts w:cstheme="minorHAnsi"/>
          <w:i/>
          <w:iCs/>
          <w:vertAlign w:val="subscript"/>
          <w:lang w:val="en-US"/>
        </w:rPr>
        <w:t>.0–</w:t>
      </w:r>
      <w:r w:rsidR="005929CB">
        <w:rPr>
          <w:rFonts w:cstheme="minorHAnsi"/>
          <w:i/>
          <w:iCs/>
          <w:vertAlign w:val="subscript"/>
          <w:lang w:val="en-US"/>
        </w:rPr>
        <w:t>30</w:t>
      </w:r>
      <w:r w:rsidR="00DD2CF5">
        <w:rPr>
          <w:rFonts w:cstheme="minorHAnsi"/>
          <w:i/>
          <w:iCs/>
          <w:vertAlign w:val="subscript"/>
          <w:lang w:val="en-US"/>
        </w:rPr>
        <w:t>.0</w:t>
      </w:r>
      <w:r w:rsidR="007D4A3A">
        <w:rPr>
          <w:rFonts w:cstheme="minorHAnsi"/>
          <w:i/>
          <w:iCs/>
          <w:lang w:val="en-US"/>
        </w:rPr>
        <w:t xml:space="preserve"> </w:t>
      </w:r>
      <w:r w:rsidR="007D4A3A">
        <w:rPr>
          <w:rFonts w:cstheme="minorHAnsi"/>
          <w:lang w:val="en-US"/>
        </w:rPr>
        <w:t>&lt;0.00</w:t>
      </w:r>
      <w:r w:rsidR="00010FAC">
        <w:rPr>
          <w:rFonts w:cstheme="minorHAnsi"/>
          <w:lang w:val="en-US"/>
        </w:rPr>
        <w:t>22</w:t>
      </w:r>
      <w:r w:rsidR="007D4A3A">
        <w:rPr>
          <w:rFonts w:cstheme="minorHAnsi"/>
          <w:lang w:val="en-US"/>
        </w:rPr>
        <w:t>, [CI</w:t>
      </w:r>
      <w:r w:rsidR="005929CB">
        <w:rPr>
          <w:rFonts w:cstheme="minorHAnsi"/>
          <w:i/>
          <w:iCs/>
          <w:vertAlign w:val="subscript"/>
          <w:lang w:val="en-US"/>
        </w:rPr>
        <w:t>27</w:t>
      </w:r>
      <w:r w:rsidR="00DD2CF5">
        <w:rPr>
          <w:rFonts w:cstheme="minorHAnsi"/>
          <w:i/>
          <w:iCs/>
          <w:vertAlign w:val="subscript"/>
          <w:lang w:val="en-US"/>
        </w:rPr>
        <w:t>.0–</w:t>
      </w:r>
      <w:r w:rsidR="005929CB">
        <w:rPr>
          <w:rFonts w:cstheme="minorHAnsi"/>
          <w:i/>
          <w:iCs/>
          <w:vertAlign w:val="subscript"/>
          <w:lang w:val="en-US"/>
        </w:rPr>
        <w:t>30</w:t>
      </w:r>
      <w:r w:rsidR="00DD2CF5">
        <w:rPr>
          <w:rFonts w:cstheme="minorHAnsi"/>
          <w:i/>
          <w:iCs/>
          <w:vertAlign w:val="subscript"/>
          <w:lang w:val="en-US"/>
        </w:rPr>
        <w:t>.0</w:t>
      </w:r>
      <w:r w:rsidR="007D4A3A">
        <w:rPr>
          <w:rFonts w:cstheme="minorHAnsi"/>
          <w:lang w:val="en-US"/>
        </w:rPr>
        <w:t>: -1.</w:t>
      </w:r>
      <w:r w:rsidR="00010FAC">
        <w:rPr>
          <w:rFonts w:cstheme="minorHAnsi"/>
          <w:lang w:val="en-US"/>
        </w:rPr>
        <w:t>78</w:t>
      </w:r>
      <w:r w:rsidR="007D4A3A">
        <w:rPr>
          <w:rFonts w:cstheme="minorHAnsi"/>
          <w:lang w:val="en-US"/>
        </w:rPr>
        <w:t>, -0.</w:t>
      </w:r>
      <w:r w:rsidR="00010FAC">
        <w:rPr>
          <w:rFonts w:cstheme="minorHAnsi"/>
          <w:lang w:val="en-US"/>
        </w:rPr>
        <w:t>29</w:t>
      </w:r>
      <w:r w:rsidR="007D4A3A">
        <w:rPr>
          <w:rFonts w:cstheme="minorHAnsi"/>
          <w:lang w:val="en-US"/>
        </w:rPr>
        <w:t xml:space="preserve">]; </w:t>
      </w:r>
      <w:r w:rsidR="007D4A3A">
        <w:rPr>
          <w:rFonts w:cstheme="minorHAnsi"/>
          <w:i/>
          <w:iCs/>
          <w:lang w:val="en-US"/>
        </w:rPr>
        <w:t>p</w:t>
      </w:r>
      <w:r w:rsidR="005929CB">
        <w:rPr>
          <w:rFonts w:cstheme="minorHAnsi"/>
          <w:i/>
          <w:iCs/>
          <w:vertAlign w:val="subscript"/>
          <w:lang w:val="en-US"/>
        </w:rPr>
        <w:t>2</w:t>
      </w:r>
      <w:r w:rsidR="00DD2CF5">
        <w:rPr>
          <w:rFonts w:cstheme="minorHAnsi"/>
          <w:i/>
          <w:iCs/>
          <w:vertAlign w:val="subscript"/>
          <w:lang w:val="en-US"/>
        </w:rPr>
        <w:t>8.5</w:t>
      </w:r>
      <w:r w:rsidR="005929CB">
        <w:rPr>
          <w:rFonts w:cstheme="minorHAnsi"/>
          <w:i/>
          <w:iCs/>
          <w:vertAlign w:val="subscript"/>
          <w:lang w:val="en-US"/>
        </w:rPr>
        <w:t>–3</w:t>
      </w:r>
      <w:r w:rsidR="00DD2CF5">
        <w:rPr>
          <w:rFonts w:cstheme="minorHAnsi"/>
          <w:i/>
          <w:iCs/>
          <w:vertAlign w:val="subscript"/>
          <w:lang w:val="en-US"/>
        </w:rPr>
        <w:t>0.0</w:t>
      </w:r>
      <w:r w:rsidR="005929CB">
        <w:rPr>
          <w:rFonts w:cstheme="minorHAnsi"/>
          <w:i/>
          <w:iCs/>
          <w:lang w:val="en-US"/>
        </w:rPr>
        <w:t xml:space="preserve"> </w:t>
      </w:r>
      <w:r w:rsidR="007D4A3A">
        <w:rPr>
          <w:rFonts w:cstheme="minorHAnsi"/>
          <w:i/>
          <w:iCs/>
          <w:lang w:val="en-US"/>
        </w:rPr>
        <w:t xml:space="preserve"> </w:t>
      </w:r>
      <w:r w:rsidR="007D4A3A">
        <w:rPr>
          <w:rFonts w:cstheme="minorHAnsi"/>
          <w:lang w:val="en-US"/>
        </w:rPr>
        <w:t>&lt;0.0</w:t>
      </w:r>
      <w:r w:rsidR="005A3BDB">
        <w:rPr>
          <w:rFonts w:cstheme="minorHAnsi"/>
          <w:lang w:val="en-US"/>
        </w:rPr>
        <w:t>35</w:t>
      </w:r>
      <w:r w:rsidR="007D4A3A">
        <w:rPr>
          <w:rFonts w:cstheme="minorHAnsi"/>
          <w:lang w:val="en-US"/>
        </w:rPr>
        <w:t>, [CI</w:t>
      </w:r>
      <w:r w:rsidR="005929CB">
        <w:rPr>
          <w:rFonts w:cstheme="minorHAnsi"/>
          <w:i/>
          <w:iCs/>
          <w:vertAlign w:val="subscript"/>
          <w:lang w:val="en-US"/>
        </w:rPr>
        <w:t>2</w:t>
      </w:r>
      <w:r w:rsidR="00DD2CF5">
        <w:rPr>
          <w:rFonts w:cstheme="minorHAnsi"/>
          <w:i/>
          <w:iCs/>
          <w:vertAlign w:val="subscript"/>
          <w:lang w:val="en-US"/>
        </w:rPr>
        <w:t>8.5</w:t>
      </w:r>
      <w:r w:rsidR="005929CB">
        <w:rPr>
          <w:rFonts w:cstheme="minorHAnsi"/>
          <w:i/>
          <w:iCs/>
          <w:vertAlign w:val="subscript"/>
          <w:lang w:val="en-US"/>
        </w:rPr>
        <w:t>–3</w:t>
      </w:r>
      <w:r w:rsidR="00DD2CF5">
        <w:rPr>
          <w:rFonts w:cstheme="minorHAnsi"/>
          <w:i/>
          <w:iCs/>
          <w:vertAlign w:val="subscript"/>
          <w:lang w:val="en-US"/>
        </w:rPr>
        <w:t>0.0</w:t>
      </w:r>
      <w:r w:rsidR="007D4A3A">
        <w:rPr>
          <w:rFonts w:cstheme="minorHAnsi"/>
          <w:lang w:val="en-US"/>
        </w:rPr>
        <w:t>: -</w:t>
      </w:r>
      <w:r w:rsidR="007858AC">
        <w:rPr>
          <w:rFonts w:cstheme="minorHAnsi"/>
          <w:lang w:val="en-US"/>
        </w:rPr>
        <w:t>1.53</w:t>
      </w:r>
      <w:r w:rsidR="007D4A3A">
        <w:rPr>
          <w:rFonts w:cstheme="minorHAnsi"/>
          <w:lang w:val="en-US"/>
        </w:rPr>
        <w:t>, -0.</w:t>
      </w:r>
      <w:r w:rsidR="007858AC">
        <w:rPr>
          <w:rFonts w:cstheme="minorHAnsi"/>
          <w:lang w:val="en-US"/>
        </w:rPr>
        <w:t>039</w:t>
      </w:r>
      <w:r w:rsidR="007D4A3A">
        <w:rPr>
          <w:rFonts w:cstheme="minorHAnsi"/>
          <w:lang w:val="en-US"/>
        </w:rPr>
        <w:t xml:space="preserve">]) and 31.5°C </w:t>
      </w:r>
      <w:r w:rsidR="00DD2CF5">
        <w:rPr>
          <w:rFonts w:cstheme="minorHAnsi"/>
          <w:lang w:val="en-US"/>
        </w:rPr>
        <w:t>(</w:t>
      </w:r>
      <w:r w:rsidR="00DD2CF5">
        <w:rPr>
          <w:rFonts w:cstheme="minorHAnsi"/>
          <w:i/>
          <w:iCs/>
          <w:lang w:val="en-US"/>
        </w:rPr>
        <w:t>p</w:t>
      </w:r>
      <w:r w:rsidR="00DD2CF5">
        <w:rPr>
          <w:rFonts w:cstheme="minorHAnsi"/>
          <w:i/>
          <w:iCs/>
          <w:vertAlign w:val="subscript"/>
          <w:lang w:val="en-US"/>
        </w:rPr>
        <w:t>27-31.5</w:t>
      </w:r>
      <w:r w:rsidR="00DD2CF5">
        <w:rPr>
          <w:rFonts w:cstheme="minorHAnsi"/>
          <w:i/>
          <w:iCs/>
          <w:lang w:val="en-US"/>
        </w:rPr>
        <w:t xml:space="preserve"> </w:t>
      </w:r>
      <w:r w:rsidR="00DD2CF5">
        <w:rPr>
          <w:rFonts w:cstheme="minorHAnsi"/>
          <w:lang w:val="en-US"/>
        </w:rPr>
        <w:t>&lt;0.00</w:t>
      </w:r>
      <w:r w:rsidR="006E0AC3">
        <w:rPr>
          <w:rFonts w:cstheme="minorHAnsi"/>
          <w:lang w:val="en-US"/>
        </w:rPr>
        <w:t>01</w:t>
      </w:r>
      <w:r w:rsidR="00DD2CF5">
        <w:rPr>
          <w:rFonts w:cstheme="minorHAnsi"/>
          <w:lang w:val="en-US"/>
        </w:rPr>
        <w:t>, [CI</w:t>
      </w:r>
      <w:r w:rsidR="00DD2CF5">
        <w:rPr>
          <w:rFonts w:cstheme="minorHAnsi"/>
          <w:i/>
          <w:iCs/>
          <w:vertAlign w:val="subscript"/>
          <w:lang w:val="en-US"/>
        </w:rPr>
        <w:t>27–31.5</w:t>
      </w:r>
      <w:r w:rsidR="00DD2CF5">
        <w:rPr>
          <w:rFonts w:cstheme="minorHAnsi"/>
          <w:lang w:val="en-US"/>
        </w:rPr>
        <w:t>: -</w:t>
      </w:r>
      <w:r w:rsidR="00D557D3">
        <w:rPr>
          <w:rFonts w:cstheme="minorHAnsi"/>
          <w:lang w:val="en-US"/>
        </w:rPr>
        <w:t>2.17</w:t>
      </w:r>
      <w:r w:rsidR="00DD2CF5">
        <w:rPr>
          <w:rFonts w:cstheme="minorHAnsi"/>
          <w:lang w:val="en-US"/>
        </w:rPr>
        <w:t>, -0.</w:t>
      </w:r>
      <w:r w:rsidR="00D557D3">
        <w:rPr>
          <w:rFonts w:cstheme="minorHAnsi"/>
          <w:lang w:val="en-US"/>
        </w:rPr>
        <w:t>66</w:t>
      </w:r>
      <w:r w:rsidR="00DD2CF5">
        <w:rPr>
          <w:rFonts w:cstheme="minorHAnsi"/>
          <w:lang w:val="en-US"/>
        </w:rPr>
        <w:t xml:space="preserve">]; </w:t>
      </w:r>
      <w:r w:rsidR="00DD2CF5">
        <w:rPr>
          <w:rFonts w:cstheme="minorHAnsi"/>
          <w:i/>
          <w:iCs/>
          <w:lang w:val="en-US"/>
        </w:rPr>
        <w:t>p</w:t>
      </w:r>
      <w:r w:rsidR="00DD2CF5">
        <w:rPr>
          <w:rFonts w:cstheme="minorHAnsi"/>
          <w:i/>
          <w:iCs/>
          <w:vertAlign w:val="subscript"/>
          <w:lang w:val="en-US"/>
        </w:rPr>
        <w:t>28.5–31.5</w:t>
      </w:r>
      <w:r w:rsidR="00DD2CF5">
        <w:rPr>
          <w:rFonts w:cstheme="minorHAnsi"/>
          <w:i/>
          <w:iCs/>
          <w:lang w:val="en-US"/>
        </w:rPr>
        <w:t xml:space="preserve">  </w:t>
      </w:r>
      <w:r w:rsidR="000E466D">
        <w:rPr>
          <w:rFonts w:cstheme="minorHAnsi"/>
          <w:lang w:val="en-US"/>
        </w:rPr>
        <w:t>=</w:t>
      </w:r>
      <w:r w:rsidR="00DD2CF5">
        <w:rPr>
          <w:rFonts w:cstheme="minorHAnsi"/>
          <w:lang w:val="en-US"/>
        </w:rPr>
        <w:t>0.000</w:t>
      </w:r>
      <w:r w:rsidR="000E466D">
        <w:rPr>
          <w:rFonts w:cstheme="minorHAnsi"/>
          <w:lang w:val="en-US"/>
        </w:rPr>
        <w:t>6</w:t>
      </w:r>
      <w:r w:rsidR="00DD2CF5">
        <w:rPr>
          <w:rFonts w:cstheme="minorHAnsi"/>
          <w:lang w:val="en-US"/>
        </w:rPr>
        <w:t>, [CI</w:t>
      </w:r>
      <w:r w:rsidR="00DD2CF5">
        <w:rPr>
          <w:rFonts w:cstheme="minorHAnsi"/>
          <w:i/>
          <w:iCs/>
          <w:vertAlign w:val="subscript"/>
          <w:lang w:val="en-US"/>
        </w:rPr>
        <w:t>28.5–31.5</w:t>
      </w:r>
      <w:r w:rsidR="00DD2CF5">
        <w:rPr>
          <w:rFonts w:cstheme="minorHAnsi"/>
          <w:lang w:val="en-US"/>
        </w:rPr>
        <w:t>: -</w:t>
      </w:r>
      <w:r w:rsidR="000E466D">
        <w:rPr>
          <w:rFonts w:cstheme="minorHAnsi"/>
          <w:lang w:val="en-US"/>
        </w:rPr>
        <w:t>1</w:t>
      </w:r>
      <w:r w:rsidR="00DD2CF5">
        <w:rPr>
          <w:rFonts w:cstheme="minorHAnsi"/>
          <w:lang w:val="en-US"/>
        </w:rPr>
        <w:t>.</w:t>
      </w:r>
      <w:r w:rsidR="000E466D">
        <w:rPr>
          <w:rFonts w:cstheme="minorHAnsi"/>
          <w:lang w:val="en-US"/>
        </w:rPr>
        <w:t>91</w:t>
      </w:r>
      <w:r w:rsidR="00DD2CF5">
        <w:rPr>
          <w:rFonts w:cstheme="minorHAnsi"/>
          <w:lang w:val="en-US"/>
        </w:rPr>
        <w:t>, -0.</w:t>
      </w:r>
      <w:r w:rsidR="000E466D">
        <w:rPr>
          <w:rFonts w:cstheme="minorHAnsi"/>
          <w:lang w:val="en-US"/>
        </w:rPr>
        <w:t>40</w:t>
      </w:r>
      <w:r w:rsidR="00DD2CF5">
        <w:rPr>
          <w:rFonts w:cstheme="minorHAnsi"/>
          <w:lang w:val="en-US"/>
        </w:rPr>
        <w:t xml:space="preserve">]) </w:t>
      </w:r>
      <w:r w:rsidR="007D4A3A">
        <w:rPr>
          <w:rFonts w:cstheme="minorHAnsi"/>
          <w:lang w:val="en-US"/>
        </w:rPr>
        <w:t xml:space="preserve">were significantly different than RMR at 27°C and 28.5°C. </w:t>
      </w:r>
      <w:r w:rsidR="000E466D">
        <w:rPr>
          <w:rFonts w:cstheme="minorHAnsi"/>
          <w:lang w:val="en-US"/>
        </w:rPr>
        <w:t>From 27°C RMR of Mackay region fish increased by 5%, 19%, and 26% a</w:t>
      </w:r>
      <w:r w:rsidR="000E466D">
        <w:rPr>
          <w:lang w:val="en-US"/>
        </w:rPr>
        <w:t>t 28.5</w:t>
      </w:r>
      <w:r w:rsidR="000E466D">
        <w:rPr>
          <w:rFonts w:cstheme="minorHAnsi"/>
          <w:lang w:val="en-US"/>
        </w:rPr>
        <w:t>°C, 30°C, and 31.5°C, respectively.</w:t>
      </w:r>
    </w:p>
    <w:p w14:paraId="1D484C79" w14:textId="77777777" w:rsidR="00AE4746" w:rsidRDefault="00AE4746" w:rsidP="00AE4746">
      <w:pPr>
        <w:pStyle w:val="Heading2"/>
        <w:rPr>
          <w:lang w:val="en-US"/>
        </w:rPr>
      </w:pPr>
      <w:r>
        <w:rPr>
          <w:lang w:val="en-US"/>
        </w:rPr>
        <w:t xml:space="preserve">Phytohemagglutinin (PHA) </w:t>
      </w:r>
    </w:p>
    <w:p w14:paraId="104CF922" w14:textId="67F65031" w:rsidR="00B51916" w:rsidRDefault="00E90A80" w:rsidP="003773FE">
      <w:pPr>
        <w:jc w:val="both"/>
        <w:rPr>
          <w:rFonts w:cstheme="minorHAnsi"/>
          <w:lang w:val="en-US"/>
        </w:rPr>
      </w:pPr>
      <w:r>
        <w:rPr>
          <w:lang w:val="en-US"/>
        </w:rPr>
        <w:t>No significant differences were found in PHA immune swelling response between Cairns and Mackay region fish</w:t>
      </w:r>
      <w:r w:rsidR="000B6389">
        <w:rPr>
          <w:lang w:val="en-US"/>
        </w:rPr>
        <w:t xml:space="preserve"> at any of the tested treatment temperatures. </w:t>
      </w:r>
      <w:r w:rsidR="00335EA9">
        <w:rPr>
          <w:lang w:val="en-US"/>
        </w:rPr>
        <w:t>For fish from both regions</w:t>
      </w:r>
      <w:r w:rsidR="001E7890">
        <w:rPr>
          <w:lang w:val="en-US"/>
        </w:rPr>
        <w:t xml:space="preserve"> PHA swelling response was highest at 28.5</w:t>
      </w:r>
      <w:r w:rsidR="001E7890">
        <w:rPr>
          <w:rFonts w:cstheme="minorHAnsi"/>
          <w:lang w:val="en-US"/>
        </w:rPr>
        <w:t>°C and lowest at 31.5°C</w:t>
      </w:r>
      <w:r w:rsidR="006E5434">
        <w:rPr>
          <w:rFonts w:cstheme="minorHAnsi"/>
          <w:lang w:val="en-US"/>
        </w:rPr>
        <w:t xml:space="preserve">. Temperatures of 27°C and 30°C produced intermediary PHA swelling responses. </w:t>
      </w:r>
      <w:r w:rsidR="00A92FC6">
        <w:rPr>
          <w:rFonts w:cstheme="minorHAnsi"/>
          <w:lang w:val="en-US"/>
        </w:rPr>
        <w:t xml:space="preserve"> </w:t>
      </w:r>
    </w:p>
    <w:p w14:paraId="69A2FA32" w14:textId="73B6AFAE" w:rsidR="00A92FC6" w:rsidRDefault="00A92FC6" w:rsidP="003773FE">
      <w:pPr>
        <w:jc w:val="both"/>
        <w:rPr>
          <w:rFonts w:cstheme="minorHAnsi"/>
          <w:lang w:val="en-US"/>
        </w:rPr>
      </w:pPr>
      <w:r>
        <w:rPr>
          <w:rFonts w:cstheme="minorHAnsi"/>
          <w:lang w:val="en-US"/>
        </w:rPr>
        <w:lastRenderedPageBreak/>
        <w:t xml:space="preserve">PHA swelling response was significantly </w:t>
      </w:r>
      <w:r w:rsidR="00912F24">
        <w:rPr>
          <w:rFonts w:cstheme="minorHAnsi"/>
          <w:lang w:val="en-US"/>
        </w:rPr>
        <w:t>lower</w:t>
      </w:r>
      <w:r w:rsidR="00E23F83">
        <w:rPr>
          <w:rFonts w:cstheme="minorHAnsi"/>
          <w:lang w:val="en-US"/>
        </w:rPr>
        <w:t xml:space="preserve"> at </w:t>
      </w:r>
      <w:r w:rsidR="00912F24">
        <w:rPr>
          <w:rFonts w:cstheme="minorHAnsi"/>
          <w:lang w:val="en-US"/>
        </w:rPr>
        <w:t>31</w:t>
      </w:r>
      <w:r w:rsidR="00E23F83">
        <w:rPr>
          <w:rFonts w:cstheme="minorHAnsi"/>
          <w:lang w:val="en-US"/>
        </w:rPr>
        <w:t>.5°C compared to swelling responses at</w:t>
      </w:r>
      <w:r w:rsidR="00E718C7">
        <w:rPr>
          <w:rFonts w:cstheme="minorHAnsi"/>
          <w:lang w:val="en-US"/>
        </w:rPr>
        <w:t xml:space="preserve"> </w:t>
      </w:r>
      <w:r w:rsidR="00912F24">
        <w:rPr>
          <w:rFonts w:cstheme="minorHAnsi"/>
          <w:lang w:val="en-US"/>
        </w:rPr>
        <w:t>28</w:t>
      </w:r>
      <w:r w:rsidR="00E718C7">
        <w:rPr>
          <w:rFonts w:cstheme="minorHAnsi"/>
          <w:lang w:val="en-US"/>
        </w:rPr>
        <w:t xml:space="preserve">.5°C </w:t>
      </w:r>
      <w:r w:rsidR="00FC344B">
        <w:rPr>
          <w:rFonts w:cstheme="minorHAnsi"/>
          <w:lang w:val="en-US"/>
        </w:rPr>
        <w:t>(</w:t>
      </w:r>
      <w:proofErr w:type="spellStart"/>
      <w:r w:rsidR="00FC344B">
        <w:rPr>
          <w:rFonts w:cstheme="minorHAnsi"/>
          <w:i/>
          <w:iCs/>
          <w:lang w:val="en-US"/>
        </w:rPr>
        <w:t>p</w:t>
      </w:r>
      <w:r w:rsidR="00FC344B">
        <w:rPr>
          <w:rFonts w:cstheme="minorHAnsi"/>
          <w:i/>
          <w:iCs/>
          <w:vertAlign w:val="subscript"/>
          <w:lang w:val="en-US"/>
        </w:rPr>
        <w:t>Cairns</w:t>
      </w:r>
      <w:proofErr w:type="spellEnd"/>
      <w:r w:rsidR="00FC344B">
        <w:rPr>
          <w:rFonts w:cstheme="minorHAnsi"/>
          <w:i/>
          <w:iCs/>
          <w:lang w:val="en-US"/>
        </w:rPr>
        <w:t xml:space="preserve"> </w:t>
      </w:r>
      <w:r w:rsidR="00FC344B">
        <w:rPr>
          <w:rFonts w:cstheme="minorHAnsi"/>
          <w:lang w:val="en-US"/>
        </w:rPr>
        <w:t>=0.0006, [</w:t>
      </w:r>
      <w:proofErr w:type="spellStart"/>
      <w:r w:rsidR="00FC344B">
        <w:rPr>
          <w:rFonts w:cstheme="minorHAnsi"/>
          <w:lang w:val="en-US"/>
        </w:rPr>
        <w:t>CI</w:t>
      </w:r>
      <w:r w:rsidR="00FC344B">
        <w:rPr>
          <w:rFonts w:cstheme="minorHAnsi"/>
          <w:vertAlign w:val="subscript"/>
          <w:lang w:val="en-US"/>
        </w:rPr>
        <w:t>Cairns</w:t>
      </w:r>
      <w:proofErr w:type="spellEnd"/>
      <w:r w:rsidR="00FC344B">
        <w:rPr>
          <w:rFonts w:cstheme="minorHAnsi"/>
          <w:lang w:val="en-US"/>
        </w:rPr>
        <w:t xml:space="preserve">: 0.086, 0.41]; </w:t>
      </w:r>
      <w:proofErr w:type="spellStart"/>
      <w:r w:rsidR="00FC344B">
        <w:rPr>
          <w:rFonts w:cstheme="minorHAnsi"/>
          <w:i/>
          <w:iCs/>
          <w:lang w:val="en-US"/>
        </w:rPr>
        <w:t>p</w:t>
      </w:r>
      <w:r w:rsidR="00FC344B">
        <w:rPr>
          <w:rFonts w:cstheme="minorHAnsi"/>
          <w:i/>
          <w:iCs/>
          <w:vertAlign w:val="subscript"/>
          <w:lang w:val="en-US"/>
        </w:rPr>
        <w:t>Mackay</w:t>
      </w:r>
      <w:proofErr w:type="spellEnd"/>
      <w:r w:rsidR="00FC344B">
        <w:rPr>
          <w:rFonts w:cstheme="minorHAnsi"/>
          <w:i/>
          <w:iCs/>
          <w:lang w:val="en-US"/>
        </w:rPr>
        <w:t xml:space="preserve"> </w:t>
      </w:r>
      <w:r w:rsidR="00FC344B">
        <w:rPr>
          <w:rFonts w:cstheme="minorHAnsi"/>
          <w:lang w:val="en-US"/>
        </w:rPr>
        <w:t>=0.0006, [</w:t>
      </w:r>
      <w:proofErr w:type="spellStart"/>
      <w:r w:rsidR="00FC344B">
        <w:rPr>
          <w:rFonts w:cstheme="minorHAnsi"/>
          <w:lang w:val="en-US"/>
        </w:rPr>
        <w:t>CI</w:t>
      </w:r>
      <w:r w:rsidR="00FC344B">
        <w:rPr>
          <w:rFonts w:cstheme="minorHAnsi"/>
          <w:vertAlign w:val="subscript"/>
          <w:lang w:val="en-US"/>
        </w:rPr>
        <w:t>Mackay</w:t>
      </w:r>
      <w:proofErr w:type="spellEnd"/>
      <w:r w:rsidR="00FC344B">
        <w:rPr>
          <w:rFonts w:cstheme="minorHAnsi"/>
          <w:lang w:val="en-US"/>
        </w:rPr>
        <w:t>: 0.086, 0.41]) and 27°C</w:t>
      </w:r>
      <w:r w:rsidR="00AC75A7">
        <w:rPr>
          <w:rFonts w:cstheme="minorHAnsi"/>
          <w:lang w:val="en-US"/>
        </w:rPr>
        <w:t xml:space="preserve"> (</w:t>
      </w:r>
      <w:proofErr w:type="spellStart"/>
      <w:r w:rsidR="00AC75A7">
        <w:rPr>
          <w:rFonts w:cstheme="minorHAnsi"/>
          <w:i/>
          <w:iCs/>
          <w:lang w:val="en-US"/>
        </w:rPr>
        <w:t>p</w:t>
      </w:r>
      <w:r w:rsidR="00AC75A7">
        <w:rPr>
          <w:rFonts w:cstheme="minorHAnsi"/>
          <w:i/>
          <w:iCs/>
          <w:vertAlign w:val="subscript"/>
          <w:lang w:val="en-US"/>
        </w:rPr>
        <w:t>Cairn</w:t>
      </w:r>
      <w:proofErr w:type="spellEnd"/>
      <w:r w:rsidR="00AC75A7">
        <w:rPr>
          <w:rFonts w:cstheme="minorHAnsi"/>
          <w:i/>
          <w:iCs/>
          <w:lang w:val="en-US"/>
        </w:rPr>
        <w:t xml:space="preserve"> </w:t>
      </w:r>
      <w:r w:rsidR="00AC75A7">
        <w:rPr>
          <w:rFonts w:cstheme="minorHAnsi"/>
          <w:lang w:val="en-US"/>
        </w:rPr>
        <w:t>=0.00</w:t>
      </w:r>
      <w:r w:rsidR="00A53B18">
        <w:rPr>
          <w:rFonts w:cstheme="minorHAnsi"/>
          <w:lang w:val="en-US"/>
        </w:rPr>
        <w:t>16</w:t>
      </w:r>
      <w:r w:rsidR="00AC75A7">
        <w:rPr>
          <w:rFonts w:cstheme="minorHAnsi"/>
          <w:lang w:val="en-US"/>
        </w:rPr>
        <w:t>, [</w:t>
      </w:r>
      <w:proofErr w:type="spellStart"/>
      <w:r w:rsidR="00AC75A7">
        <w:rPr>
          <w:rFonts w:cstheme="minorHAnsi"/>
          <w:lang w:val="en-US"/>
        </w:rPr>
        <w:t>CI</w:t>
      </w:r>
      <w:r w:rsidR="00AC75A7">
        <w:rPr>
          <w:rFonts w:cstheme="minorHAnsi"/>
          <w:vertAlign w:val="subscript"/>
          <w:lang w:val="en-US"/>
        </w:rPr>
        <w:t>Cairns</w:t>
      </w:r>
      <w:proofErr w:type="spellEnd"/>
      <w:r w:rsidR="00AC75A7">
        <w:rPr>
          <w:rFonts w:cstheme="minorHAnsi"/>
          <w:lang w:val="en-US"/>
        </w:rPr>
        <w:t>: 0.0</w:t>
      </w:r>
      <w:r w:rsidR="00A53B18">
        <w:rPr>
          <w:rFonts w:cstheme="minorHAnsi"/>
          <w:lang w:val="en-US"/>
        </w:rPr>
        <w:t>57</w:t>
      </w:r>
      <w:r w:rsidR="00AC75A7">
        <w:rPr>
          <w:rFonts w:cstheme="minorHAnsi"/>
          <w:lang w:val="en-US"/>
        </w:rPr>
        <w:t>, 0.</w:t>
      </w:r>
      <w:r w:rsidR="00A53B18">
        <w:rPr>
          <w:rFonts w:cstheme="minorHAnsi"/>
          <w:lang w:val="en-US"/>
        </w:rPr>
        <w:t>32</w:t>
      </w:r>
      <w:r w:rsidR="00AC75A7">
        <w:rPr>
          <w:rFonts w:cstheme="minorHAnsi"/>
          <w:lang w:val="en-US"/>
        </w:rPr>
        <w:t xml:space="preserve">]; </w:t>
      </w:r>
      <w:proofErr w:type="spellStart"/>
      <w:r w:rsidR="00AC75A7">
        <w:rPr>
          <w:rFonts w:cstheme="minorHAnsi"/>
          <w:i/>
          <w:iCs/>
          <w:lang w:val="en-US"/>
        </w:rPr>
        <w:t>p</w:t>
      </w:r>
      <w:r w:rsidR="00AC75A7">
        <w:rPr>
          <w:rFonts w:cstheme="minorHAnsi"/>
          <w:i/>
          <w:iCs/>
          <w:vertAlign w:val="subscript"/>
          <w:lang w:val="en-US"/>
        </w:rPr>
        <w:t>Mackay</w:t>
      </w:r>
      <w:proofErr w:type="spellEnd"/>
      <w:r w:rsidR="00AC75A7">
        <w:rPr>
          <w:rFonts w:cstheme="minorHAnsi"/>
          <w:i/>
          <w:iCs/>
          <w:lang w:val="en-US"/>
        </w:rPr>
        <w:t xml:space="preserve"> </w:t>
      </w:r>
      <w:r w:rsidR="00AC75A7">
        <w:rPr>
          <w:rFonts w:cstheme="minorHAnsi"/>
          <w:lang w:val="en-US"/>
        </w:rPr>
        <w:t>=0.0</w:t>
      </w:r>
      <w:r w:rsidR="00F63AD4">
        <w:rPr>
          <w:rFonts w:cstheme="minorHAnsi"/>
          <w:lang w:val="en-US"/>
        </w:rPr>
        <w:t>46</w:t>
      </w:r>
      <w:r w:rsidR="00AC75A7">
        <w:rPr>
          <w:rFonts w:cstheme="minorHAnsi"/>
          <w:lang w:val="en-US"/>
        </w:rPr>
        <w:t>, [</w:t>
      </w:r>
      <w:proofErr w:type="spellStart"/>
      <w:r w:rsidR="00AC75A7">
        <w:rPr>
          <w:rFonts w:cstheme="minorHAnsi"/>
          <w:lang w:val="en-US"/>
        </w:rPr>
        <w:t>CI</w:t>
      </w:r>
      <w:r w:rsidR="00AC75A7">
        <w:rPr>
          <w:rFonts w:cstheme="minorHAnsi"/>
          <w:vertAlign w:val="subscript"/>
          <w:lang w:val="en-US"/>
        </w:rPr>
        <w:t>Mackay</w:t>
      </w:r>
      <w:proofErr w:type="spellEnd"/>
      <w:r w:rsidR="00AC75A7">
        <w:rPr>
          <w:rFonts w:cstheme="minorHAnsi"/>
          <w:lang w:val="en-US"/>
        </w:rPr>
        <w:t>: 0.</w:t>
      </w:r>
      <w:r w:rsidR="00F63AD4">
        <w:rPr>
          <w:rFonts w:cstheme="minorHAnsi"/>
          <w:lang w:val="en-US"/>
        </w:rPr>
        <w:t>0013</w:t>
      </w:r>
      <w:r w:rsidR="00AC75A7">
        <w:rPr>
          <w:rFonts w:cstheme="minorHAnsi"/>
          <w:lang w:val="en-US"/>
        </w:rPr>
        <w:t>, 0.</w:t>
      </w:r>
      <w:r w:rsidR="00F63AD4">
        <w:rPr>
          <w:rFonts w:cstheme="minorHAnsi"/>
          <w:lang w:val="en-US"/>
        </w:rPr>
        <w:t>23</w:t>
      </w:r>
      <w:r w:rsidR="00AC75A7">
        <w:rPr>
          <w:rFonts w:cstheme="minorHAnsi"/>
          <w:lang w:val="en-US"/>
        </w:rPr>
        <w:t xml:space="preserve">]) </w:t>
      </w:r>
      <w:r w:rsidR="00E718C7">
        <w:rPr>
          <w:rFonts w:cstheme="minorHAnsi"/>
          <w:lang w:val="en-US"/>
        </w:rPr>
        <w:t>in fish from both Cairns and Mackay regions</w:t>
      </w:r>
      <w:r w:rsidR="00335D3C">
        <w:rPr>
          <w:rFonts w:cstheme="minorHAnsi"/>
          <w:lang w:val="en-US"/>
        </w:rPr>
        <w:t xml:space="preserve"> </w:t>
      </w:r>
      <w:r w:rsidR="00335D3C">
        <w:rPr>
          <w:lang w:val="en-US"/>
        </w:rPr>
        <w:t>(</w:t>
      </w:r>
      <w:r w:rsidR="00335D3C">
        <w:rPr>
          <w:b/>
          <w:bCs/>
          <w:lang w:val="en-US"/>
        </w:rPr>
        <w:t xml:space="preserve">Figure </w:t>
      </w:r>
      <w:r w:rsidR="00CE68D6">
        <w:rPr>
          <w:b/>
          <w:bCs/>
          <w:lang w:val="en-US"/>
        </w:rPr>
        <w:t>3</w:t>
      </w:r>
      <w:r w:rsidR="00335D3C">
        <w:rPr>
          <w:lang w:val="en-US"/>
        </w:rPr>
        <w:t>)</w:t>
      </w:r>
      <w:r w:rsidR="00E718C7">
        <w:rPr>
          <w:rFonts w:cstheme="minorHAnsi"/>
          <w:lang w:val="en-US"/>
        </w:rPr>
        <w:t>.</w:t>
      </w:r>
      <w:r w:rsidR="00C25D7A">
        <w:rPr>
          <w:rFonts w:cstheme="minorHAnsi"/>
          <w:lang w:val="en-US"/>
        </w:rPr>
        <w:t xml:space="preserve"> </w:t>
      </w:r>
      <w:r w:rsidR="008421CA">
        <w:rPr>
          <w:rFonts w:cstheme="minorHAnsi"/>
          <w:lang w:val="en-US"/>
        </w:rPr>
        <w:t>Within fish from the Cairns region a</w:t>
      </w:r>
      <w:r w:rsidR="00940E8E">
        <w:rPr>
          <w:rFonts w:cstheme="minorHAnsi"/>
          <w:lang w:val="en-US"/>
        </w:rPr>
        <w:t>t 31.5°C</w:t>
      </w:r>
      <w:r w:rsidR="00E36971">
        <w:rPr>
          <w:rFonts w:cstheme="minorHAnsi"/>
          <w:lang w:val="en-US"/>
        </w:rPr>
        <w:t xml:space="preserve"> swelling response</w:t>
      </w:r>
      <w:r w:rsidR="00D60237">
        <w:rPr>
          <w:rFonts w:cstheme="minorHAnsi"/>
          <w:lang w:val="en-US"/>
        </w:rPr>
        <w:t xml:space="preserve"> was</w:t>
      </w:r>
      <w:r w:rsidR="008D7DC4">
        <w:rPr>
          <w:rFonts w:cstheme="minorHAnsi"/>
          <w:lang w:val="en-US"/>
        </w:rPr>
        <w:t xml:space="preserve"> just 31% and </w:t>
      </w:r>
      <w:r w:rsidR="00017DDE">
        <w:rPr>
          <w:rFonts w:cstheme="minorHAnsi"/>
          <w:lang w:val="en-US"/>
        </w:rPr>
        <w:t>36%</w:t>
      </w:r>
      <w:r w:rsidR="008D7DC4">
        <w:rPr>
          <w:rFonts w:cstheme="minorHAnsi"/>
          <w:lang w:val="en-US"/>
        </w:rPr>
        <w:t xml:space="preserve"> of the swelling response seen at 28.5°C and 27°C, respectively. </w:t>
      </w:r>
      <w:r w:rsidR="00FA096F">
        <w:rPr>
          <w:rFonts w:cstheme="minorHAnsi"/>
          <w:lang w:val="en-US"/>
        </w:rPr>
        <w:t xml:space="preserve">The swelling response for fish from Mackay at 31.5°C was </w:t>
      </w:r>
      <w:r w:rsidR="002C0E4A">
        <w:rPr>
          <w:rFonts w:cstheme="minorHAnsi"/>
          <w:lang w:val="en-US"/>
        </w:rPr>
        <w:t>2</w:t>
      </w:r>
      <w:r w:rsidR="00FD2DD5">
        <w:rPr>
          <w:rFonts w:cstheme="minorHAnsi"/>
          <w:lang w:val="en-US"/>
        </w:rPr>
        <w:t>1%</w:t>
      </w:r>
      <w:r w:rsidR="00035ACF">
        <w:rPr>
          <w:rFonts w:cstheme="minorHAnsi"/>
          <w:lang w:val="en-US"/>
        </w:rPr>
        <w:t xml:space="preserve"> </w:t>
      </w:r>
      <w:r w:rsidR="00C46188">
        <w:rPr>
          <w:rFonts w:cstheme="minorHAnsi"/>
          <w:lang w:val="en-US"/>
        </w:rPr>
        <w:t xml:space="preserve">and </w:t>
      </w:r>
      <w:r w:rsidR="006B7B94">
        <w:rPr>
          <w:rFonts w:cstheme="minorHAnsi"/>
          <w:lang w:val="en-US"/>
        </w:rPr>
        <w:t xml:space="preserve">43.5% of that seen at 28.5°C and 27°C, respectively. </w:t>
      </w:r>
      <w:r w:rsidR="00B82CC6">
        <w:rPr>
          <w:rFonts w:cstheme="minorHAnsi"/>
          <w:lang w:val="en-US"/>
        </w:rPr>
        <w:t xml:space="preserve"> </w:t>
      </w:r>
    </w:p>
    <w:p w14:paraId="77B2DBD1" w14:textId="6C051827" w:rsidR="00B82CC6" w:rsidRDefault="002B0C93" w:rsidP="007271C5">
      <w:pPr>
        <w:pStyle w:val="Heading2"/>
        <w:rPr>
          <w:lang w:val="en-US"/>
        </w:rPr>
      </w:pPr>
      <w:r>
        <w:rPr>
          <w:lang w:val="en-US"/>
        </w:rPr>
        <w:t xml:space="preserve">Enzyme analysis </w:t>
      </w:r>
    </w:p>
    <w:p w14:paraId="1A7C8030" w14:textId="25ECC28B" w:rsidR="002B0C93" w:rsidRDefault="002B0C93" w:rsidP="002B0C93">
      <w:pPr>
        <w:pStyle w:val="Heading3"/>
        <w:rPr>
          <w:lang w:val="en-US"/>
        </w:rPr>
      </w:pPr>
      <w:r>
        <w:rPr>
          <w:lang w:val="en-US"/>
        </w:rPr>
        <w:t xml:space="preserve">Lactate dehydrogenase </w:t>
      </w:r>
    </w:p>
    <w:p w14:paraId="61D1B99D" w14:textId="1F3949A0" w:rsidR="00864BDB" w:rsidRDefault="007412CC" w:rsidP="003773FE">
      <w:pPr>
        <w:jc w:val="both"/>
        <w:rPr>
          <w:rFonts w:cstheme="minorHAnsi"/>
          <w:lang w:val="en-US"/>
        </w:rPr>
      </w:pPr>
      <w:r>
        <w:rPr>
          <w:lang w:val="en-US"/>
        </w:rPr>
        <w:t>Lactate dehydrogenase activity was positively correlated with temperature</w:t>
      </w:r>
      <w:r w:rsidR="009803D1">
        <w:rPr>
          <w:lang w:val="en-US"/>
        </w:rPr>
        <w:t xml:space="preserve"> (</w:t>
      </w:r>
      <w:r w:rsidR="00FD226F">
        <w:rPr>
          <w:i/>
          <w:iCs/>
          <w:lang w:val="en-US"/>
        </w:rPr>
        <w:t xml:space="preserve">p </w:t>
      </w:r>
      <w:r w:rsidR="00FD226F">
        <w:rPr>
          <w:lang w:val="en-US"/>
        </w:rPr>
        <w:t xml:space="preserve">&lt;0.0001, [CI: </w:t>
      </w:r>
      <w:r w:rsidR="000651D5">
        <w:rPr>
          <w:lang w:val="en-US"/>
        </w:rPr>
        <w:t>1.81</w:t>
      </w:r>
      <w:r w:rsidR="009F535C">
        <w:rPr>
          <w:lang w:val="en-US"/>
        </w:rPr>
        <w:t xml:space="preserve">, </w:t>
      </w:r>
      <w:r w:rsidR="000651D5">
        <w:rPr>
          <w:lang w:val="en-US"/>
        </w:rPr>
        <w:t>2.64</w:t>
      </w:r>
      <w:r w:rsidR="009F535C">
        <w:rPr>
          <w:lang w:val="en-US"/>
        </w:rPr>
        <w:t>]</w:t>
      </w:r>
      <w:r w:rsidR="00A2298B">
        <w:rPr>
          <w:lang w:val="en-US"/>
        </w:rPr>
        <w:t xml:space="preserve">, </w:t>
      </w:r>
      <w:r w:rsidR="00A2298B">
        <w:rPr>
          <w:i/>
          <w:iCs/>
          <w:lang w:val="en-US"/>
        </w:rPr>
        <w:t>R</w:t>
      </w:r>
      <w:r w:rsidR="00A2298B">
        <w:rPr>
          <w:i/>
          <w:iCs/>
          <w:vertAlign w:val="superscript"/>
          <w:lang w:val="en-US"/>
        </w:rPr>
        <w:t>2</w:t>
      </w:r>
      <w:r w:rsidR="00A2298B">
        <w:rPr>
          <w:i/>
          <w:iCs/>
          <w:lang w:val="en-US"/>
        </w:rPr>
        <w:t xml:space="preserve"> =</w:t>
      </w:r>
      <w:r w:rsidR="007F63EF">
        <w:rPr>
          <w:lang w:val="en-US"/>
        </w:rPr>
        <w:t>0.79</w:t>
      </w:r>
      <w:r w:rsidR="009803D1">
        <w:rPr>
          <w:lang w:val="en-US"/>
        </w:rPr>
        <w:t>)</w:t>
      </w:r>
      <w:r>
        <w:rPr>
          <w:lang w:val="en-US"/>
        </w:rPr>
        <w:t>, however, no significant differences were seen in LDH activity between Cairns and Mackay region populations at</w:t>
      </w:r>
      <w:r w:rsidR="00282F9E">
        <w:rPr>
          <w:lang w:val="en-US"/>
        </w:rPr>
        <w:t xml:space="preserve"> any of the tested experimental temperatures for </w:t>
      </w:r>
      <w:r w:rsidR="003773FE">
        <w:rPr>
          <w:lang w:val="en-US"/>
        </w:rPr>
        <w:t>lactate dehydrogenase activity</w:t>
      </w:r>
      <w:r w:rsidR="00282F9E">
        <w:rPr>
          <w:lang w:val="en-US"/>
        </w:rPr>
        <w:t>: 20</w:t>
      </w:r>
      <w:r w:rsidR="00282F9E">
        <w:rPr>
          <w:rFonts w:cstheme="minorHAnsi"/>
          <w:lang w:val="en-US"/>
        </w:rPr>
        <w:t>°C (</w:t>
      </w:r>
      <w:r w:rsidR="00282F9E">
        <w:rPr>
          <w:rFonts w:cstheme="minorHAnsi"/>
          <w:i/>
          <w:iCs/>
          <w:lang w:val="en-US"/>
        </w:rPr>
        <w:t>p</w:t>
      </w:r>
      <w:r w:rsidR="00282F9E">
        <w:rPr>
          <w:rFonts w:cstheme="minorHAnsi"/>
          <w:lang w:val="en-US"/>
        </w:rPr>
        <w:t xml:space="preserve"> =</w:t>
      </w:r>
      <w:r w:rsidR="00A6513E">
        <w:rPr>
          <w:rFonts w:cstheme="minorHAnsi"/>
          <w:lang w:val="en-US"/>
        </w:rPr>
        <w:t>0.14</w:t>
      </w:r>
      <w:r w:rsidR="00282F9E">
        <w:rPr>
          <w:rFonts w:cstheme="minorHAnsi"/>
          <w:lang w:val="en-US"/>
        </w:rPr>
        <w:t>), 30°C (</w:t>
      </w:r>
      <w:r w:rsidR="00282F9E">
        <w:rPr>
          <w:rFonts w:cstheme="minorHAnsi"/>
          <w:i/>
          <w:iCs/>
          <w:lang w:val="en-US"/>
        </w:rPr>
        <w:t>p</w:t>
      </w:r>
      <w:r w:rsidR="00282F9E">
        <w:rPr>
          <w:rFonts w:cstheme="minorHAnsi"/>
          <w:lang w:val="en-US"/>
        </w:rPr>
        <w:t xml:space="preserve"> =</w:t>
      </w:r>
      <w:r w:rsidR="00A6513E">
        <w:rPr>
          <w:rFonts w:cstheme="minorHAnsi"/>
          <w:lang w:val="en-US"/>
        </w:rPr>
        <w:t>0.22</w:t>
      </w:r>
      <w:r w:rsidR="00282F9E">
        <w:rPr>
          <w:rFonts w:cstheme="minorHAnsi"/>
          <w:lang w:val="en-US"/>
        </w:rPr>
        <w:t>), 40°C</w:t>
      </w:r>
      <w:r w:rsidR="003F0C90">
        <w:rPr>
          <w:rFonts w:cstheme="minorHAnsi"/>
          <w:lang w:val="en-US"/>
        </w:rPr>
        <w:t xml:space="preserve"> </w:t>
      </w:r>
      <w:r w:rsidR="00282F9E">
        <w:rPr>
          <w:rFonts w:cstheme="minorHAnsi"/>
          <w:lang w:val="en-US"/>
        </w:rPr>
        <w:t>(</w:t>
      </w:r>
      <w:r w:rsidR="00282F9E">
        <w:rPr>
          <w:rFonts w:cstheme="minorHAnsi"/>
          <w:i/>
          <w:iCs/>
          <w:lang w:val="en-US"/>
        </w:rPr>
        <w:t>p</w:t>
      </w:r>
      <w:r w:rsidR="00282F9E">
        <w:rPr>
          <w:rFonts w:cstheme="minorHAnsi"/>
          <w:lang w:val="en-US"/>
        </w:rPr>
        <w:t xml:space="preserve"> =</w:t>
      </w:r>
      <w:r w:rsidR="00A6513E">
        <w:rPr>
          <w:rFonts w:cstheme="minorHAnsi"/>
          <w:lang w:val="en-US"/>
        </w:rPr>
        <w:t>0.064</w:t>
      </w:r>
      <w:r w:rsidR="00282F9E">
        <w:rPr>
          <w:rFonts w:cstheme="minorHAnsi"/>
          <w:lang w:val="en-US"/>
        </w:rPr>
        <w:t>), and 50°C</w:t>
      </w:r>
      <w:r w:rsidR="003F0C90">
        <w:rPr>
          <w:rFonts w:cstheme="minorHAnsi"/>
          <w:lang w:val="en-US"/>
        </w:rPr>
        <w:t xml:space="preserve"> </w:t>
      </w:r>
      <w:r w:rsidR="00282F9E">
        <w:rPr>
          <w:rFonts w:cstheme="minorHAnsi"/>
          <w:lang w:val="en-US"/>
        </w:rPr>
        <w:t>(</w:t>
      </w:r>
      <w:r w:rsidR="00282F9E">
        <w:rPr>
          <w:rFonts w:cstheme="minorHAnsi"/>
          <w:i/>
          <w:iCs/>
          <w:lang w:val="en-US"/>
        </w:rPr>
        <w:t>p</w:t>
      </w:r>
      <w:r w:rsidR="00282F9E">
        <w:rPr>
          <w:rFonts w:cstheme="minorHAnsi"/>
          <w:lang w:val="en-US"/>
        </w:rPr>
        <w:t xml:space="preserve"> =</w:t>
      </w:r>
      <w:r w:rsidR="00A6513E">
        <w:rPr>
          <w:rFonts w:cstheme="minorHAnsi"/>
          <w:lang w:val="en-US"/>
        </w:rPr>
        <w:t>0.28</w:t>
      </w:r>
      <w:r w:rsidR="00282F9E">
        <w:rPr>
          <w:rFonts w:cstheme="minorHAnsi"/>
          <w:lang w:val="en-US"/>
        </w:rPr>
        <w:t>)</w:t>
      </w:r>
      <w:r w:rsidR="00864BDB">
        <w:rPr>
          <w:rFonts w:cstheme="minorHAnsi"/>
          <w:lang w:val="en-US"/>
        </w:rPr>
        <w:t xml:space="preserve"> (</w:t>
      </w:r>
      <w:r w:rsidR="00864BDB">
        <w:rPr>
          <w:rFonts w:cstheme="minorHAnsi"/>
          <w:b/>
          <w:bCs/>
          <w:lang w:val="en-US"/>
        </w:rPr>
        <w:t xml:space="preserve">Figure </w:t>
      </w:r>
      <w:r w:rsidR="00CE68D6">
        <w:rPr>
          <w:rFonts w:cstheme="minorHAnsi"/>
          <w:b/>
          <w:bCs/>
          <w:lang w:val="en-US"/>
        </w:rPr>
        <w:t>4</w:t>
      </w:r>
      <w:r w:rsidR="00864BDB">
        <w:rPr>
          <w:rFonts w:cstheme="minorHAnsi"/>
          <w:lang w:val="en-US"/>
        </w:rPr>
        <w:t>)</w:t>
      </w:r>
      <w:r w:rsidR="00282F9E">
        <w:rPr>
          <w:rFonts w:cstheme="minorHAnsi"/>
          <w:lang w:val="en-US"/>
        </w:rPr>
        <w:t>.</w:t>
      </w:r>
      <w:r w:rsidR="00864BDB">
        <w:rPr>
          <w:rFonts w:cstheme="minorHAnsi"/>
          <w:lang w:val="en-US"/>
        </w:rPr>
        <w:t xml:space="preserve"> </w:t>
      </w:r>
    </w:p>
    <w:p w14:paraId="1F0BD788" w14:textId="77777777" w:rsidR="00864BDB" w:rsidRDefault="00864BDB" w:rsidP="00864BDB">
      <w:pPr>
        <w:pStyle w:val="Heading2"/>
        <w:rPr>
          <w:lang w:val="en-US"/>
        </w:rPr>
      </w:pPr>
      <w:r>
        <w:rPr>
          <w:lang w:val="en-US"/>
        </w:rPr>
        <w:t xml:space="preserve">Hematocrit </w:t>
      </w:r>
    </w:p>
    <w:p w14:paraId="06F00A11" w14:textId="34B6EFE5" w:rsidR="002B0C93" w:rsidRDefault="00087F5C" w:rsidP="001944F6">
      <w:pPr>
        <w:jc w:val="both"/>
        <w:rPr>
          <w:lang w:val="en-US"/>
        </w:rPr>
      </w:pPr>
      <w:r>
        <w:rPr>
          <w:lang w:val="en-US"/>
        </w:rPr>
        <w:t>No significant difference was observed in hematocrit levels between Cairns and Mackay region fish (</w:t>
      </w:r>
      <w:r>
        <w:rPr>
          <w:i/>
          <w:iCs/>
          <w:lang w:val="en-US"/>
        </w:rPr>
        <w:t xml:space="preserve">p </w:t>
      </w:r>
      <w:r>
        <w:rPr>
          <w:lang w:val="en-US"/>
        </w:rPr>
        <w:t>=0.0</w:t>
      </w:r>
      <w:r w:rsidR="0085496B">
        <w:rPr>
          <w:lang w:val="en-US"/>
        </w:rPr>
        <w:t xml:space="preserve">58). </w:t>
      </w:r>
      <w:r w:rsidR="008F4E55">
        <w:rPr>
          <w:lang w:val="en-US"/>
        </w:rPr>
        <w:t xml:space="preserve">Packed red blood cells composed </w:t>
      </w:r>
      <w:r w:rsidR="000F61B7">
        <w:rPr>
          <w:lang w:val="en-US"/>
        </w:rPr>
        <w:t xml:space="preserve">22.4% and 25.9% of whole blood for Cairns and Mackay region fish, respectively.  </w:t>
      </w:r>
    </w:p>
    <w:p w14:paraId="57F50275" w14:textId="25701AD3" w:rsidR="000F61B7" w:rsidRDefault="00DB4D66" w:rsidP="00DB4D66">
      <w:pPr>
        <w:pStyle w:val="Heading2"/>
        <w:rPr>
          <w:lang w:val="en-US"/>
        </w:rPr>
      </w:pPr>
      <w:r>
        <w:rPr>
          <w:lang w:val="en-US"/>
        </w:rPr>
        <w:t>Genetic sequencing</w:t>
      </w:r>
    </w:p>
    <w:p w14:paraId="6982FA2C" w14:textId="77777777" w:rsidR="000F61B7" w:rsidRPr="00087F5C" w:rsidRDefault="000F61B7" w:rsidP="007B7CF0">
      <w:pPr>
        <w:rPr>
          <w:lang w:val="en-US"/>
        </w:rPr>
      </w:pPr>
    </w:p>
    <w:p w14:paraId="7F3FF1B2" w14:textId="22E1C56F" w:rsidR="00B51916" w:rsidRDefault="008E0FC2" w:rsidP="008E0FC2">
      <w:pPr>
        <w:pStyle w:val="Heading1"/>
        <w:rPr>
          <w:lang w:val="en-US"/>
        </w:rPr>
      </w:pPr>
      <w:r>
        <w:rPr>
          <w:lang w:val="en-US"/>
        </w:rPr>
        <w:t>Discussion</w:t>
      </w:r>
    </w:p>
    <w:p w14:paraId="2BF6D268" w14:textId="36F29967" w:rsidR="00B51916" w:rsidRDefault="00B51916" w:rsidP="00B51916">
      <w:pPr>
        <w:rPr>
          <w:lang w:val="en-US"/>
        </w:rPr>
      </w:pPr>
    </w:p>
    <w:p w14:paraId="13F3D20C" w14:textId="0BCDD0BB" w:rsidR="00B51916" w:rsidRDefault="00B51916" w:rsidP="00B51916">
      <w:pPr>
        <w:rPr>
          <w:lang w:val="en-US"/>
        </w:rPr>
      </w:pPr>
    </w:p>
    <w:p w14:paraId="71CD5C83" w14:textId="6E6311D6" w:rsidR="00B51916" w:rsidRDefault="00B51916" w:rsidP="00B51916">
      <w:pPr>
        <w:rPr>
          <w:lang w:val="en-US"/>
        </w:rPr>
      </w:pPr>
    </w:p>
    <w:p w14:paraId="69B02F82" w14:textId="271B764E" w:rsidR="00B51916" w:rsidRDefault="00B51916" w:rsidP="00B51916">
      <w:pPr>
        <w:rPr>
          <w:lang w:val="en-US"/>
        </w:rPr>
      </w:pPr>
    </w:p>
    <w:p w14:paraId="63964D46" w14:textId="181F6673" w:rsidR="00B51916" w:rsidRDefault="00B51916" w:rsidP="00B51916">
      <w:pPr>
        <w:rPr>
          <w:lang w:val="en-US"/>
        </w:rPr>
      </w:pPr>
    </w:p>
    <w:p w14:paraId="07AA1276" w14:textId="2292F3B0" w:rsidR="00B51916" w:rsidRDefault="00B51916" w:rsidP="00B51916">
      <w:pPr>
        <w:rPr>
          <w:lang w:val="en-US"/>
        </w:rPr>
      </w:pPr>
    </w:p>
    <w:p w14:paraId="7A9B70F7" w14:textId="38499F41" w:rsidR="00B51916" w:rsidRDefault="00B51916" w:rsidP="00B51916">
      <w:pPr>
        <w:rPr>
          <w:lang w:val="en-US"/>
        </w:rPr>
      </w:pPr>
    </w:p>
    <w:p w14:paraId="7B6F4D43" w14:textId="77F3FC92" w:rsidR="00B51916" w:rsidRDefault="00B51916" w:rsidP="00B51916">
      <w:pPr>
        <w:rPr>
          <w:lang w:val="en-US"/>
        </w:rPr>
      </w:pPr>
    </w:p>
    <w:p w14:paraId="662D6958" w14:textId="772F3BFE" w:rsidR="00B51916" w:rsidRDefault="00B51916" w:rsidP="00B51916">
      <w:pPr>
        <w:rPr>
          <w:lang w:val="en-US"/>
        </w:rPr>
      </w:pPr>
    </w:p>
    <w:p w14:paraId="6A1D761C" w14:textId="0748ED50" w:rsidR="00B51916" w:rsidRDefault="00B51916" w:rsidP="00B51916">
      <w:pPr>
        <w:rPr>
          <w:lang w:val="en-US"/>
        </w:rPr>
      </w:pPr>
    </w:p>
    <w:p w14:paraId="13C4C113" w14:textId="7E2FB36A" w:rsidR="00B51916" w:rsidRDefault="00B51916" w:rsidP="00B51916">
      <w:pPr>
        <w:rPr>
          <w:lang w:val="en-US"/>
        </w:rPr>
      </w:pPr>
    </w:p>
    <w:p w14:paraId="0702EE96" w14:textId="16879463" w:rsidR="00B51916" w:rsidRDefault="00B51916" w:rsidP="00B51916">
      <w:pPr>
        <w:rPr>
          <w:lang w:val="en-US"/>
        </w:rPr>
      </w:pPr>
    </w:p>
    <w:p w14:paraId="6A544DAA" w14:textId="3F345956" w:rsidR="00B51916" w:rsidRDefault="00B51916" w:rsidP="00B51916">
      <w:pPr>
        <w:rPr>
          <w:lang w:val="en-US"/>
        </w:rPr>
      </w:pPr>
    </w:p>
    <w:p w14:paraId="56540544" w14:textId="705AF76A" w:rsidR="00B51916" w:rsidRDefault="00B51916" w:rsidP="00B51916">
      <w:pPr>
        <w:rPr>
          <w:lang w:val="en-US"/>
        </w:rPr>
      </w:pPr>
    </w:p>
    <w:p w14:paraId="6CD2850E" w14:textId="6122CF99" w:rsidR="00B51916" w:rsidRDefault="00B51916" w:rsidP="00B51916">
      <w:pPr>
        <w:rPr>
          <w:lang w:val="en-US"/>
        </w:rPr>
      </w:pPr>
    </w:p>
    <w:p w14:paraId="0F831553" w14:textId="32D5C47B" w:rsidR="002C365A" w:rsidRDefault="002C365A" w:rsidP="00B51916">
      <w:pPr>
        <w:rPr>
          <w:lang w:val="en-US"/>
        </w:rPr>
      </w:pPr>
    </w:p>
    <w:p w14:paraId="4DDF666B" w14:textId="0E68F882" w:rsidR="002C365A" w:rsidRDefault="002C365A" w:rsidP="00B51916">
      <w:pPr>
        <w:rPr>
          <w:lang w:val="en-US"/>
        </w:rPr>
      </w:pPr>
    </w:p>
    <w:p w14:paraId="6C123A56" w14:textId="1254EE68" w:rsidR="002C365A" w:rsidRDefault="002C365A" w:rsidP="00B51916">
      <w:pPr>
        <w:rPr>
          <w:lang w:val="en-US"/>
        </w:rPr>
      </w:pPr>
    </w:p>
    <w:p w14:paraId="5F4AB451" w14:textId="4FF46B88" w:rsidR="002C365A" w:rsidRDefault="002C365A" w:rsidP="00B51916">
      <w:pPr>
        <w:rPr>
          <w:lang w:val="en-US"/>
        </w:rPr>
      </w:pPr>
    </w:p>
    <w:p w14:paraId="6ECE0DA8" w14:textId="71EECA48" w:rsidR="002C365A" w:rsidRDefault="002C365A" w:rsidP="00B51916">
      <w:pPr>
        <w:rPr>
          <w:lang w:val="en-US"/>
        </w:rPr>
      </w:pPr>
    </w:p>
    <w:p w14:paraId="70D32DDB" w14:textId="70931494" w:rsidR="002C365A" w:rsidRDefault="002C365A" w:rsidP="00B51916">
      <w:pPr>
        <w:rPr>
          <w:lang w:val="en-US"/>
        </w:rPr>
      </w:pPr>
    </w:p>
    <w:p w14:paraId="558972DE" w14:textId="1508874B" w:rsidR="002C365A" w:rsidRDefault="002C365A" w:rsidP="00B51916">
      <w:pPr>
        <w:rPr>
          <w:lang w:val="en-US"/>
        </w:rPr>
      </w:pPr>
    </w:p>
    <w:p w14:paraId="5B2941C3" w14:textId="58CCB73F" w:rsidR="002C365A" w:rsidRDefault="002C365A" w:rsidP="00B51916">
      <w:pPr>
        <w:rPr>
          <w:lang w:val="en-US"/>
        </w:rPr>
      </w:pPr>
    </w:p>
    <w:p w14:paraId="409ECAD2" w14:textId="26D7B973" w:rsidR="002C365A" w:rsidRDefault="002C365A" w:rsidP="00B51916">
      <w:pPr>
        <w:rPr>
          <w:lang w:val="en-US"/>
        </w:rPr>
      </w:pPr>
    </w:p>
    <w:p w14:paraId="77D37DC2" w14:textId="29D795DA" w:rsidR="00B51916" w:rsidRPr="00274DAE" w:rsidRDefault="00B51916" w:rsidP="00B51916">
      <w:pPr>
        <w:jc w:val="both"/>
        <w:rPr>
          <w:b/>
          <w:bCs/>
          <w:lang w:val="en-US"/>
        </w:rPr>
      </w:pPr>
      <w:r w:rsidRPr="00274DAE">
        <w:rPr>
          <w:b/>
          <w:bCs/>
          <w:lang w:val="en-US"/>
        </w:rPr>
        <w:t xml:space="preserve">Details pertaining to respiration trials are provided below following the guidelines outlined by Killen </w:t>
      </w:r>
      <w:proofErr w:type="spellStart"/>
      <w:r w:rsidRPr="00274DAE">
        <w:rPr>
          <w:b/>
          <w:bCs/>
          <w:i/>
          <w:iCs/>
          <w:lang w:val="en-US"/>
        </w:rPr>
        <w:t>etl</w:t>
      </w:r>
      <w:proofErr w:type="spellEnd"/>
      <w:r w:rsidRPr="00274DAE">
        <w:rPr>
          <w:b/>
          <w:bCs/>
          <w:i/>
          <w:iCs/>
          <w:lang w:val="en-US"/>
        </w:rPr>
        <w:t xml:space="preserve"> al. </w:t>
      </w:r>
      <w:r w:rsidRPr="00274DAE">
        <w:rPr>
          <w:b/>
          <w:bCs/>
          <w:lang w:val="en-US"/>
        </w:rPr>
        <w:t>(2021)</w:t>
      </w:r>
      <w:r w:rsidRPr="00274DAE">
        <w:rPr>
          <w:b/>
          <w:bCs/>
          <w:lang w:val="en-US"/>
        </w:rPr>
        <w:fldChar w:fldCharType="begin" w:fldLock="1"/>
      </w:r>
      <w:r w:rsidR="00117C30">
        <w:rPr>
          <w:b/>
          <w:bCs/>
          <w:lang w:val="en-US"/>
        </w:rPr>
        <w:instrText>ADDIN CSL_CITATION {"citationItems":[{"id":"ITEM-1","itemData":{"DOI":"10.1242/jeb.242522","ISBN":"0000000343237","ISSN":"14779145","PMID":"34520540","abstract":"Interest in the measurement of metabolic rates is growing rapidly, because of the importance of metabolism in advancing our understanding of organismal physiology, behaviour, evolution and responses to environmental change. The study of metabolism in aquatic animals is undergoing an especially pronounced expansion, with more researchers utilising intermittent-flow respirometry as a research tool than ever before. Aquatic respirometry measures the rate of oxygen uptake as a proxy for metabolic rate, and the intermittent-flow technique has numerous strengths for use with aquatic animals, allowing metabolic rate to be repeatedly estimated on individual animals over several hours or days and during exposure to various conditions or stimuli. There are, however, no published guidelines for the reporting of methodological details when using this method. Here, we provide the first guidelines for reporting intermittent-flow respirometry methods, in the form of a checklist of criteria that we consider to be the minimum required for the interpretation, evaluation and replication of experiments using intermittent-flow respirometry. Furthermore, using a survey of the existing literature, we show that there has been incomplete and inconsistent reporting of methods for intermittent-flow respirometry over the past few decades. Use of the provided checklist of required criteria by researchers when publishing their work should increase consistency of the reporting of methods for studies that use intermittent-flow respirometry. With the steep increase in studies using intermittent-flow respirometry, now is the ideal time to standardise reporting of methods, so that - in the future - data can be properly assessed by other scientists and conservationists.","author":[{"dropping-particle":"","family":"Killen","given":"Shaun S.","non-dropping-particle":"","parse-names":false,"suffix":""},{"dropping-particle":"","family":"Christensen","given":"Emil A.F.","non-dropping-particle":"","parse-names":false,"suffix":""},{"dropping-particle":"","family":"Cortese","given":"Daphne","non-dropping-particle":"","parse-names":false,"suffix":""},{"dropping-particle":"","family":"Závorka","given":"Libor","non-dropping-particle":"","parse-names":false,"suffix":""},{"dropping-particle":"","family":"Norin","given":"Tommy","non-dropping-particle":"","parse-names":false,"suffix":""},{"dropping-particle":"","family":"Cotgrove","given":"Lucy","non-dropping-particle":"","parse-names":false,"suffix":""},{"dropping-particle":"","family":"Crespel","given":"Amélie","non-dropping-particle":"","parse-names":false,"suffix":""},{"dropping-particle":"","family":"Munson","given":"Amelia","non-dropping-particle":"","parse-names":false,"suffix":""},{"dropping-particle":"","family":"Nati","given":"Julie J.H.","non-dropping-particle":"","parse-names":false,"suffix":""},{"dropping-particle":"","family":"Papatheodoulou","given":"Magdalene","non-dropping-particle":"","parse-names":false,"suffix":""},{"dropping-particle":"","family":"McKenzie","given":"David J.","non-dropping-particle":"","parse-names":false,"suffix":""}],"container-title":"Journal of Experimental Biology","id":"ITEM-1","issue":"18","issued":{"date-parts":[["2021"]]},"title":"Guidelines for reporting methods to estimate metabolic rates by aquatic intermittent-flow respirometry","type":"article-journal","volume":"224"},"uris":["http://www.mendeley.com/documents/?uuid=092d7bc9-2fb8-4792-a2d5-d10e44f88fc4"]}],"mendeley":{"formattedCitation":"&lt;sup&gt;28&lt;/sup&gt;","plainTextFormattedCitation":"28","previouslyFormattedCitation":"&lt;sup&gt;28&lt;/sup&gt;"},"properties":{"noteIndex":0},"schema":"https://github.com/citation-style-language/schema/raw/master/csl-citation.json"}</w:instrText>
      </w:r>
      <w:r w:rsidRPr="00274DAE">
        <w:rPr>
          <w:b/>
          <w:bCs/>
          <w:lang w:val="en-US"/>
        </w:rPr>
        <w:fldChar w:fldCharType="separate"/>
      </w:r>
      <w:r w:rsidR="00117C30" w:rsidRPr="00117C30">
        <w:rPr>
          <w:bCs/>
          <w:noProof/>
          <w:vertAlign w:val="superscript"/>
          <w:lang w:val="en-US"/>
        </w:rPr>
        <w:t>28</w:t>
      </w:r>
      <w:r w:rsidRPr="00274DAE">
        <w:rPr>
          <w:b/>
          <w:bCs/>
          <w:lang w:val="en-US"/>
        </w:rPr>
        <w:fldChar w:fldCharType="end"/>
      </w:r>
      <w:r w:rsidRPr="00274DAE">
        <w:rPr>
          <w:b/>
          <w:bCs/>
          <w:lang w:val="en-US"/>
        </w:rPr>
        <w:t xml:space="preserve">. </w:t>
      </w:r>
    </w:p>
    <w:p w14:paraId="1625DC42" w14:textId="77777777" w:rsidR="00ED453C" w:rsidRPr="00D16A13" w:rsidRDefault="00ED453C" w:rsidP="00E800E6">
      <w:pPr>
        <w:spacing w:line="240" w:lineRule="auto"/>
        <w:rPr>
          <w:rFonts w:cstheme="minorHAnsi"/>
          <w:bCs/>
        </w:rPr>
      </w:pPr>
    </w:p>
    <w:p w14:paraId="2C99CF03" w14:textId="50658C9A" w:rsidR="00E800E6" w:rsidRPr="00087D34" w:rsidRDefault="00E800E6" w:rsidP="00834037">
      <w:pPr>
        <w:pStyle w:val="Heading2"/>
        <w:rPr>
          <w:iCs/>
        </w:rPr>
      </w:pPr>
      <w:r w:rsidRPr="005361E6">
        <w:rPr>
          <w:highlight w:val="yellow"/>
        </w:rPr>
        <w:t>Sequencing and genomic analyses</w:t>
      </w:r>
      <w:r w:rsidR="00834037" w:rsidRPr="005361E6">
        <w:rPr>
          <w:highlight w:val="yellow"/>
        </w:rPr>
        <w:t>:</w:t>
      </w:r>
      <w:r w:rsidRPr="00087D34">
        <w:t xml:space="preserve"> </w:t>
      </w:r>
    </w:p>
    <w:p w14:paraId="23A7748B" w14:textId="77777777" w:rsidR="00E800E6" w:rsidRPr="00BB3DCA" w:rsidRDefault="00E800E6" w:rsidP="00E800E6">
      <w:pPr>
        <w:spacing w:line="240" w:lineRule="auto"/>
        <w:rPr>
          <w:rFonts w:cstheme="minorHAnsi"/>
          <w:bCs/>
        </w:rPr>
      </w:pPr>
      <w:r w:rsidRPr="00BB3DCA">
        <w:rPr>
          <w:rFonts w:cstheme="minorHAnsi"/>
          <w:bCs/>
        </w:rPr>
        <w:t>The novel approach of shallow whole genome sequencing (</w:t>
      </w:r>
      <w:proofErr w:type="spellStart"/>
      <w:r w:rsidRPr="00BB3DCA">
        <w:rPr>
          <w:rFonts w:cstheme="minorHAnsi"/>
          <w:bCs/>
        </w:rPr>
        <w:t>sWGS</w:t>
      </w:r>
      <w:proofErr w:type="spellEnd"/>
      <w:r w:rsidRPr="00BB3DCA">
        <w:rPr>
          <w:rFonts w:cstheme="minorHAnsi"/>
          <w:bCs/>
        </w:rPr>
        <w:t xml:space="preserve">) will allow genome-wide associations with phenotypic traits to be detected. Reduced genetic diversity in areas of the genome where an allele is under selection, distinct patterns of haplotype structure, and linkage disequilibrium will be explored to determine the genetic changes that underpin local adaptation within different regions. The phenotype-genomic integrated approach will allow for an increased understanding of the evolutionary events that occurred surrounding local adaptation within a widespread species. </w:t>
      </w:r>
    </w:p>
    <w:p w14:paraId="49BBB59E" w14:textId="77777777" w:rsidR="000E4443" w:rsidRDefault="000E4443" w:rsidP="000E4443">
      <w:pPr>
        <w:rPr>
          <w:lang w:val="en-US"/>
        </w:rPr>
      </w:pPr>
    </w:p>
    <w:p w14:paraId="41335A72" w14:textId="77777777" w:rsidR="000E4443" w:rsidRDefault="000E4443" w:rsidP="000E4443">
      <w:pPr>
        <w:pStyle w:val="Heading4"/>
        <w:rPr>
          <w:lang w:val="en-US"/>
        </w:rPr>
      </w:pPr>
      <w:r>
        <w:rPr>
          <w:lang w:val="en-US"/>
        </w:rPr>
        <w:t xml:space="preserve">Chauvel Reef (southern) </w:t>
      </w:r>
    </w:p>
    <w:p w14:paraId="6A219E67" w14:textId="77777777" w:rsidR="000E4443" w:rsidRPr="002B0C83" w:rsidRDefault="000E4443" w:rsidP="000E4443">
      <w:pPr>
        <w:rPr>
          <w:lang w:val="en-US"/>
        </w:rPr>
      </w:pPr>
      <w:r>
        <w:rPr>
          <w:lang w:val="en-US"/>
        </w:rPr>
        <w:t xml:space="preserve">Despite sharing a similar latitude Chauvel Reef (southern) represents in an inshore reef, rather than an inshore island as represented by Cockermouth and Keswick Island. When analyzed separately from Cockermouth and Keswick Island, Chauvel Reef showed a number of significant </w:t>
      </w:r>
      <w:proofErr w:type="gramStart"/>
      <w:r>
        <w:rPr>
          <w:lang w:val="en-US"/>
        </w:rPr>
        <w:t>differences</w:t>
      </w:r>
      <w:proofErr w:type="gramEnd"/>
      <w:r>
        <w:rPr>
          <w:lang w:val="en-US"/>
        </w:rPr>
        <w:t xml:space="preserve"> </w:t>
      </w:r>
    </w:p>
    <w:p w14:paraId="076A4CD4" w14:textId="3129A9CE" w:rsidR="00AC382A" w:rsidRDefault="00AC382A" w:rsidP="0031542C">
      <w:pPr>
        <w:rPr>
          <w:lang w:val="en-US"/>
        </w:rPr>
      </w:pPr>
    </w:p>
    <w:p w14:paraId="26641210" w14:textId="6815BB90" w:rsidR="00AC382A" w:rsidRDefault="00AC382A" w:rsidP="0031542C">
      <w:pPr>
        <w:rPr>
          <w:lang w:val="en-US"/>
        </w:rPr>
      </w:pPr>
    </w:p>
    <w:p w14:paraId="24C975A8" w14:textId="74AB8800" w:rsidR="00AC382A" w:rsidRDefault="00AC382A" w:rsidP="0031542C">
      <w:pPr>
        <w:rPr>
          <w:lang w:val="en-US"/>
        </w:rPr>
      </w:pPr>
    </w:p>
    <w:p w14:paraId="738D6175" w14:textId="29A9FC21" w:rsidR="00AC382A" w:rsidRDefault="00AC382A" w:rsidP="0031542C">
      <w:pPr>
        <w:rPr>
          <w:lang w:val="en-US"/>
        </w:rPr>
      </w:pPr>
    </w:p>
    <w:p w14:paraId="793A5008" w14:textId="4D1D3F23" w:rsidR="00AC382A" w:rsidRDefault="00AC382A" w:rsidP="0031542C">
      <w:pPr>
        <w:rPr>
          <w:lang w:val="en-US"/>
        </w:rPr>
      </w:pPr>
    </w:p>
    <w:p w14:paraId="760C01D8" w14:textId="45AFBD65" w:rsidR="00AC382A" w:rsidRDefault="00AC382A" w:rsidP="0031542C">
      <w:pPr>
        <w:rPr>
          <w:lang w:val="en-US"/>
        </w:rPr>
      </w:pPr>
    </w:p>
    <w:p w14:paraId="13167829" w14:textId="4E754558" w:rsidR="00CA7038" w:rsidRDefault="00CA7038" w:rsidP="00402790">
      <w:pPr>
        <w:jc w:val="both"/>
        <w:rPr>
          <w:lang w:val="en-US"/>
        </w:rPr>
      </w:pPr>
    </w:p>
    <w:p w14:paraId="03F21066" w14:textId="77777777" w:rsidR="000E4443" w:rsidRDefault="000E4443" w:rsidP="00402790">
      <w:pPr>
        <w:jc w:val="both"/>
        <w:rPr>
          <w:lang w:val="en-US"/>
        </w:rPr>
      </w:pPr>
    </w:p>
    <w:p w14:paraId="57C423BE" w14:textId="1A9C212B" w:rsidR="00CA7038" w:rsidRDefault="00CA7038" w:rsidP="00402790">
      <w:pPr>
        <w:jc w:val="both"/>
        <w:rPr>
          <w:lang w:val="en-US"/>
        </w:rPr>
      </w:pPr>
    </w:p>
    <w:p w14:paraId="4626DF29" w14:textId="388897AF" w:rsidR="00117C30" w:rsidRPr="00117C30" w:rsidRDefault="00453A60" w:rsidP="00117C30">
      <w:pPr>
        <w:widowControl w:val="0"/>
        <w:autoSpaceDE w:val="0"/>
        <w:autoSpaceDN w:val="0"/>
        <w:adjustRightInd w:val="0"/>
        <w:spacing w:line="240" w:lineRule="auto"/>
        <w:ind w:left="640" w:hanging="64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117C30" w:rsidRPr="00117C30">
        <w:rPr>
          <w:rFonts w:ascii="Calibri" w:hAnsi="Calibri" w:cs="Calibri"/>
          <w:noProof/>
          <w:szCs w:val="24"/>
        </w:rPr>
        <w:t>1.</w:t>
      </w:r>
      <w:r w:rsidR="00117C30" w:rsidRPr="00117C30">
        <w:rPr>
          <w:rFonts w:ascii="Calibri" w:hAnsi="Calibri" w:cs="Calibri"/>
          <w:noProof/>
          <w:szCs w:val="24"/>
        </w:rPr>
        <w:tab/>
        <w:t xml:space="preserve">Jump, A. S. &amp; Peñuelas, J. Running to stand still: Adaptation and the response of plants to rapid climate change. </w:t>
      </w:r>
      <w:r w:rsidR="00117C30" w:rsidRPr="00117C30">
        <w:rPr>
          <w:rFonts w:ascii="Calibri" w:hAnsi="Calibri" w:cs="Calibri"/>
          <w:i/>
          <w:iCs/>
          <w:noProof/>
          <w:szCs w:val="24"/>
        </w:rPr>
        <w:t>Ecol. Lett.</w:t>
      </w:r>
      <w:r w:rsidR="00117C30" w:rsidRPr="00117C30">
        <w:rPr>
          <w:rFonts w:ascii="Calibri" w:hAnsi="Calibri" w:cs="Calibri"/>
          <w:noProof/>
          <w:szCs w:val="24"/>
        </w:rPr>
        <w:t xml:space="preserve"> </w:t>
      </w:r>
      <w:r w:rsidR="00117C30" w:rsidRPr="00117C30">
        <w:rPr>
          <w:rFonts w:ascii="Calibri" w:hAnsi="Calibri" w:cs="Calibri"/>
          <w:b/>
          <w:bCs/>
          <w:noProof/>
          <w:szCs w:val="24"/>
        </w:rPr>
        <w:t>8</w:t>
      </w:r>
      <w:r w:rsidR="00117C30" w:rsidRPr="00117C30">
        <w:rPr>
          <w:rFonts w:ascii="Calibri" w:hAnsi="Calibri" w:cs="Calibri"/>
          <w:noProof/>
          <w:szCs w:val="24"/>
        </w:rPr>
        <w:t>, 1010–1020 (2005).</w:t>
      </w:r>
    </w:p>
    <w:p w14:paraId="5C4BF3DF"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2.</w:t>
      </w:r>
      <w:r w:rsidRPr="00117C30">
        <w:rPr>
          <w:rFonts w:ascii="Calibri" w:hAnsi="Calibri" w:cs="Calibri"/>
          <w:noProof/>
          <w:szCs w:val="24"/>
        </w:rPr>
        <w:tab/>
        <w:t xml:space="preserve">Kelly, M. W. &amp; Griffiths, J. S. Selection Experiments in the Sea: What Can Experimental </w:t>
      </w:r>
      <w:r w:rsidRPr="00117C30">
        <w:rPr>
          <w:rFonts w:ascii="Calibri" w:hAnsi="Calibri" w:cs="Calibri"/>
          <w:noProof/>
          <w:szCs w:val="24"/>
        </w:rPr>
        <w:lastRenderedPageBreak/>
        <w:t xml:space="preserve">Evolution Tell Us About How Marine Life Will Respond to Climate Change? </w:t>
      </w:r>
      <w:r w:rsidRPr="00117C30">
        <w:rPr>
          <w:rFonts w:ascii="Calibri" w:hAnsi="Calibri" w:cs="Calibri"/>
          <w:i/>
          <w:iCs/>
          <w:noProof/>
          <w:szCs w:val="24"/>
        </w:rPr>
        <w:t>Biol. Bull.</w:t>
      </w:r>
      <w:r w:rsidRPr="00117C30">
        <w:rPr>
          <w:rFonts w:ascii="Calibri" w:hAnsi="Calibri" w:cs="Calibri"/>
          <w:noProof/>
          <w:szCs w:val="24"/>
        </w:rPr>
        <w:t xml:space="preserve"> 000–000 (2021) doi:10.1086/715109.</w:t>
      </w:r>
    </w:p>
    <w:p w14:paraId="68D792E4"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3.</w:t>
      </w:r>
      <w:r w:rsidRPr="00117C30">
        <w:rPr>
          <w:rFonts w:ascii="Calibri" w:hAnsi="Calibri" w:cs="Calibri"/>
          <w:noProof/>
          <w:szCs w:val="24"/>
        </w:rPr>
        <w:tab/>
        <w:t xml:space="preserve">Kawecki, T. J. &amp; Ebert, D. Conceptual issues in local adaptation. </w:t>
      </w:r>
      <w:r w:rsidRPr="00117C30">
        <w:rPr>
          <w:rFonts w:ascii="Calibri" w:hAnsi="Calibri" w:cs="Calibri"/>
          <w:i/>
          <w:iCs/>
          <w:noProof/>
          <w:szCs w:val="24"/>
        </w:rPr>
        <w:t>Ecol. Lett.</w:t>
      </w:r>
      <w:r w:rsidRPr="00117C30">
        <w:rPr>
          <w:rFonts w:ascii="Calibri" w:hAnsi="Calibri" w:cs="Calibri"/>
          <w:noProof/>
          <w:szCs w:val="24"/>
        </w:rPr>
        <w:t xml:space="preserve"> </w:t>
      </w:r>
      <w:r w:rsidRPr="00117C30">
        <w:rPr>
          <w:rFonts w:ascii="Calibri" w:hAnsi="Calibri" w:cs="Calibri"/>
          <w:b/>
          <w:bCs/>
          <w:noProof/>
          <w:szCs w:val="24"/>
        </w:rPr>
        <w:t>7</w:t>
      </w:r>
      <w:r w:rsidRPr="00117C30">
        <w:rPr>
          <w:rFonts w:ascii="Calibri" w:hAnsi="Calibri" w:cs="Calibri"/>
          <w:noProof/>
          <w:szCs w:val="24"/>
        </w:rPr>
        <w:t>, 1225–1241 (2004).</w:t>
      </w:r>
    </w:p>
    <w:p w14:paraId="312B2FB6"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4.</w:t>
      </w:r>
      <w:r w:rsidRPr="00117C30">
        <w:rPr>
          <w:rFonts w:ascii="Calibri" w:hAnsi="Calibri" w:cs="Calibri"/>
          <w:noProof/>
          <w:szCs w:val="24"/>
        </w:rPr>
        <w:tab/>
        <w:t xml:space="preserve">Hereford, J. A quantitative survey of local adaptation and fitness trade-offs. </w:t>
      </w:r>
      <w:r w:rsidRPr="00117C30">
        <w:rPr>
          <w:rFonts w:ascii="Calibri" w:hAnsi="Calibri" w:cs="Calibri"/>
          <w:i/>
          <w:iCs/>
          <w:noProof/>
          <w:szCs w:val="24"/>
        </w:rPr>
        <w:t>Am. Nat.</w:t>
      </w:r>
      <w:r w:rsidRPr="00117C30">
        <w:rPr>
          <w:rFonts w:ascii="Calibri" w:hAnsi="Calibri" w:cs="Calibri"/>
          <w:noProof/>
          <w:szCs w:val="24"/>
        </w:rPr>
        <w:t xml:space="preserve"> </w:t>
      </w:r>
      <w:r w:rsidRPr="00117C30">
        <w:rPr>
          <w:rFonts w:ascii="Calibri" w:hAnsi="Calibri" w:cs="Calibri"/>
          <w:b/>
          <w:bCs/>
          <w:noProof/>
          <w:szCs w:val="24"/>
        </w:rPr>
        <w:t>173</w:t>
      </w:r>
      <w:r w:rsidRPr="00117C30">
        <w:rPr>
          <w:rFonts w:ascii="Calibri" w:hAnsi="Calibri" w:cs="Calibri"/>
          <w:noProof/>
          <w:szCs w:val="24"/>
        </w:rPr>
        <w:t>, 579–588 (2009).</w:t>
      </w:r>
    </w:p>
    <w:p w14:paraId="60D22EC2"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5.</w:t>
      </w:r>
      <w:r w:rsidRPr="00117C30">
        <w:rPr>
          <w:rFonts w:ascii="Calibri" w:hAnsi="Calibri" w:cs="Calibri"/>
          <w:noProof/>
          <w:szCs w:val="24"/>
        </w:rPr>
        <w:tab/>
        <w:t xml:space="preserve">Linhart, Y. B. &amp; Grant, M. C. Evolutionary significance of local genetic differentiation in plants. </w:t>
      </w:r>
      <w:r w:rsidRPr="00117C30">
        <w:rPr>
          <w:rFonts w:ascii="Calibri" w:hAnsi="Calibri" w:cs="Calibri"/>
          <w:i/>
          <w:iCs/>
          <w:noProof/>
          <w:szCs w:val="24"/>
        </w:rPr>
        <w:t>Annu. Rev. Ecol. Syst.</w:t>
      </w:r>
      <w:r w:rsidRPr="00117C30">
        <w:rPr>
          <w:rFonts w:ascii="Calibri" w:hAnsi="Calibri" w:cs="Calibri"/>
          <w:noProof/>
          <w:szCs w:val="24"/>
        </w:rPr>
        <w:t xml:space="preserve"> </w:t>
      </w:r>
      <w:r w:rsidRPr="00117C30">
        <w:rPr>
          <w:rFonts w:ascii="Calibri" w:hAnsi="Calibri" w:cs="Calibri"/>
          <w:b/>
          <w:bCs/>
          <w:noProof/>
          <w:szCs w:val="24"/>
        </w:rPr>
        <w:t>27</w:t>
      </w:r>
      <w:r w:rsidRPr="00117C30">
        <w:rPr>
          <w:rFonts w:ascii="Calibri" w:hAnsi="Calibri" w:cs="Calibri"/>
          <w:noProof/>
          <w:szCs w:val="24"/>
        </w:rPr>
        <w:t>, 237–277 (1996).</w:t>
      </w:r>
    </w:p>
    <w:p w14:paraId="7A58B9EA"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6.</w:t>
      </w:r>
      <w:r w:rsidRPr="00117C30">
        <w:rPr>
          <w:rFonts w:ascii="Calibri" w:hAnsi="Calibri" w:cs="Calibri"/>
          <w:noProof/>
          <w:szCs w:val="24"/>
        </w:rPr>
        <w:tab/>
        <w:t xml:space="preserve">Richardson, J. L., Urban, M. C., Bolnick, D. I. &amp; Skelly, D. K. Microgeographic adaptation and the spatial scale of evolution. </w:t>
      </w:r>
      <w:r w:rsidRPr="00117C30">
        <w:rPr>
          <w:rFonts w:ascii="Calibri" w:hAnsi="Calibri" w:cs="Calibri"/>
          <w:i/>
          <w:iCs/>
          <w:noProof/>
          <w:szCs w:val="24"/>
        </w:rPr>
        <w:t>Trends Ecol. Evol.</w:t>
      </w:r>
      <w:r w:rsidRPr="00117C30">
        <w:rPr>
          <w:rFonts w:ascii="Calibri" w:hAnsi="Calibri" w:cs="Calibri"/>
          <w:noProof/>
          <w:szCs w:val="24"/>
        </w:rPr>
        <w:t xml:space="preserve"> </w:t>
      </w:r>
      <w:r w:rsidRPr="00117C30">
        <w:rPr>
          <w:rFonts w:ascii="Calibri" w:hAnsi="Calibri" w:cs="Calibri"/>
          <w:b/>
          <w:bCs/>
          <w:noProof/>
          <w:szCs w:val="24"/>
        </w:rPr>
        <w:t>29</w:t>
      </w:r>
      <w:r w:rsidRPr="00117C30">
        <w:rPr>
          <w:rFonts w:ascii="Calibri" w:hAnsi="Calibri" w:cs="Calibri"/>
          <w:noProof/>
          <w:szCs w:val="24"/>
        </w:rPr>
        <w:t>, 165–176 (2014).</w:t>
      </w:r>
    </w:p>
    <w:p w14:paraId="38E1465C"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7.</w:t>
      </w:r>
      <w:r w:rsidRPr="00117C30">
        <w:rPr>
          <w:rFonts w:ascii="Calibri" w:hAnsi="Calibri" w:cs="Calibri"/>
          <w:noProof/>
          <w:szCs w:val="24"/>
        </w:rPr>
        <w:tab/>
        <w:t xml:space="preserve">García-Ramos, G. &amp; Kirkpatrick, M. Genetic models of adaptation and gene flow in peripheral populations. </w:t>
      </w:r>
      <w:r w:rsidRPr="00117C30">
        <w:rPr>
          <w:rFonts w:ascii="Calibri" w:hAnsi="Calibri" w:cs="Calibri"/>
          <w:i/>
          <w:iCs/>
          <w:noProof/>
          <w:szCs w:val="24"/>
        </w:rPr>
        <w:t>Evolution (N. Y).</w:t>
      </w:r>
      <w:r w:rsidRPr="00117C30">
        <w:rPr>
          <w:rFonts w:ascii="Calibri" w:hAnsi="Calibri" w:cs="Calibri"/>
          <w:noProof/>
          <w:szCs w:val="24"/>
        </w:rPr>
        <w:t xml:space="preserve"> </w:t>
      </w:r>
      <w:r w:rsidRPr="00117C30">
        <w:rPr>
          <w:rFonts w:ascii="Calibri" w:hAnsi="Calibri" w:cs="Calibri"/>
          <w:b/>
          <w:bCs/>
          <w:noProof/>
          <w:szCs w:val="24"/>
        </w:rPr>
        <w:t>51</w:t>
      </w:r>
      <w:r w:rsidRPr="00117C30">
        <w:rPr>
          <w:rFonts w:ascii="Calibri" w:hAnsi="Calibri" w:cs="Calibri"/>
          <w:noProof/>
          <w:szCs w:val="24"/>
        </w:rPr>
        <w:t>, 21–28 (1997).</w:t>
      </w:r>
    </w:p>
    <w:p w14:paraId="3555171B"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8.</w:t>
      </w:r>
      <w:r w:rsidRPr="00117C30">
        <w:rPr>
          <w:rFonts w:ascii="Calibri" w:hAnsi="Calibri" w:cs="Calibri"/>
          <w:noProof/>
          <w:szCs w:val="24"/>
        </w:rPr>
        <w:tab/>
        <w:t xml:space="preserve">Hendry, A. P. Traits in discrete populations: A theoretical framework for empirical tests. </w:t>
      </w:r>
      <w:r w:rsidRPr="00117C30">
        <w:rPr>
          <w:rFonts w:ascii="Calibri" w:hAnsi="Calibri" w:cs="Calibri"/>
          <w:i/>
          <w:iCs/>
          <w:noProof/>
          <w:szCs w:val="24"/>
        </w:rPr>
        <w:t>Evolution (N. Y).</w:t>
      </w:r>
      <w:r w:rsidRPr="00117C30">
        <w:rPr>
          <w:rFonts w:ascii="Calibri" w:hAnsi="Calibri" w:cs="Calibri"/>
          <w:noProof/>
          <w:szCs w:val="24"/>
        </w:rPr>
        <w:t xml:space="preserve"> </w:t>
      </w:r>
      <w:r w:rsidRPr="00117C30">
        <w:rPr>
          <w:rFonts w:ascii="Calibri" w:hAnsi="Calibri" w:cs="Calibri"/>
          <w:b/>
          <w:bCs/>
          <w:noProof/>
          <w:szCs w:val="24"/>
        </w:rPr>
        <w:t>55</w:t>
      </w:r>
      <w:r w:rsidRPr="00117C30">
        <w:rPr>
          <w:rFonts w:ascii="Calibri" w:hAnsi="Calibri" w:cs="Calibri"/>
          <w:noProof/>
          <w:szCs w:val="24"/>
        </w:rPr>
        <w:t>, 459–466 (2001).</w:t>
      </w:r>
    </w:p>
    <w:p w14:paraId="1C643EED"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9.</w:t>
      </w:r>
      <w:r w:rsidRPr="00117C30">
        <w:rPr>
          <w:rFonts w:ascii="Calibri" w:hAnsi="Calibri" w:cs="Calibri"/>
          <w:noProof/>
          <w:szCs w:val="24"/>
        </w:rPr>
        <w:tab/>
        <w:t xml:space="preserve">Endler, J. A. </w:t>
      </w:r>
      <w:r w:rsidRPr="00117C30">
        <w:rPr>
          <w:rFonts w:ascii="Calibri" w:hAnsi="Calibri" w:cs="Calibri"/>
          <w:i/>
          <w:iCs/>
          <w:noProof/>
          <w:szCs w:val="24"/>
        </w:rPr>
        <w:t>Geographic variation, speciation, and clines</w:t>
      </w:r>
      <w:r w:rsidRPr="00117C30">
        <w:rPr>
          <w:rFonts w:ascii="Calibri" w:hAnsi="Calibri" w:cs="Calibri"/>
          <w:noProof/>
          <w:szCs w:val="24"/>
        </w:rPr>
        <w:t>. (Princeton University Press, 1977).</w:t>
      </w:r>
    </w:p>
    <w:p w14:paraId="4CCED4F3"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10.</w:t>
      </w:r>
      <w:r w:rsidRPr="00117C30">
        <w:rPr>
          <w:rFonts w:ascii="Calibri" w:hAnsi="Calibri" w:cs="Calibri"/>
          <w:noProof/>
          <w:szCs w:val="24"/>
        </w:rPr>
        <w:tab/>
        <w:t xml:space="preserve">Bradshaw, A. D. Ecological significance of genetic variation between populations. in </w:t>
      </w:r>
      <w:r w:rsidRPr="00117C30">
        <w:rPr>
          <w:rFonts w:ascii="Calibri" w:hAnsi="Calibri" w:cs="Calibri"/>
          <w:i/>
          <w:iCs/>
          <w:noProof/>
          <w:szCs w:val="24"/>
        </w:rPr>
        <w:t>Perspectives on plant population ecology</w:t>
      </w:r>
      <w:r w:rsidRPr="00117C30">
        <w:rPr>
          <w:rFonts w:ascii="Calibri" w:hAnsi="Calibri" w:cs="Calibri"/>
          <w:noProof/>
          <w:szCs w:val="24"/>
        </w:rPr>
        <w:t xml:space="preserve"> (eds. Dirzo, R. &amp; Sarukhan, J.) 213–228 (1984).</w:t>
      </w:r>
    </w:p>
    <w:p w14:paraId="35CC59BA"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11.</w:t>
      </w:r>
      <w:r w:rsidRPr="00117C30">
        <w:rPr>
          <w:rFonts w:ascii="Calibri" w:hAnsi="Calibri" w:cs="Calibri"/>
          <w:noProof/>
          <w:szCs w:val="24"/>
        </w:rPr>
        <w:tab/>
        <w:t xml:space="preserve">Pereira, R. J., Sasaki, M. C. &amp; Burton, R. S. Adaptation to a latitudinal thermal gradient within a widespread copepod species: The contributions of genetic divergence and phenotypic plasticity. </w:t>
      </w:r>
      <w:r w:rsidRPr="00117C30">
        <w:rPr>
          <w:rFonts w:ascii="Calibri" w:hAnsi="Calibri" w:cs="Calibri"/>
          <w:i/>
          <w:iCs/>
          <w:noProof/>
          <w:szCs w:val="24"/>
        </w:rPr>
        <w:t>Proc. R. Soc. B Biol. Sci.</w:t>
      </w:r>
      <w:r w:rsidRPr="00117C30">
        <w:rPr>
          <w:rFonts w:ascii="Calibri" w:hAnsi="Calibri" w:cs="Calibri"/>
          <w:noProof/>
          <w:szCs w:val="24"/>
        </w:rPr>
        <w:t xml:space="preserve"> </w:t>
      </w:r>
      <w:r w:rsidRPr="00117C30">
        <w:rPr>
          <w:rFonts w:ascii="Calibri" w:hAnsi="Calibri" w:cs="Calibri"/>
          <w:b/>
          <w:bCs/>
          <w:noProof/>
          <w:szCs w:val="24"/>
        </w:rPr>
        <w:t>284</w:t>
      </w:r>
      <w:r w:rsidRPr="00117C30">
        <w:rPr>
          <w:rFonts w:ascii="Calibri" w:hAnsi="Calibri" w:cs="Calibri"/>
          <w:noProof/>
          <w:szCs w:val="24"/>
        </w:rPr>
        <w:t>, 2017023 (2017).</w:t>
      </w:r>
    </w:p>
    <w:p w14:paraId="7B9AFA2D"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12.</w:t>
      </w:r>
      <w:r w:rsidRPr="00117C30">
        <w:rPr>
          <w:rFonts w:ascii="Calibri" w:hAnsi="Calibri" w:cs="Calibri"/>
          <w:noProof/>
          <w:szCs w:val="24"/>
        </w:rPr>
        <w:tab/>
        <w:t xml:space="preserve">Mahony, C. R. </w:t>
      </w:r>
      <w:r w:rsidRPr="00117C30">
        <w:rPr>
          <w:rFonts w:ascii="Calibri" w:hAnsi="Calibri" w:cs="Calibri"/>
          <w:i/>
          <w:iCs/>
          <w:noProof/>
          <w:szCs w:val="24"/>
        </w:rPr>
        <w:t>et al.</w:t>
      </w:r>
      <w:r w:rsidRPr="00117C30">
        <w:rPr>
          <w:rFonts w:ascii="Calibri" w:hAnsi="Calibri" w:cs="Calibri"/>
          <w:noProof/>
          <w:szCs w:val="24"/>
        </w:rPr>
        <w:t xml:space="preserve"> Evaluating genomic data for management of local adaptation in a changing climate: A lodgepole pine case study. </w:t>
      </w:r>
      <w:r w:rsidRPr="00117C30">
        <w:rPr>
          <w:rFonts w:ascii="Calibri" w:hAnsi="Calibri" w:cs="Calibri"/>
          <w:i/>
          <w:iCs/>
          <w:noProof/>
          <w:szCs w:val="24"/>
        </w:rPr>
        <w:t>Evol. Appl.</w:t>
      </w:r>
      <w:r w:rsidRPr="00117C30">
        <w:rPr>
          <w:rFonts w:ascii="Calibri" w:hAnsi="Calibri" w:cs="Calibri"/>
          <w:noProof/>
          <w:szCs w:val="24"/>
        </w:rPr>
        <w:t xml:space="preserve"> </w:t>
      </w:r>
      <w:r w:rsidRPr="00117C30">
        <w:rPr>
          <w:rFonts w:ascii="Calibri" w:hAnsi="Calibri" w:cs="Calibri"/>
          <w:b/>
          <w:bCs/>
          <w:noProof/>
          <w:szCs w:val="24"/>
        </w:rPr>
        <w:t>13</w:t>
      </w:r>
      <w:r w:rsidRPr="00117C30">
        <w:rPr>
          <w:rFonts w:ascii="Calibri" w:hAnsi="Calibri" w:cs="Calibri"/>
          <w:noProof/>
          <w:szCs w:val="24"/>
        </w:rPr>
        <w:t>, 116–131 (2020).</w:t>
      </w:r>
    </w:p>
    <w:p w14:paraId="037C86BD"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13.</w:t>
      </w:r>
      <w:r w:rsidRPr="00117C30">
        <w:rPr>
          <w:rFonts w:ascii="Calibri" w:hAnsi="Calibri" w:cs="Calibri"/>
          <w:noProof/>
          <w:szCs w:val="24"/>
        </w:rPr>
        <w:tab/>
        <w:t xml:space="preserve">Aitken, S. N. &amp; Bemmels, J. B. Time to get moving : Assisted gene flow of forest trees. </w:t>
      </w:r>
      <w:r w:rsidRPr="00117C30">
        <w:rPr>
          <w:rFonts w:ascii="Calibri" w:hAnsi="Calibri" w:cs="Calibri"/>
          <w:i/>
          <w:iCs/>
          <w:noProof/>
          <w:szCs w:val="24"/>
        </w:rPr>
        <w:t>Evol. Appl.</w:t>
      </w:r>
      <w:r w:rsidRPr="00117C30">
        <w:rPr>
          <w:rFonts w:ascii="Calibri" w:hAnsi="Calibri" w:cs="Calibri"/>
          <w:noProof/>
          <w:szCs w:val="24"/>
        </w:rPr>
        <w:t xml:space="preserve"> </w:t>
      </w:r>
      <w:r w:rsidRPr="00117C30">
        <w:rPr>
          <w:rFonts w:ascii="Calibri" w:hAnsi="Calibri" w:cs="Calibri"/>
          <w:b/>
          <w:bCs/>
          <w:noProof/>
          <w:szCs w:val="24"/>
        </w:rPr>
        <w:t>9</w:t>
      </w:r>
      <w:r w:rsidRPr="00117C30">
        <w:rPr>
          <w:rFonts w:ascii="Calibri" w:hAnsi="Calibri" w:cs="Calibri"/>
          <w:noProof/>
          <w:szCs w:val="24"/>
        </w:rPr>
        <w:t>, 271–290 (2016).</w:t>
      </w:r>
    </w:p>
    <w:p w14:paraId="5B49B3D6"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14.</w:t>
      </w:r>
      <w:r w:rsidRPr="00117C30">
        <w:rPr>
          <w:rFonts w:ascii="Calibri" w:hAnsi="Calibri" w:cs="Calibri"/>
          <w:noProof/>
          <w:szCs w:val="24"/>
        </w:rPr>
        <w:tab/>
        <w:t xml:space="preserve">Kelly, M. W., Sanford, E. &amp; Grosberg, R. K. Limited potential for adaptation to climate change in a broadly distributed marine crustacean. </w:t>
      </w:r>
      <w:r w:rsidRPr="00117C30">
        <w:rPr>
          <w:rFonts w:ascii="Calibri" w:hAnsi="Calibri" w:cs="Calibri"/>
          <w:i/>
          <w:iCs/>
          <w:noProof/>
          <w:szCs w:val="24"/>
        </w:rPr>
        <w:t>Proc. R. Soc. B</w:t>
      </w:r>
      <w:r w:rsidRPr="00117C30">
        <w:rPr>
          <w:rFonts w:ascii="Calibri" w:hAnsi="Calibri" w:cs="Calibri"/>
          <w:noProof/>
          <w:szCs w:val="24"/>
        </w:rPr>
        <w:t xml:space="preserve"> 349–356 (2012) doi:10.1098/rspb.2011.0542.</w:t>
      </w:r>
    </w:p>
    <w:p w14:paraId="3584F4E8"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15.</w:t>
      </w:r>
      <w:r w:rsidRPr="00117C30">
        <w:rPr>
          <w:rFonts w:ascii="Calibri" w:hAnsi="Calibri" w:cs="Calibri"/>
          <w:noProof/>
          <w:szCs w:val="24"/>
        </w:rPr>
        <w:tab/>
        <w:t xml:space="preserve">Sasaki, M. C. &amp; Dam, H. G. Integrating patterns of thermal tolerance and phenotypic plasticity with population genetics to improve understanding of vulnerability to warming in a widespread copepod. </w:t>
      </w:r>
      <w:r w:rsidRPr="00117C30">
        <w:rPr>
          <w:rFonts w:ascii="Calibri" w:hAnsi="Calibri" w:cs="Calibri"/>
          <w:i/>
          <w:iCs/>
          <w:noProof/>
          <w:szCs w:val="24"/>
        </w:rPr>
        <w:t>Glob. Chang. Biol.</w:t>
      </w:r>
      <w:r w:rsidRPr="00117C30">
        <w:rPr>
          <w:rFonts w:ascii="Calibri" w:hAnsi="Calibri" w:cs="Calibri"/>
          <w:noProof/>
          <w:szCs w:val="24"/>
        </w:rPr>
        <w:t xml:space="preserve"> </w:t>
      </w:r>
      <w:r w:rsidRPr="00117C30">
        <w:rPr>
          <w:rFonts w:ascii="Calibri" w:hAnsi="Calibri" w:cs="Calibri"/>
          <w:b/>
          <w:bCs/>
          <w:noProof/>
          <w:szCs w:val="24"/>
        </w:rPr>
        <w:t>25</w:t>
      </w:r>
      <w:r w:rsidRPr="00117C30">
        <w:rPr>
          <w:rFonts w:ascii="Calibri" w:hAnsi="Calibri" w:cs="Calibri"/>
          <w:noProof/>
          <w:szCs w:val="24"/>
        </w:rPr>
        <w:t>, 4147–4164 (2019).</w:t>
      </w:r>
    </w:p>
    <w:p w14:paraId="48B42BCB"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16.</w:t>
      </w:r>
      <w:r w:rsidRPr="00117C30">
        <w:rPr>
          <w:rFonts w:ascii="Calibri" w:hAnsi="Calibri" w:cs="Calibri"/>
          <w:noProof/>
          <w:szCs w:val="24"/>
        </w:rPr>
        <w:tab/>
        <w:t xml:space="preserve">Yampolsky, L. Y., Schaer, T. M. M. &amp; Ebert, D. Adaptive phenotypic plasticity and local adaptation for temperature tolerance in freshwater zooplankton. </w:t>
      </w:r>
      <w:r w:rsidRPr="00117C30">
        <w:rPr>
          <w:rFonts w:ascii="Calibri" w:hAnsi="Calibri" w:cs="Calibri"/>
          <w:i/>
          <w:iCs/>
          <w:noProof/>
          <w:szCs w:val="24"/>
        </w:rPr>
        <w:t>Proc. R. Soc. B Biol. Sci.</w:t>
      </w:r>
      <w:r w:rsidRPr="00117C30">
        <w:rPr>
          <w:rFonts w:ascii="Calibri" w:hAnsi="Calibri" w:cs="Calibri"/>
          <w:noProof/>
          <w:szCs w:val="24"/>
        </w:rPr>
        <w:t xml:space="preserve"> </w:t>
      </w:r>
      <w:r w:rsidRPr="00117C30">
        <w:rPr>
          <w:rFonts w:ascii="Calibri" w:hAnsi="Calibri" w:cs="Calibri"/>
          <w:b/>
          <w:bCs/>
          <w:noProof/>
          <w:szCs w:val="24"/>
        </w:rPr>
        <w:t>281</w:t>
      </w:r>
      <w:r w:rsidRPr="00117C30">
        <w:rPr>
          <w:rFonts w:ascii="Calibri" w:hAnsi="Calibri" w:cs="Calibri"/>
          <w:noProof/>
          <w:szCs w:val="24"/>
        </w:rPr>
        <w:t>, 20132744 (2014).</w:t>
      </w:r>
    </w:p>
    <w:p w14:paraId="4300D779"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17.</w:t>
      </w:r>
      <w:r w:rsidRPr="00117C30">
        <w:rPr>
          <w:rFonts w:ascii="Calibri" w:hAnsi="Calibri" w:cs="Calibri"/>
          <w:noProof/>
          <w:szCs w:val="24"/>
        </w:rPr>
        <w:tab/>
        <w:t xml:space="preserve">Hoffmann, A. A., Sørensen, J. G. &amp; Loeschcke, V. Adaptation of Drosophila to temperature extremes: Bringing together quantitative and molecular approaches. </w:t>
      </w:r>
      <w:r w:rsidRPr="00117C30">
        <w:rPr>
          <w:rFonts w:ascii="Calibri" w:hAnsi="Calibri" w:cs="Calibri"/>
          <w:i/>
          <w:iCs/>
          <w:noProof/>
          <w:szCs w:val="24"/>
        </w:rPr>
        <w:t>J. Therm. Biol.</w:t>
      </w:r>
      <w:r w:rsidRPr="00117C30">
        <w:rPr>
          <w:rFonts w:ascii="Calibri" w:hAnsi="Calibri" w:cs="Calibri"/>
          <w:noProof/>
          <w:szCs w:val="24"/>
        </w:rPr>
        <w:t xml:space="preserve"> </w:t>
      </w:r>
      <w:r w:rsidRPr="00117C30">
        <w:rPr>
          <w:rFonts w:ascii="Calibri" w:hAnsi="Calibri" w:cs="Calibri"/>
          <w:b/>
          <w:bCs/>
          <w:noProof/>
          <w:szCs w:val="24"/>
        </w:rPr>
        <w:t>28</w:t>
      </w:r>
      <w:r w:rsidRPr="00117C30">
        <w:rPr>
          <w:rFonts w:ascii="Calibri" w:hAnsi="Calibri" w:cs="Calibri"/>
          <w:noProof/>
          <w:szCs w:val="24"/>
        </w:rPr>
        <w:t>, 175–216 (2003).</w:t>
      </w:r>
    </w:p>
    <w:p w14:paraId="125716CD"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18.</w:t>
      </w:r>
      <w:r w:rsidRPr="00117C30">
        <w:rPr>
          <w:rFonts w:ascii="Calibri" w:hAnsi="Calibri" w:cs="Calibri"/>
          <w:noProof/>
          <w:szCs w:val="24"/>
        </w:rPr>
        <w:tab/>
        <w:t xml:space="preserve">Stillman, J. H. Causes and consequences of thermal tolerance limits in rocky intertidal porcelain crabs, genus Petrolisthes. </w:t>
      </w:r>
      <w:r w:rsidRPr="00117C30">
        <w:rPr>
          <w:rFonts w:ascii="Calibri" w:hAnsi="Calibri" w:cs="Calibri"/>
          <w:i/>
          <w:iCs/>
          <w:noProof/>
          <w:szCs w:val="24"/>
        </w:rPr>
        <w:t>Integr. Comp. Biol.</w:t>
      </w:r>
      <w:r w:rsidRPr="00117C30">
        <w:rPr>
          <w:rFonts w:ascii="Calibri" w:hAnsi="Calibri" w:cs="Calibri"/>
          <w:noProof/>
          <w:szCs w:val="24"/>
        </w:rPr>
        <w:t xml:space="preserve"> </w:t>
      </w:r>
      <w:r w:rsidRPr="00117C30">
        <w:rPr>
          <w:rFonts w:ascii="Calibri" w:hAnsi="Calibri" w:cs="Calibri"/>
          <w:b/>
          <w:bCs/>
          <w:noProof/>
          <w:szCs w:val="24"/>
        </w:rPr>
        <w:t>42</w:t>
      </w:r>
      <w:r w:rsidRPr="00117C30">
        <w:rPr>
          <w:rFonts w:ascii="Calibri" w:hAnsi="Calibri" w:cs="Calibri"/>
          <w:noProof/>
          <w:szCs w:val="24"/>
        </w:rPr>
        <w:t>, 790–796 (2002).</w:t>
      </w:r>
    </w:p>
    <w:p w14:paraId="321261C8"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19.</w:t>
      </w:r>
      <w:r w:rsidRPr="00117C30">
        <w:rPr>
          <w:rFonts w:ascii="Calibri" w:hAnsi="Calibri" w:cs="Calibri"/>
          <w:noProof/>
          <w:szCs w:val="24"/>
        </w:rPr>
        <w:tab/>
        <w:t xml:space="preserve">Kuo, E. S. L. &amp; Sanford, E. Geographic variation in the upper thermal limits of an intertidal snail: Implications for climate envelope models. </w:t>
      </w:r>
      <w:r w:rsidRPr="00117C30">
        <w:rPr>
          <w:rFonts w:ascii="Calibri" w:hAnsi="Calibri" w:cs="Calibri"/>
          <w:i/>
          <w:iCs/>
          <w:noProof/>
          <w:szCs w:val="24"/>
        </w:rPr>
        <w:t>Mar. Ecol. Prog. Ser.</w:t>
      </w:r>
      <w:r w:rsidRPr="00117C30">
        <w:rPr>
          <w:rFonts w:ascii="Calibri" w:hAnsi="Calibri" w:cs="Calibri"/>
          <w:noProof/>
          <w:szCs w:val="24"/>
        </w:rPr>
        <w:t xml:space="preserve"> </w:t>
      </w:r>
      <w:r w:rsidRPr="00117C30">
        <w:rPr>
          <w:rFonts w:ascii="Calibri" w:hAnsi="Calibri" w:cs="Calibri"/>
          <w:b/>
          <w:bCs/>
          <w:noProof/>
          <w:szCs w:val="24"/>
        </w:rPr>
        <w:t>388</w:t>
      </w:r>
      <w:r w:rsidRPr="00117C30">
        <w:rPr>
          <w:rFonts w:ascii="Calibri" w:hAnsi="Calibri" w:cs="Calibri"/>
          <w:noProof/>
          <w:szCs w:val="24"/>
        </w:rPr>
        <w:t>, 137–146 (2009).</w:t>
      </w:r>
    </w:p>
    <w:p w14:paraId="063E0F0D"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20.</w:t>
      </w:r>
      <w:r w:rsidRPr="00117C30">
        <w:rPr>
          <w:rFonts w:ascii="Calibri" w:hAnsi="Calibri" w:cs="Calibri"/>
          <w:noProof/>
          <w:szCs w:val="24"/>
        </w:rPr>
        <w:tab/>
        <w:t xml:space="preserve">Sorte, C. J. B., Jones, S. J. &amp; Miller, L. P. Geographic variation in temperature tolerance as an </w:t>
      </w:r>
      <w:r w:rsidRPr="00117C30">
        <w:rPr>
          <w:rFonts w:ascii="Calibri" w:hAnsi="Calibri" w:cs="Calibri"/>
          <w:noProof/>
          <w:szCs w:val="24"/>
        </w:rPr>
        <w:lastRenderedPageBreak/>
        <w:t xml:space="preserve">indicator of potential population responses to climate change. </w:t>
      </w:r>
      <w:r w:rsidRPr="00117C30">
        <w:rPr>
          <w:rFonts w:ascii="Calibri" w:hAnsi="Calibri" w:cs="Calibri"/>
          <w:i/>
          <w:iCs/>
          <w:noProof/>
          <w:szCs w:val="24"/>
        </w:rPr>
        <w:t>J. Exp. Mar. Bio. Ecol.</w:t>
      </w:r>
      <w:r w:rsidRPr="00117C30">
        <w:rPr>
          <w:rFonts w:ascii="Calibri" w:hAnsi="Calibri" w:cs="Calibri"/>
          <w:noProof/>
          <w:szCs w:val="24"/>
        </w:rPr>
        <w:t xml:space="preserve"> </w:t>
      </w:r>
      <w:r w:rsidRPr="00117C30">
        <w:rPr>
          <w:rFonts w:ascii="Calibri" w:hAnsi="Calibri" w:cs="Calibri"/>
          <w:b/>
          <w:bCs/>
          <w:noProof/>
          <w:szCs w:val="24"/>
        </w:rPr>
        <w:t>400</w:t>
      </w:r>
      <w:r w:rsidRPr="00117C30">
        <w:rPr>
          <w:rFonts w:ascii="Calibri" w:hAnsi="Calibri" w:cs="Calibri"/>
          <w:noProof/>
          <w:szCs w:val="24"/>
        </w:rPr>
        <w:t>, 209–217 (2011).</w:t>
      </w:r>
    </w:p>
    <w:p w14:paraId="15D40D96"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21.</w:t>
      </w:r>
      <w:r w:rsidRPr="00117C30">
        <w:rPr>
          <w:rFonts w:ascii="Calibri" w:hAnsi="Calibri" w:cs="Calibri"/>
          <w:noProof/>
          <w:szCs w:val="24"/>
        </w:rPr>
        <w:tab/>
        <w:t xml:space="preserve">Sanford, E. &amp; Kelly, M. W. Local Adaptation in Marine Invertebrates. </w:t>
      </w:r>
      <w:r w:rsidRPr="00117C30">
        <w:rPr>
          <w:rFonts w:ascii="Calibri" w:hAnsi="Calibri" w:cs="Calibri"/>
          <w:i/>
          <w:iCs/>
          <w:noProof/>
          <w:szCs w:val="24"/>
        </w:rPr>
        <w:t>Ann. Rev. Mar. Sci.</w:t>
      </w:r>
      <w:r w:rsidRPr="00117C30">
        <w:rPr>
          <w:rFonts w:ascii="Calibri" w:hAnsi="Calibri" w:cs="Calibri"/>
          <w:noProof/>
          <w:szCs w:val="24"/>
        </w:rPr>
        <w:t xml:space="preserve"> </w:t>
      </w:r>
      <w:r w:rsidRPr="00117C30">
        <w:rPr>
          <w:rFonts w:ascii="Calibri" w:hAnsi="Calibri" w:cs="Calibri"/>
          <w:b/>
          <w:bCs/>
          <w:noProof/>
          <w:szCs w:val="24"/>
        </w:rPr>
        <w:t>3</w:t>
      </w:r>
      <w:r w:rsidRPr="00117C30">
        <w:rPr>
          <w:rFonts w:ascii="Calibri" w:hAnsi="Calibri" w:cs="Calibri"/>
          <w:noProof/>
          <w:szCs w:val="24"/>
        </w:rPr>
        <w:t>, 509–35 (2011).</w:t>
      </w:r>
    </w:p>
    <w:p w14:paraId="0319FF40"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22.</w:t>
      </w:r>
      <w:r w:rsidRPr="00117C30">
        <w:rPr>
          <w:rFonts w:ascii="Calibri" w:hAnsi="Calibri" w:cs="Calibri"/>
          <w:noProof/>
          <w:szCs w:val="24"/>
        </w:rPr>
        <w:tab/>
        <w:t xml:space="preserve">Somero, G. N. The physiology of climate change: How potentials for acclimatization and genetic adaptation will determine ‘winners’ and ‘losers’. </w:t>
      </w:r>
      <w:r w:rsidRPr="00117C30">
        <w:rPr>
          <w:rFonts w:ascii="Calibri" w:hAnsi="Calibri" w:cs="Calibri"/>
          <w:i/>
          <w:iCs/>
          <w:noProof/>
          <w:szCs w:val="24"/>
        </w:rPr>
        <w:t>J. Exp. Biol.</w:t>
      </w:r>
      <w:r w:rsidRPr="00117C30">
        <w:rPr>
          <w:rFonts w:ascii="Calibri" w:hAnsi="Calibri" w:cs="Calibri"/>
          <w:noProof/>
          <w:szCs w:val="24"/>
        </w:rPr>
        <w:t xml:space="preserve"> </w:t>
      </w:r>
      <w:r w:rsidRPr="00117C30">
        <w:rPr>
          <w:rFonts w:ascii="Calibri" w:hAnsi="Calibri" w:cs="Calibri"/>
          <w:b/>
          <w:bCs/>
          <w:noProof/>
          <w:szCs w:val="24"/>
        </w:rPr>
        <w:t>213</w:t>
      </w:r>
      <w:r w:rsidRPr="00117C30">
        <w:rPr>
          <w:rFonts w:ascii="Calibri" w:hAnsi="Calibri" w:cs="Calibri"/>
          <w:noProof/>
          <w:szCs w:val="24"/>
        </w:rPr>
        <w:t>, 912–920 (2010).</w:t>
      </w:r>
    </w:p>
    <w:p w14:paraId="1761DFDE"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23.</w:t>
      </w:r>
      <w:r w:rsidRPr="00117C30">
        <w:rPr>
          <w:rFonts w:ascii="Calibri" w:hAnsi="Calibri" w:cs="Calibri"/>
          <w:noProof/>
          <w:szCs w:val="24"/>
        </w:rPr>
        <w:tab/>
        <w:t xml:space="preserve">Hoffmann, A. A. &amp; Sgró, C. M. Climate change and evolutionary adaptation. </w:t>
      </w:r>
      <w:r w:rsidRPr="00117C30">
        <w:rPr>
          <w:rFonts w:ascii="Calibri" w:hAnsi="Calibri" w:cs="Calibri"/>
          <w:i/>
          <w:iCs/>
          <w:noProof/>
          <w:szCs w:val="24"/>
        </w:rPr>
        <w:t>Nature</w:t>
      </w:r>
      <w:r w:rsidRPr="00117C30">
        <w:rPr>
          <w:rFonts w:ascii="Calibri" w:hAnsi="Calibri" w:cs="Calibri"/>
          <w:noProof/>
          <w:szCs w:val="24"/>
        </w:rPr>
        <w:t xml:space="preserve"> </w:t>
      </w:r>
      <w:r w:rsidRPr="00117C30">
        <w:rPr>
          <w:rFonts w:ascii="Calibri" w:hAnsi="Calibri" w:cs="Calibri"/>
          <w:b/>
          <w:bCs/>
          <w:noProof/>
          <w:szCs w:val="24"/>
        </w:rPr>
        <w:t>470</w:t>
      </w:r>
      <w:r w:rsidRPr="00117C30">
        <w:rPr>
          <w:rFonts w:ascii="Calibri" w:hAnsi="Calibri" w:cs="Calibri"/>
          <w:noProof/>
          <w:szCs w:val="24"/>
        </w:rPr>
        <w:t>, 479–485 (2011).</w:t>
      </w:r>
    </w:p>
    <w:p w14:paraId="20D6022C"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24.</w:t>
      </w:r>
      <w:r w:rsidRPr="00117C30">
        <w:rPr>
          <w:rFonts w:ascii="Calibri" w:hAnsi="Calibri" w:cs="Calibri"/>
          <w:noProof/>
          <w:szCs w:val="24"/>
        </w:rPr>
        <w:tab/>
        <w:t xml:space="preserve">Miller-Sims, V. C., Gerlach, G., Kingsford, M. J. &amp; Atema, J. Dispersal in the spiny damselfish, Acanthochromis polyacanthus, a coral reef fish species without a larval pelagic stage. </w:t>
      </w:r>
      <w:r w:rsidRPr="00117C30">
        <w:rPr>
          <w:rFonts w:ascii="Calibri" w:hAnsi="Calibri" w:cs="Calibri"/>
          <w:i/>
          <w:iCs/>
          <w:noProof/>
          <w:szCs w:val="24"/>
        </w:rPr>
        <w:t>Mol. Ecol.</w:t>
      </w:r>
      <w:r w:rsidRPr="00117C30">
        <w:rPr>
          <w:rFonts w:ascii="Calibri" w:hAnsi="Calibri" w:cs="Calibri"/>
          <w:noProof/>
          <w:szCs w:val="24"/>
        </w:rPr>
        <w:t xml:space="preserve"> </w:t>
      </w:r>
      <w:r w:rsidRPr="00117C30">
        <w:rPr>
          <w:rFonts w:ascii="Calibri" w:hAnsi="Calibri" w:cs="Calibri"/>
          <w:b/>
          <w:bCs/>
          <w:noProof/>
          <w:szCs w:val="24"/>
        </w:rPr>
        <w:t>17</w:t>
      </w:r>
      <w:r w:rsidRPr="00117C30">
        <w:rPr>
          <w:rFonts w:ascii="Calibri" w:hAnsi="Calibri" w:cs="Calibri"/>
          <w:noProof/>
          <w:szCs w:val="24"/>
        </w:rPr>
        <w:t>, 5036–5048 (2008).</w:t>
      </w:r>
    </w:p>
    <w:p w14:paraId="4D1E1725"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25.</w:t>
      </w:r>
      <w:r w:rsidRPr="00117C30">
        <w:rPr>
          <w:rFonts w:ascii="Calibri" w:hAnsi="Calibri" w:cs="Calibri"/>
          <w:noProof/>
          <w:szCs w:val="24"/>
        </w:rPr>
        <w:tab/>
        <w:t xml:space="preserve">Martin, L. B. </w:t>
      </w:r>
      <w:r w:rsidRPr="00117C30">
        <w:rPr>
          <w:rFonts w:ascii="Calibri" w:hAnsi="Calibri" w:cs="Calibri"/>
          <w:i/>
          <w:iCs/>
          <w:noProof/>
          <w:szCs w:val="24"/>
        </w:rPr>
        <w:t>et al.</w:t>
      </w:r>
      <w:r w:rsidRPr="00117C30">
        <w:rPr>
          <w:rFonts w:ascii="Calibri" w:hAnsi="Calibri" w:cs="Calibri"/>
          <w:noProof/>
          <w:szCs w:val="24"/>
        </w:rPr>
        <w:t xml:space="preserve"> Phytohemagglutinin-induced skin swelling in birds: Histological support for a classic immunoecological technique. </w:t>
      </w:r>
      <w:r w:rsidRPr="00117C30">
        <w:rPr>
          <w:rFonts w:ascii="Calibri" w:hAnsi="Calibri" w:cs="Calibri"/>
          <w:i/>
          <w:iCs/>
          <w:noProof/>
          <w:szCs w:val="24"/>
        </w:rPr>
        <w:t>Funct. Ecol.</w:t>
      </w:r>
      <w:r w:rsidRPr="00117C30">
        <w:rPr>
          <w:rFonts w:ascii="Calibri" w:hAnsi="Calibri" w:cs="Calibri"/>
          <w:noProof/>
          <w:szCs w:val="24"/>
        </w:rPr>
        <w:t xml:space="preserve"> </w:t>
      </w:r>
      <w:r w:rsidRPr="00117C30">
        <w:rPr>
          <w:rFonts w:ascii="Calibri" w:hAnsi="Calibri" w:cs="Calibri"/>
          <w:b/>
          <w:bCs/>
          <w:noProof/>
          <w:szCs w:val="24"/>
        </w:rPr>
        <w:t>20</w:t>
      </w:r>
      <w:r w:rsidRPr="00117C30">
        <w:rPr>
          <w:rFonts w:ascii="Calibri" w:hAnsi="Calibri" w:cs="Calibri"/>
          <w:noProof/>
          <w:szCs w:val="24"/>
        </w:rPr>
        <w:t>, 290–299 (2006).</w:t>
      </w:r>
    </w:p>
    <w:p w14:paraId="166AB305"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26.</w:t>
      </w:r>
      <w:r w:rsidRPr="00117C30">
        <w:rPr>
          <w:rFonts w:ascii="Calibri" w:hAnsi="Calibri" w:cs="Calibri"/>
          <w:noProof/>
          <w:szCs w:val="24"/>
        </w:rPr>
        <w:tab/>
        <w:t xml:space="preserve">Thibault, M., Blier, P. U. &amp; Guderley, H. Seasonal variation of muscle metabolic organization in rainbow trout (Oncorhynchus mykiss). </w:t>
      </w:r>
      <w:r w:rsidRPr="00117C30">
        <w:rPr>
          <w:rFonts w:ascii="Calibri" w:hAnsi="Calibri" w:cs="Calibri"/>
          <w:i/>
          <w:iCs/>
          <w:noProof/>
          <w:szCs w:val="24"/>
        </w:rPr>
        <w:t>Fish Physiol. Biochem.</w:t>
      </w:r>
      <w:r w:rsidRPr="00117C30">
        <w:rPr>
          <w:rFonts w:ascii="Calibri" w:hAnsi="Calibri" w:cs="Calibri"/>
          <w:noProof/>
          <w:szCs w:val="24"/>
        </w:rPr>
        <w:t xml:space="preserve"> </w:t>
      </w:r>
      <w:r w:rsidRPr="00117C30">
        <w:rPr>
          <w:rFonts w:ascii="Calibri" w:hAnsi="Calibri" w:cs="Calibri"/>
          <w:b/>
          <w:bCs/>
          <w:noProof/>
          <w:szCs w:val="24"/>
        </w:rPr>
        <w:t>16</w:t>
      </w:r>
      <w:r w:rsidRPr="00117C30">
        <w:rPr>
          <w:rFonts w:ascii="Calibri" w:hAnsi="Calibri" w:cs="Calibri"/>
          <w:noProof/>
          <w:szCs w:val="24"/>
        </w:rPr>
        <w:t>, 139–155 (1997).</w:t>
      </w:r>
    </w:p>
    <w:p w14:paraId="166292B9"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szCs w:val="24"/>
        </w:rPr>
      </w:pPr>
      <w:r w:rsidRPr="00117C30">
        <w:rPr>
          <w:rFonts w:ascii="Calibri" w:hAnsi="Calibri" w:cs="Calibri"/>
          <w:noProof/>
          <w:szCs w:val="24"/>
        </w:rPr>
        <w:t>27.</w:t>
      </w:r>
      <w:r w:rsidRPr="00117C30">
        <w:rPr>
          <w:rFonts w:ascii="Calibri" w:hAnsi="Calibri" w:cs="Calibri"/>
          <w:noProof/>
          <w:szCs w:val="24"/>
        </w:rPr>
        <w:tab/>
        <w:t xml:space="preserve">Lang, B. J., Donelson, J. M., Caballes, C. F., Doll, P. C. &amp; Pratchett, M. S. Metabolic Responses of Pacific Crown-of-Thorns Sea Stars (Acanthaster sp.) to Acute Warming. </w:t>
      </w:r>
      <w:r w:rsidRPr="00117C30">
        <w:rPr>
          <w:rFonts w:ascii="Calibri" w:hAnsi="Calibri" w:cs="Calibri"/>
          <w:i/>
          <w:iCs/>
          <w:noProof/>
          <w:szCs w:val="24"/>
        </w:rPr>
        <w:t>Biol. Bull.</w:t>
      </w:r>
      <w:r w:rsidRPr="00117C30">
        <w:rPr>
          <w:rFonts w:ascii="Calibri" w:hAnsi="Calibri" w:cs="Calibri"/>
          <w:noProof/>
          <w:szCs w:val="24"/>
        </w:rPr>
        <w:t xml:space="preserve"> </w:t>
      </w:r>
      <w:r w:rsidRPr="00117C30">
        <w:rPr>
          <w:rFonts w:ascii="Calibri" w:hAnsi="Calibri" w:cs="Calibri"/>
          <w:b/>
          <w:bCs/>
          <w:noProof/>
          <w:szCs w:val="24"/>
        </w:rPr>
        <w:t>241</w:t>
      </w:r>
      <w:r w:rsidRPr="00117C30">
        <w:rPr>
          <w:rFonts w:ascii="Calibri" w:hAnsi="Calibri" w:cs="Calibri"/>
          <w:noProof/>
          <w:szCs w:val="24"/>
        </w:rPr>
        <w:t>, 347–358 (2021).</w:t>
      </w:r>
    </w:p>
    <w:p w14:paraId="5EA376C2" w14:textId="77777777" w:rsidR="00117C30" w:rsidRPr="00117C30" w:rsidRDefault="00117C30" w:rsidP="00117C30">
      <w:pPr>
        <w:widowControl w:val="0"/>
        <w:autoSpaceDE w:val="0"/>
        <w:autoSpaceDN w:val="0"/>
        <w:adjustRightInd w:val="0"/>
        <w:spacing w:line="240" w:lineRule="auto"/>
        <w:ind w:left="640" w:hanging="640"/>
        <w:rPr>
          <w:rFonts w:ascii="Calibri" w:hAnsi="Calibri" w:cs="Calibri"/>
          <w:noProof/>
        </w:rPr>
      </w:pPr>
      <w:r w:rsidRPr="00117C30">
        <w:rPr>
          <w:rFonts w:ascii="Calibri" w:hAnsi="Calibri" w:cs="Calibri"/>
          <w:noProof/>
          <w:szCs w:val="24"/>
        </w:rPr>
        <w:t>28.</w:t>
      </w:r>
      <w:r w:rsidRPr="00117C30">
        <w:rPr>
          <w:rFonts w:ascii="Calibri" w:hAnsi="Calibri" w:cs="Calibri"/>
          <w:noProof/>
          <w:szCs w:val="24"/>
        </w:rPr>
        <w:tab/>
        <w:t xml:space="preserve">Killen, S. S. </w:t>
      </w:r>
      <w:r w:rsidRPr="00117C30">
        <w:rPr>
          <w:rFonts w:ascii="Calibri" w:hAnsi="Calibri" w:cs="Calibri"/>
          <w:i/>
          <w:iCs/>
          <w:noProof/>
          <w:szCs w:val="24"/>
        </w:rPr>
        <w:t>et al.</w:t>
      </w:r>
      <w:r w:rsidRPr="00117C30">
        <w:rPr>
          <w:rFonts w:ascii="Calibri" w:hAnsi="Calibri" w:cs="Calibri"/>
          <w:noProof/>
          <w:szCs w:val="24"/>
        </w:rPr>
        <w:t xml:space="preserve"> Guidelines for reporting methods to estimate metabolic rates by aquatic intermittent-flow respirometry. </w:t>
      </w:r>
      <w:r w:rsidRPr="00117C30">
        <w:rPr>
          <w:rFonts w:ascii="Calibri" w:hAnsi="Calibri" w:cs="Calibri"/>
          <w:i/>
          <w:iCs/>
          <w:noProof/>
          <w:szCs w:val="24"/>
        </w:rPr>
        <w:t>J. Exp. Biol.</w:t>
      </w:r>
      <w:r w:rsidRPr="00117C30">
        <w:rPr>
          <w:rFonts w:ascii="Calibri" w:hAnsi="Calibri" w:cs="Calibri"/>
          <w:noProof/>
          <w:szCs w:val="24"/>
        </w:rPr>
        <w:t xml:space="preserve"> </w:t>
      </w:r>
      <w:r w:rsidRPr="00117C30">
        <w:rPr>
          <w:rFonts w:ascii="Calibri" w:hAnsi="Calibri" w:cs="Calibri"/>
          <w:b/>
          <w:bCs/>
          <w:noProof/>
          <w:szCs w:val="24"/>
        </w:rPr>
        <w:t>224</w:t>
      </w:r>
      <w:r w:rsidRPr="00117C30">
        <w:rPr>
          <w:rFonts w:ascii="Calibri" w:hAnsi="Calibri" w:cs="Calibri"/>
          <w:noProof/>
          <w:szCs w:val="24"/>
        </w:rPr>
        <w:t>, (2021).</w:t>
      </w:r>
    </w:p>
    <w:p w14:paraId="41CA83FA" w14:textId="606DB08E" w:rsidR="00CA7038" w:rsidRDefault="00453A60" w:rsidP="00402790">
      <w:pPr>
        <w:jc w:val="both"/>
        <w:rPr>
          <w:lang w:val="en-US"/>
        </w:rPr>
      </w:pPr>
      <w:r>
        <w:rPr>
          <w:lang w:val="en-US"/>
        </w:rPr>
        <w:fldChar w:fldCharType="end"/>
      </w:r>
    </w:p>
    <w:p w14:paraId="36DFE018" w14:textId="45A4C419" w:rsidR="0055034B" w:rsidRDefault="0055034B" w:rsidP="00402790">
      <w:pPr>
        <w:jc w:val="both"/>
        <w:rPr>
          <w:lang w:val="en-US"/>
        </w:rPr>
      </w:pPr>
    </w:p>
    <w:p w14:paraId="5D03C294" w14:textId="744C9D40" w:rsidR="0055034B" w:rsidRDefault="0055034B" w:rsidP="00402790">
      <w:pPr>
        <w:jc w:val="both"/>
        <w:rPr>
          <w:lang w:val="en-US"/>
        </w:rPr>
      </w:pPr>
    </w:p>
    <w:p w14:paraId="3A399943" w14:textId="4EB9604D" w:rsidR="0055034B" w:rsidRDefault="0055034B" w:rsidP="00402790">
      <w:pPr>
        <w:jc w:val="both"/>
        <w:rPr>
          <w:lang w:val="en-US"/>
        </w:rPr>
      </w:pPr>
    </w:p>
    <w:p w14:paraId="38B05652" w14:textId="5FEC544A" w:rsidR="0055034B" w:rsidRDefault="0055034B" w:rsidP="00402790">
      <w:pPr>
        <w:jc w:val="both"/>
        <w:rPr>
          <w:lang w:val="en-US"/>
        </w:rPr>
      </w:pPr>
    </w:p>
    <w:p w14:paraId="086A862F" w14:textId="79AA70BE" w:rsidR="0055034B" w:rsidRDefault="0055034B" w:rsidP="00402790">
      <w:pPr>
        <w:jc w:val="both"/>
        <w:rPr>
          <w:lang w:val="en-US"/>
        </w:rPr>
      </w:pPr>
    </w:p>
    <w:p w14:paraId="1AB427A8" w14:textId="0C620A9C" w:rsidR="0055034B" w:rsidRDefault="0055034B" w:rsidP="00402790">
      <w:pPr>
        <w:jc w:val="both"/>
        <w:rPr>
          <w:lang w:val="en-US"/>
        </w:rPr>
      </w:pPr>
    </w:p>
    <w:p w14:paraId="283DCD74" w14:textId="65FF9941" w:rsidR="0055034B" w:rsidRDefault="0055034B" w:rsidP="00402790">
      <w:pPr>
        <w:jc w:val="both"/>
        <w:rPr>
          <w:lang w:val="en-US"/>
        </w:rPr>
      </w:pPr>
    </w:p>
    <w:p w14:paraId="19A742B5" w14:textId="40B6E967" w:rsidR="0055034B" w:rsidRDefault="0055034B" w:rsidP="00402790">
      <w:pPr>
        <w:jc w:val="both"/>
        <w:rPr>
          <w:lang w:val="en-US"/>
        </w:rPr>
      </w:pPr>
    </w:p>
    <w:p w14:paraId="4424F17B" w14:textId="5850C616" w:rsidR="0055034B" w:rsidRDefault="0055034B" w:rsidP="00402790">
      <w:pPr>
        <w:jc w:val="both"/>
        <w:rPr>
          <w:lang w:val="en-US"/>
        </w:rPr>
      </w:pPr>
    </w:p>
    <w:p w14:paraId="2DCC21FE" w14:textId="77777777" w:rsidR="0055034B" w:rsidRDefault="0055034B" w:rsidP="00402790">
      <w:pPr>
        <w:jc w:val="both"/>
        <w:rPr>
          <w:lang w:val="en-US"/>
        </w:rPr>
      </w:pPr>
    </w:p>
    <w:p w14:paraId="598B90F4" w14:textId="77777777" w:rsidR="0099610A" w:rsidRDefault="0099610A" w:rsidP="00402790">
      <w:pPr>
        <w:jc w:val="both"/>
        <w:rPr>
          <w:lang w:val="en-US"/>
        </w:rPr>
      </w:pPr>
    </w:p>
    <w:p w14:paraId="7498926D" w14:textId="77777777" w:rsidR="0018016A" w:rsidRDefault="0018016A" w:rsidP="00402790">
      <w:pPr>
        <w:jc w:val="both"/>
        <w:rPr>
          <w:lang w:val="en-US"/>
        </w:rPr>
      </w:pPr>
    </w:p>
    <w:p w14:paraId="066F9DBC" w14:textId="3452F315" w:rsidR="00EC743D" w:rsidRPr="006E6F6D" w:rsidRDefault="006B7ED1">
      <w:pPr>
        <w:rPr>
          <w:lang w:val="en-US"/>
        </w:rPr>
      </w:pPr>
      <w:r>
        <w:rPr>
          <w:lang w:val="en-US"/>
        </w:rPr>
        <w:t xml:space="preserve"> </w:t>
      </w:r>
    </w:p>
    <w:sectPr w:rsidR="00EC743D" w:rsidRPr="006E6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30A1"/>
    <w:multiLevelType w:val="hybridMultilevel"/>
    <w:tmpl w:val="0FA47A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0113C1"/>
    <w:multiLevelType w:val="hybridMultilevel"/>
    <w:tmpl w:val="06066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477823"/>
    <w:multiLevelType w:val="hybridMultilevel"/>
    <w:tmpl w:val="4B544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97604278">
    <w:abstractNumId w:val="2"/>
  </w:num>
  <w:num w:numId="2" w16cid:durableId="2127386875">
    <w:abstractNumId w:val="1"/>
  </w:num>
  <w:num w:numId="3" w16cid:durableId="911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54"/>
    <w:rsid w:val="0000069A"/>
    <w:rsid w:val="0000114B"/>
    <w:rsid w:val="00002E5C"/>
    <w:rsid w:val="000059BF"/>
    <w:rsid w:val="00006ABF"/>
    <w:rsid w:val="000105CE"/>
    <w:rsid w:val="00010FAC"/>
    <w:rsid w:val="0001120A"/>
    <w:rsid w:val="000117DC"/>
    <w:rsid w:val="00017DDE"/>
    <w:rsid w:val="00020CB5"/>
    <w:rsid w:val="000227EB"/>
    <w:rsid w:val="00022C55"/>
    <w:rsid w:val="00023028"/>
    <w:rsid w:val="000234FD"/>
    <w:rsid w:val="0002697A"/>
    <w:rsid w:val="00026EB8"/>
    <w:rsid w:val="000279EF"/>
    <w:rsid w:val="00030DDA"/>
    <w:rsid w:val="00033FDE"/>
    <w:rsid w:val="000342CF"/>
    <w:rsid w:val="00034BC6"/>
    <w:rsid w:val="000356B2"/>
    <w:rsid w:val="00035ACF"/>
    <w:rsid w:val="00041B89"/>
    <w:rsid w:val="00043BD6"/>
    <w:rsid w:val="00044042"/>
    <w:rsid w:val="0004467B"/>
    <w:rsid w:val="00044791"/>
    <w:rsid w:val="00044A2A"/>
    <w:rsid w:val="00051EDA"/>
    <w:rsid w:val="00052FE8"/>
    <w:rsid w:val="00054D57"/>
    <w:rsid w:val="00055272"/>
    <w:rsid w:val="00056DB8"/>
    <w:rsid w:val="00060371"/>
    <w:rsid w:val="00060B5A"/>
    <w:rsid w:val="0006369C"/>
    <w:rsid w:val="00063D72"/>
    <w:rsid w:val="00064369"/>
    <w:rsid w:val="00064EF2"/>
    <w:rsid w:val="000651D5"/>
    <w:rsid w:val="000661C1"/>
    <w:rsid w:val="0006673D"/>
    <w:rsid w:val="00066817"/>
    <w:rsid w:val="000707AD"/>
    <w:rsid w:val="00071BE1"/>
    <w:rsid w:val="000721F7"/>
    <w:rsid w:val="000724FF"/>
    <w:rsid w:val="000727D1"/>
    <w:rsid w:val="00072CBE"/>
    <w:rsid w:val="00076EE4"/>
    <w:rsid w:val="00077394"/>
    <w:rsid w:val="0008566E"/>
    <w:rsid w:val="00086CC5"/>
    <w:rsid w:val="00086FC5"/>
    <w:rsid w:val="00087F5C"/>
    <w:rsid w:val="0009107F"/>
    <w:rsid w:val="00092307"/>
    <w:rsid w:val="00092D73"/>
    <w:rsid w:val="00095105"/>
    <w:rsid w:val="00095701"/>
    <w:rsid w:val="00096CD9"/>
    <w:rsid w:val="000974DF"/>
    <w:rsid w:val="00097659"/>
    <w:rsid w:val="00097AF0"/>
    <w:rsid w:val="000A41F2"/>
    <w:rsid w:val="000A667E"/>
    <w:rsid w:val="000A6E9A"/>
    <w:rsid w:val="000B00CF"/>
    <w:rsid w:val="000B2656"/>
    <w:rsid w:val="000B2862"/>
    <w:rsid w:val="000B3A99"/>
    <w:rsid w:val="000B51CA"/>
    <w:rsid w:val="000B5304"/>
    <w:rsid w:val="000B61D4"/>
    <w:rsid w:val="000B6389"/>
    <w:rsid w:val="000C169A"/>
    <w:rsid w:val="000C23A4"/>
    <w:rsid w:val="000C353F"/>
    <w:rsid w:val="000C46F1"/>
    <w:rsid w:val="000C4A51"/>
    <w:rsid w:val="000C5C17"/>
    <w:rsid w:val="000C6DF9"/>
    <w:rsid w:val="000D103C"/>
    <w:rsid w:val="000D1B6D"/>
    <w:rsid w:val="000D1FD6"/>
    <w:rsid w:val="000D5BB8"/>
    <w:rsid w:val="000D6475"/>
    <w:rsid w:val="000D76B1"/>
    <w:rsid w:val="000E2458"/>
    <w:rsid w:val="000E2D78"/>
    <w:rsid w:val="000E40DE"/>
    <w:rsid w:val="000E4443"/>
    <w:rsid w:val="000E4522"/>
    <w:rsid w:val="000E466D"/>
    <w:rsid w:val="000E64AB"/>
    <w:rsid w:val="000E7E54"/>
    <w:rsid w:val="000F011D"/>
    <w:rsid w:val="000F1829"/>
    <w:rsid w:val="000F2E21"/>
    <w:rsid w:val="000F4D05"/>
    <w:rsid w:val="000F55B9"/>
    <w:rsid w:val="000F61B7"/>
    <w:rsid w:val="000F639C"/>
    <w:rsid w:val="000F6432"/>
    <w:rsid w:val="000F7D70"/>
    <w:rsid w:val="00101B93"/>
    <w:rsid w:val="00101FBC"/>
    <w:rsid w:val="001035F3"/>
    <w:rsid w:val="00104B1B"/>
    <w:rsid w:val="0010579E"/>
    <w:rsid w:val="00105DC1"/>
    <w:rsid w:val="00107DF8"/>
    <w:rsid w:val="00114599"/>
    <w:rsid w:val="00114DED"/>
    <w:rsid w:val="00115537"/>
    <w:rsid w:val="0011624C"/>
    <w:rsid w:val="00117C30"/>
    <w:rsid w:val="0012085B"/>
    <w:rsid w:val="00121484"/>
    <w:rsid w:val="001215A9"/>
    <w:rsid w:val="0012292D"/>
    <w:rsid w:val="001229A8"/>
    <w:rsid w:val="0012382D"/>
    <w:rsid w:val="00123954"/>
    <w:rsid w:val="001271F5"/>
    <w:rsid w:val="00127EFE"/>
    <w:rsid w:val="00130DE4"/>
    <w:rsid w:val="00130F97"/>
    <w:rsid w:val="00131D12"/>
    <w:rsid w:val="00132A05"/>
    <w:rsid w:val="00132D7E"/>
    <w:rsid w:val="00135993"/>
    <w:rsid w:val="001360EB"/>
    <w:rsid w:val="001378C9"/>
    <w:rsid w:val="00137D0A"/>
    <w:rsid w:val="00141CC2"/>
    <w:rsid w:val="00142A74"/>
    <w:rsid w:val="00143F68"/>
    <w:rsid w:val="00144E50"/>
    <w:rsid w:val="001469A7"/>
    <w:rsid w:val="001470E0"/>
    <w:rsid w:val="00150502"/>
    <w:rsid w:val="0015099D"/>
    <w:rsid w:val="00153B19"/>
    <w:rsid w:val="00154948"/>
    <w:rsid w:val="00156B17"/>
    <w:rsid w:val="00156D4C"/>
    <w:rsid w:val="001573BD"/>
    <w:rsid w:val="00161843"/>
    <w:rsid w:val="00161AFE"/>
    <w:rsid w:val="0016305C"/>
    <w:rsid w:val="00163CA0"/>
    <w:rsid w:val="0016410A"/>
    <w:rsid w:val="00164449"/>
    <w:rsid w:val="0016671A"/>
    <w:rsid w:val="00174D49"/>
    <w:rsid w:val="0018016A"/>
    <w:rsid w:val="001807DD"/>
    <w:rsid w:val="00180915"/>
    <w:rsid w:val="00180A9A"/>
    <w:rsid w:val="0018332E"/>
    <w:rsid w:val="00185EF7"/>
    <w:rsid w:val="0019026D"/>
    <w:rsid w:val="00190355"/>
    <w:rsid w:val="001904A4"/>
    <w:rsid w:val="001916D4"/>
    <w:rsid w:val="001927A9"/>
    <w:rsid w:val="001934C5"/>
    <w:rsid w:val="00193A7A"/>
    <w:rsid w:val="00194015"/>
    <w:rsid w:val="00194217"/>
    <w:rsid w:val="001944F6"/>
    <w:rsid w:val="00196854"/>
    <w:rsid w:val="0019798D"/>
    <w:rsid w:val="00197ECD"/>
    <w:rsid w:val="001A14BA"/>
    <w:rsid w:val="001B0BE7"/>
    <w:rsid w:val="001B199C"/>
    <w:rsid w:val="001B2621"/>
    <w:rsid w:val="001B27F4"/>
    <w:rsid w:val="001B2F13"/>
    <w:rsid w:val="001B399E"/>
    <w:rsid w:val="001B3AFA"/>
    <w:rsid w:val="001C0F75"/>
    <w:rsid w:val="001C197C"/>
    <w:rsid w:val="001C4785"/>
    <w:rsid w:val="001C5E12"/>
    <w:rsid w:val="001C7334"/>
    <w:rsid w:val="001C7E6D"/>
    <w:rsid w:val="001D0F4A"/>
    <w:rsid w:val="001D1251"/>
    <w:rsid w:val="001D1D57"/>
    <w:rsid w:val="001D374E"/>
    <w:rsid w:val="001D6149"/>
    <w:rsid w:val="001D7062"/>
    <w:rsid w:val="001D71D0"/>
    <w:rsid w:val="001D77C7"/>
    <w:rsid w:val="001D7E4E"/>
    <w:rsid w:val="001D7E51"/>
    <w:rsid w:val="001E0CE3"/>
    <w:rsid w:val="001E0E84"/>
    <w:rsid w:val="001E31D5"/>
    <w:rsid w:val="001E3715"/>
    <w:rsid w:val="001E4B90"/>
    <w:rsid w:val="001E63CA"/>
    <w:rsid w:val="001E7890"/>
    <w:rsid w:val="001F4139"/>
    <w:rsid w:val="001F4A68"/>
    <w:rsid w:val="001F71ED"/>
    <w:rsid w:val="001F750B"/>
    <w:rsid w:val="001F76A3"/>
    <w:rsid w:val="0020022D"/>
    <w:rsid w:val="0020306C"/>
    <w:rsid w:val="00203E16"/>
    <w:rsid w:val="0020483F"/>
    <w:rsid w:val="00205D4B"/>
    <w:rsid w:val="00206877"/>
    <w:rsid w:val="00206B48"/>
    <w:rsid w:val="00210FCC"/>
    <w:rsid w:val="00212945"/>
    <w:rsid w:val="0021369E"/>
    <w:rsid w:val="002141EF"/>
    <w:rsid w:val="0021571D"/>
    <w:rsid w:val="00216DD0"/>
    <w:rsid w:val="00220A77"/>
    <w:rsid w:val="00220FDF"/>
    <w:rsid w:val="00221000"/>
    <w:rsid w:val="00221D6A"/>
    <w:rsid w:val="002238EC"/>
    <w:rsid w:val="00224B15"/>
    <w:rsid w:val="00225366"/>
    <w:rsid w:val="00225F61"/>
    <w:rsid w:val="00226743"/>
    <w:rsid w:val="00230459"/>
    <w:rsid w:val="002344B7"/>
    <w:rsid w:val="002348D3"/>
    <w:rsid w:val="00234E7E"/>
    <w:rsid w:val="00236820"/>
    <w:rsid w:val="002372D0"/>
    <w:rsid w:val="0024019E"/>
    <w:rsid w:val="00242BDB"/>
    <w:rsid w:val="00244D35"/>
    <w:rsid w:val="00245EF9"/>
    <w:rsid w:val="00247B62"/>
    <w:rsid w:val="0025011F"/>
    <w:rsid w:val="00252034"/>
    <w:rsid w:val="00252ED1"/>
    <w:rsid w:val="0025337E"/>
    <w:rsid w:val="0025406C"/>
    <w:rsid w:val="002547C3"/>
    <w:rsid w:val="00255B38"/>
    <w:rsid w:val="00257B85"/>
    <w:rsid w:val="00260BCB"/>
    <w:rsid w:val="00261094"/>
    <w:rsid w:val="0026187B"/>
    <w:rsid w:val="00262CFC"/>
    <w:rsid w:val="00263CEF"/>
    <w:rsid w:val="00266F80"/>
    <w:rsid w:val="00270045"/>
    <w:rsid w:val="0027011E"/>
    <w:rsid w:val="002708EE"/>
    <w:rsid w:val="002719F4"/>
    <w:rsid w:val="00274405"/>
    <w:rsid w:val="00274DAE"/>
    <w:rsid w:val="0027622D"/>
    <w:rsid w:val="0027733D"/>
    <w:rsid w:val="0027788D"/>
    <w:rsid w:val="00277B66"/>
    <w:rsid w:val="00277FC5"/>
    <w:rsid w:val="00281616"/>
    <w:rsid w:val="0028270A"/>
    <w:rsid w:val="00282F9E"/>
    <w:rsid w:val="00285C0D"/>
    <w:rsid w:val="0028772D"/>
    <w:rsid w:val="002903B6"/>
    <w:rsid w:val="00290477"/>
    <w:rsid w:val="00290C5D"/>
    <w:rsid w:val="002920FB"/>
    <w:rsid w:val="0029417B"/>
    <w:rsid w:val="00294559"/>
    <w:rsid w:val="00294D2B"/>
    <w:rsid w:val="002958D5"/>
    <w:rsid w:val="0029619B"/>
    <w:rsid w:val="002968AF"/>
    <w:rsid w:val="00296B11"/>
    <w:rsid w:val="002A060D"/>
    <w:rsid w:val="002A0D3E"/>
    <w:rsid w:val="002A1399"/>
    <w:rsid w:val="002A24B3"/>
    <w:rsid w:val="002A25C7"/>
    <w:rsid w:val="002A63E8"/>
    <w:rsid w:val="002B0C83"/>
    <w:rsid w:val="002B0C93"/>
    <w:rsid w:val="002B3CCE"/>
    <w:rsid w:val="002C0E4A"/>
    <w:rsid w:val="002C15DF"/>
    <w:rsid w:val="002C2249"/>
    <w:rsid w:val="002C365A"/>
    <w:rsid w:val="002C4BA7"/>
    <w:rsid w:val="002D46F4"/>
    <w:rsid w:val="002D490C"/>
    <w:rsid w:val="002D6481"/>
    <w:rsid w:val="002E0704"/>
    <w:rsid w:val="002E0ED5"/>
    <w:rsid w:val="002E101D"/>
    <w:rsid w:val="002E2A8A"/>
    <w:rsid w:val="002E3052"/>
    <w:rsid w:val="002E6250"/>
    <w:rsid w:val="002E6423"/>
    <w:rsid w:val="002E764B"/>
    <w:rsid w:val="002F2F1D"/>
    <w:rsid w:val="002F42C1"/>
    <w:rsid w:val="002F4671"/>
    <w:rsid w:val="003001E3"/>
    <w:rsid w:val="00300C16"/>
    <w:rsid w:val="0030219A"/>
    <w:rsid w:val="00302F59"/>
    <w:rsid w:val="003078FF"/>
    <w:rsid w:val="00312DC1"/>
    <w:rsid w:val="0031542C"/>
    <w:rsid w:val="00316817"/>
    <w:rsid w:val="00320265"/>
    <w:rsid w:val="003230F2"/>
    <w:rsid w:val="00330189"/>
    <w:rsid w:val="003340E6"/>
    <w:rsid w:val="00335D3C"/>
    <w:rsid w:val="00335EA9"/>
    <w:rsid w:val="003371B1"/>
    <w:rsid w:val="00340C0A"/>
    <w:rsid w:val="00341629"/>
    <w:rsid w:val="0034256D"/>
    <w:rsid w:val="00342F73"/>
    <w:rsid w:val="00343071"/>
    <w:rsid w:val="00344717"/>
    <w:rsid w:val="0034677F"/>
    <w:rsid w:val="00346FE9"/>
    <w:rsid w:val="00351CBC"/>
    <w:rsid w:val="00351D68"/>
    <w:rsid w:val="00352612"/>
    <w:rsid w:val="00356ADC"/>
    <w:rsid w:val="0035754A"/>
    <w:rsid w:val="00360EF3"/>
    <w:rsid w:val="0036170D"/>
    <w:rsid w:val="003639C8"/>
    <w:rsid w:val="0036748D"/>
    <w:rsid w:val="003704AD"/>
    <w:rsid w:val="00370E97"/>
    <w:rsid w:val="003717BF"/>
    <w:rsid w:val="0037413A"/>
    <w:rsid w:val="00375B8C"/>
    <w:rsid w:val="003773FE"/>
    <w:rsid w:val="00381E9D"/>
    <w:rsid w:val="00382599"/>
    <w:rsid w:val="00387103"/>
    <w:rsid w:val="00392922"/>
    <w:rsid w:val="00394A71"/>
    <w:rsid w:val="00394B41"/>
    <w:rsid w:val="003950AF"/>
    <w:rsid w:val="0039663F"/>
    <w:rsid w:val="003A57A2"/>
    <w:rsid w:val="003A57C0"/>
    <w:rsid w:val="003A5AA4"/>
    <w:rsid w:val="003A6897"/>
    <w:rsid w:val="003B249C"/>
    <w:rsid w:val="003B2FC5"/>
    <w:rsid w:val="003B3047"/>
    <w:rsid w:val="003B5E71"/>
    <w:rsid w:val="003B62DD"/>
    <w:rsid w:val="003B640C"/>
    <w:rsid w:val="003B70BC"/>
    <w:rsid w:val="003C00A2"/>
    <w:rsid w:val="003C04C1"/>
    <w:rsid w:val="003C3E88"/>
    <w:rsid w:val="003C60AB"/>
    <w:rsid w:val="003C678B"/>
    <w:rsid w:val="003C7AE4"/>
    <w:rsid w:val="003D0763"/>
    <w:rsid w:val="003D0B01"/>
    <w:rsid w:val="003D40D8"/>
    <w:rsid w:val="003D4771"/>
    <w:rsid w:val="003D4FCA"/>
    <w:rsid w:val="003D5078"/>
    <w:rsid w:val="003D55FE"/>
    <w:rsid w:val="003D59CF"/>
    <w:rsid w:val="003D6EBC"/>
    <w:rsid w:val="003E16CA"/>
    <w:rsid w:val="003E3003"/>
    <w:rsid w:val="003E6469"/>
    <w:rsid w:val="003E7A9A"/>
    <w:rsid w:val="003F0C90"/>
    <w:rsid w:val="003F30DD"/>
    <w:rsid w:val="003F3A8B"/>
    <w:rsid w:val="003F5726"/>
    <w:rsid w:val="003F59ED"/>
    <w:rsid w:val="003F5C3C"/>
    <w:rsid w:val="00400FF6"/>
    <w:rsid w:val="00402790"/>
    <w:rsid w:val="00404BAD"/>
    <w:rsid w:val="004052FE"/>
    <w:rsid w:val="004054C0"/>
    <w:rsid w:val="00405C8A"/>
    <w:rsid w:val="00406EAD"/>
    <w:rsid w:val="00407485"/>
    <w:rsid w:val="00407E8E"/>
    <w:rsid w:val="00410C26"/>
    <w:rsid w:val="00410D1B"/>
    <w:rsid w:val="00410DD9"/>
    <w:rsid w:val="00412E27"/>
    <w:rsid w:val="00414F1D"/>
    <w:rsid w:val="0041500A"/>
    <w:rsid w:val="0041505F"/>
    <w:rsid w:val="0041658F"/>
    <w:rsid w:val="00417408"/>
    <w:rsid w:val="00420944"/>
    <w:rsid w:val="00420B61"/>
    <w:rsid w:val="00421E2E"/>
    <w:rsid w:val="00424D6B"/>
    <w:rsid w:val="00425481"/>
    <w:rsid w:val="00426F37"/>
    <w:rsid w:val="004311FB"/>
    <w:rsid w:val="004316AB"/>
    <w:rsid w:val="00431965"/>
    <w:rsid w:val="0043229F"/>
    <w:rsid w:val="004326B4"/>
    <w:rsid w:val="00433E78"/>
    <w:rsid w:val="004356E4"/>
    <w:rsid w:val="00436520"/>
    <w:rsid w:val="0043709D"/>
    <w:rsid w:val="0044142F"/>
    <w:rsid w:val="0044302C"/>
    <w:rsid w:val="004432FB"/>
    <w:rsid w:val="0044419D"/>
    <w:rsid w:val="00445CB9"/>
    <w:rsid w:val="004464CD"/>
    <w:rsid w:val="00447011"/>
    <w:rsid w:val="004501D8"/>
    <w:rsid w:val="00451722"/>
    <w:rsid w:val="00452623"/>
    <w:rsid w:val="00452F8D"/>
    <w:rsid w:val="00453A60"/>
    <w:rsid w:val="00454427"/>
    <w:rsid w:val="00456B2B"/>
    <w:rsid w:val="00456C63"/>
    <w:rsid w:val="00456DD3"/>
    <w:rsid w:val="00457DDB"/>
    <w:rsid w:val="00460B79"/>
    <w:rsid w:val="00461698"/>
    <w:rsid w:val="00461BAD"/>
    <w:rsid w:val="0046446A"/>
    <w:rsid w:val="00464BB0"/>
    <w:rsid w:val="004668D3"/>
    <w:rsid w:val="00474375"/>
    <w:rsid w:val="00477EC8"/>
    <w:rsid w:val="00482934"/>
    <w:rsid w:val="0048335B"/>
    <w:rsid w:val="00483C84"/>
    <w:rsid w:val="00484036"/>
    <w:rsid w:val="00485A45"/>
    <w:rsid w:val="00486715"/>
    <w:rsid w:val="00486A2E"/>
    <w:rsid w:val="00486F92"/>
    <w:rsid w:val="0048725E"/>
    <w:rsid w:val="004926A2"/>
    <w:rsid w:val="004934E9"/>
    <w:rsid w:val="00493956"/>
    <w:rsid w:val="004939C5"/>
    <w:rsid w:val="00493A63"/>
    <w:rsid w:val="004940E2"/>
    <w:rsid w:val="004A3B76"/>
    <w:rsid w:val="004A7107"/>
    <w:rsid w:val="004A7868"/>
    <w:rsid w:val="004A7FE2"/>
    <w:rsid w:val="004B1ED8"/>
    <w:rsid w:val="004B1F71"/>
    <w:rsid w:val="004B2323"/>
    <w:rsid w:val="004B284A"/>
    <w:rsid w:val="004B32D3"/>
    <w:rsid w:val="004B4076"/>
    <w:rsid w:val="004B5953"/>
    <w:rsid w:val="004B61FB"/>
    <w:rsid w:val="004B7162"/>
    <w:rsid w:val="004C05EF"/>
    <w:rsid w:val="004C3B3E"/>
    <w:rsid w:val="004C43AF"/>
    <w:rsid w:val="004D1BF4"/>
    <w:rsid w:val="004D267D"/>
    <w:rsid w:val="004D419D"/>
    <w:rsid w:val="004D4E03"/>
    <w:rsid w:val="004D4E39"/>
    <w:rsid w:val="004D5760"/>
    <w:rsid w:val="004D71F7"/>
    <w:rsid w:val="004D7888"/>
    <w:rsid w:val="004E1C1C"/>
    <w:rsid w:val="004E2117"/>
    <w:rsid w:val="004E4A67"/>
    <w:rsid w:val="004E6741"/>
    <w:rsid w:val="004E6808"/>
    <w:rsid w:val="004E7B54"/>
    <w:rsid w:val="004E7CB4"/>
    <w:rsid w:val="004F0777"/>
    <w:rsid w:val="00500D27"/>
    <w:rsid w:val="00503AAF"/>
    <w:rsid w:val="00504C4F"/>
    <w:rsid w:val="005102C1"/>
    <w:rsid w:val="005132E6"/>
    <w:rsid w:val="00515471"/>
    <w:rsid w:val="00515FAD"/>
    <w:rsid w:val="0051655E"/>
    <w:rsid w:val="00520708"/>
    <w:rsid w:val="00521B26"/>
    <w:rsid w:val="00522EA4"/>
    <w:rsid w:val="00522F64"/>
    <w:rsid w:val="00523120"/>
    <w:rsid w:val="0052336F"/>
    <w:rsid w:val="0052339C"/>
    <w:rsid w:val="0052415F"/>
    <w:rsid w:val="00525AE5"/>
    <w:rsid w:val="00525CA8"/>
    <w:rsid w:val="00526A80"/>
    <w:rsid w:val="00530D58"/>
    <w:rsid w:val="00534CDE"/>
    <w:rsid w:val="00534F81"/>
    <w:rsid w:val="005354DC"/>
    <w:rsid w:val="005361E6"/>
    <w:rsid w:val="0054050E"/>
    <w:rsid w:val="00540A06"/>
    <w:rsid w:val="00541612"/>
    <w:rsid w:val="0054372C"/>
    <w:rsid w:val="00544385"/>
    <w:rsid w:val="00546E19"/>
    <w:rsid w:val="0055034B"/>
    <w:rsid w:val="00550380"/>
    <w:rsid w:val="005504EC"/>
    <w:rsid w:val="0055379D"/>
    <w:rsid w:val="00554169"/>
    <w:rsid w:val="005543D7"/>
    <w:rsid w:val="00554D6A"/>
    <w:rsid w:val="0055669B"/>
    <w:rsid w:val="005635B3"/>
    <w:rsid w:val="00564186"/>
    <w:rsid w:val="00565E42"/>
    <w:rsid w:val="00566056"/>
    <w:rsid w:val="0057005A"/>
    <w:rsid w:val="00570EDE"/>
    <w:rsid w:val="0057131A"/>
    <w:rsid w:val="00571BB6"/>
    <w:rsid w:val="00572F24"/>
    <w:rsid w:val="00581620"/>
    <w:rsid w:val="00582907"/>
    <w:rsid w:val="00582EB8"/>
    <w:rsid w:val="005855FB"/>
    <w:rsid w:val="00586CAD"/>
    <w:rsid w:val="0059077C"/>
    <w:rsid w:val="00591149"/>
    <w:rsid w:val="00591C53"/>
    <w:rsid w:val="005929CB"/>
    <w:rsid w:val="00593E0A"/>
    <w:rsid w:val="00593EF8"/>
    <w:rsid w:val="00597906"/>
    <w:rsid w:val="00597FED"/>
    <w:rsid w:val="005A005B"/>
    <w:rsid w:val="005A1743"/>
    <w:rsid w:val="005A1DEE"/>
    <w:rsid w:val="005A3BDB"/>
    <w:rsid w:val="005A5201"/>
    <w:rsid w:val="005A5785"/>
    <w:rsid w:val="005A5897"/>
    <w:rsid w:val="005A758D"/>
    <w:rsid w:val="005B1D02"/>
    <w:rsid w:val="005B2247"/>
    <w:rsid w:val="005B2938"/>
    <w:rsid w:val="005B39C0"/>
    <w:rsid w:val="005B3CBD"/>
    <w:rsid w:val="005B609A"/>
    <w:rsid w:val="005C109D"/>
    <w:rsid w:val="005C25B9"/>
    <w:rsid w:val="005C3387"/>
    <w:rsid w:val="005C66D1"/>
    <w:rsid w:val="005C6AAE"/>
    <w:rsid w:val="005D2775"/>
    <w:rsid w:val="005D48B1"/>
    <w:rsid w:val="005D612A"/>
    <w:rsid w:val="005D6514"/>
    <w:rsid w:val="005D7531"/>
    <w:rsid w:val="005D7792"/>
    <w:rsid w:val="005D78F3"/>
    <w:rsid w:val="005E00F9"/>
    <w:rsid w:val="005E04E3"/>
    <w:rsid w:val="005E0FBB"/>
    <w:rsid w:val="005E208B"/>
    <w:rsid w:val="005E230F"/>
    <w:rsid w:val="005E4481"/>
    <w:rsid w:val="005E4BA4"/>
    <w:rsid w:val="005F7472"/>
    <w:rsid w:val="006006E5"/>
    <w:rsid w:val="00601457"/>
    <w:rsid w:val="0060207B"/>
    <w:rsid w:val="006032C7"/>
    <w:rsid w:val="00603B1B"/>
    <w:rsid w:val="00603BBF"/>
    <w:rsid w:val="00604379"/>
    <w:rsid w:val="006048C7"/>
    <w:rsid w:val="006055BA"/>
    <w:rsid w:val="00605F9D"/>
    <w:rsid w:val="0060656C"/>
    <w:rsid w:val="006129A6"/>
    <w:rsid w:val="00612B70"/>
    <w:rsid w:val="00613B51"/>
    <w:rsid w:val="00614FBF"/>
    <w:rsid w:val="006159A4"/>
    <w:rsid w:val="006160B5"/>
    <w:rsid w:val="00617DD8"/>
    <w:rsid w:val="00620D7D"/>
    <w:rsid w:val="00623126"/>
    <w:rsid w:val="00624276"/>
    <w:rsid w:val="006242B5"/>
    <w:rsid w:val="006249FD"/>
    <w:rsid w:val="006266DB"/>
    <w:rsid w:val="00627723"/>
    <w:rsid w:val="00633057"/>
    <w:rsid w:val="00633777"/>
    <w:rsid w:val="00634CC8"/>
    <w:rsid w:val="00635010"/>
    <w:rsid w:val="00642412"/>
    <w:rsid w:val="00642482"/>
    <w:rsid w:val="00644E21"/>
    <w:rsid w:val="00645873"/>
    <w:rsid w:val="0064693A"/>
    <w:rsid w:val="00655E5E"/>
    <w:rsid w:val="00661F63"/>
    <w:rsid w:val="00664068"/>
    <w:rsid w:val="00664CB5"/>
    <w:rsid w:val="006678A0"/>
    <w:rsid w:val="006731E4"/>
    <w:rsid w:val="00673444"/>
    <w:rsid w:val="00674324"/>
    <w:rsid w:val="006806A3"/>
    <w:rsid w:val="00682BB3"/>
    <w:rsid w:val="00683503"/>
    <w:rsid w:val="00686330"/>
    <w:rsid w:val="0068736D"/>
    <w:rsid w:val="0069042B"/>
    <w:rsid w:val="00692E14"/>
    <w:rsid w:val="0069409A"/>
    <w:rsid w:val="00694137"/>
    <w:rsid w:val="006A073E"/>
    <w:rsid w:val="006A29C5"/>
    <w:rsid w:val="006A2FE6"/>
    <w:rsid w:val="006A36BC"/>
    <w:rsid w:val="006A3D93"/>
    <w:rsid w:val="006A4775"/>
    <w:rsid w:val="006A488B"/>
    <w:rsid w:val="006A4C24"/>
    <w:rsid w:val="006A5DF6"/>
    <w:rsid w:val="006A60E0"/>
    <w:rsid w:val="006A68E5"/>
    <w:rsid w:val="006B09BF"/>
    <w:rsid w:val="006B2C64"/>
    <w:rsid w:val="006B34F1"/>
    <w:rsid w:val="006B3E00"/>
    <w:rsid w:val="006B4973"/>
    <w:rsid w:val="006B522E"/>
    <w:rsid w:val="006B7B94"/>
    <w:rsid w:val="006B7ED1"/>
    <w:rsid w:val="006C6AD0"/>
    <w:rsid w:val="006C6D75"/>
    <w:rsid w:val="006C722E"/>
    <w:rsid w:val="006C7F26"/>
    <w:rsid w:val="006D1233"/>
    <w:rsid w:val="006D1437"/>
    <w:rsid w:val="006D1B64"/>
    <w:rsid w:val="006D22EA"/>
    <w:rsid w:val="006D3C06"/>
    <w:rsid w:val="006D4319"/>
    <w:rsid w:val="006D62C5"/>
    <w:rsid w:val="006E0AC3"/>
    <w:rsid w:val="006E1411"/>
    <w:rsid w:val="006E1638"/>
    <w:rsid w:val="006E29D5"/>
    <w:rsid w:val="006E3A5A"/>
    <w:rsid w:val="006E47A2"/>
    <w:rsid w:val="006E5093"/>
    <w:rsid w:val="006E5434"/>
    <w:rsid w:val="006E5EAE"/>
    <w:rsid w:val="006E6F6D"/>
    <w:rsid w:val="006E7046"/>
    <w:rsid w:val="006F072C"/>
    <w:rsid w:val="006F19FF"/>
    <w:rsid w:val="006F3534"/>
    <w:rsid w:val="006F4AFA"/>
    <w:rsid w:val="006F60AF"/>
    <w:rsid w:val="007000D5"/>
    <w:rsid w:val="00705DCB"/>
    <w:rsid w:val="007063CE"/>
    <w:rsid w:val="00711A83"/>
    <w:rsid w:val="00712990"/>
    <w:rsid w:val="00712B3B"/>
    <w:rsid w:val="00714B77"/>
    <w:rsid w:val="0071634D"/>
    <w:rsid w:val="00717766"/>
    <w:rsid w:val="00717E97"/>
    <w:rsid w:val="00722326"/>
    <w:rsid w:val="00722B77"/>
    <w:rsid w:val="007243B4"/>
    <w:rsid w:val="0072544B"/>
    <w:rsid w:val="007271C5"/>
    <w:rsid w:val="00730DF2"/>
    <w:rsid w:val="0073446D"/>
    <w:rsid w:val="00734E3F"/>
    <w:rsid w:val="00736573"/>
    <w:rsid w:val="00737342"/>
    <w:rsid w:val="00737AFB"/>
    <w:rsid w:val="007412CC"/>
    <w:rsid w:val="007440DE"/>
    <w:rsid w:val="0074643A"/>
    <w:rsid w:val="007466E0"/>
    <w:rsid w:val="00746C49"/>
    <w:rsid w:val="007471B8"/>
    <w:rsid w:val="0075056E"/>
    <w:rsid w:val="00752138"/>
    <w:rsid w:val="00754404"/>
    <w:rsid w:val="007552A5"/>
    <w:rsid w:val="007552DF"/>
    <w:rsid w:val="007560D5"/>
    <w:rsid w:val="00756953"/>
    <w:rsid w:val="00757C42"/>
    <w:rsid w:val="00762B7A"/>
    <w:rsid w:val="007639F5"/>
    <w:rsid w:val="00763C4F"/>
    <w:rsid w:val="007644BD"/>
    <w:rsid w:val="00770A56"/>
    <w:rsid w:val="007724AF"/>
    <w:rsid w:val="00773D25"/>
    <w:rsid w:val="00775FF0"/>
    <w:rsid w:val="007768DB"/>
    <w:rsid w:val="00776C23"/>
    <w:rsid w:val="007776F4"/>
    <w:rsid w:val="00783002"/>
    <w:rsid w:val="00784A35"/>
    <w:rsid w:val="007858AC"/>
    <w:rsid w:val="00785A57"/>
    <w:rsid w:val="00786366"/>
    <w:rsid w:val="00787209"/>
    <w:rsid w:val="00787A93"/>
    <w:rsid w:val="00790BDA"/>
    <w:rsid w:val="00795C2B"/>
    <w:rsid w:val="00796005"/>
    <w:rsid w:val="007A1D13"/>
    <w:rsid w:val="007A1F4C"/>
    <w:rsid w:val="007A4661"/>
    <w:rsid w:val="007A46C0"/>
    <w:rsid w:val="007A5CAA"/>
    <w:rsid w:val="007B1604"/>
    <w:rsid w:val="007B2094"/>
    <w:rsid w:val="007B2A38"/>
    <w:rsid w:val="007B2FEF"/>
    <w:rsid w:val="007B4B8E"/>
    <w:rsid w:val="007B725B"/>
    <w:rsid w:val="007B7CF0"/>
    <w:rsid w:val="007B7D85"/>
    <w:rsid w:val="007C2234"/>
    <w:rsid w:val="007C29BC"/>
    <w:rsid w:val="007C2FFC"/>
    <w:rsid w:val="007D0856"/>
    <w:rsid w:val="007D4816"/>
    <w:rsid w:val="007D4A3A"/>
    <w:rsid w:val="007D66F1"/>
    <w:rsid w:val="007D6DB0"/>
    <w:rsid w:val="007D7754"/>
    <w:rsid w:val="007D7BDF"/>
    <w:rsid w:val="007D7FC3"/>
    <w:rsid w:val="007E1ACE"/>
    <w:rsid w:val="007E3031"/>
    <w:rsid w:val="007E391E"/>
    <w:rsid w:val="007E40B2"/>
    <w:rsid w:val="007E4C16"/>
    <w:rsid w:val="007F1792"/>
    <w:rsid w:val="007F288C"/>
    <w:rsid w:val="007F34E0"/>
    <w:rsid w:val="007F63EF"/>
    <w:rsid w:val="0080189C"/>
    <w:rsid w:val="0080412F"/>
    <w:rsid w:val="00805894"/>
    <w:rsid w:val="00805A4C"/>
    <w:rsid w:val="00806E6D"/>
    <w:rsid w:val="008073E0"/>
    <w:rsid w:val="0081104D"/>
    <w:rsid w:val="008129AC"/>
    <w:rsid w:val="00813B5D"/>
    <w:rsid w:val="00813F71"/>
    <w:rsid w:val="00814E84"/>
    <w:rsid w:val="008152BA"/>
    <w:rsid w:val="00815F9A"/>
    <w:rsid w:val="00817080"/>
    <w:rsid w:val="00826B15"/>
    <w:rsid w:val="00832836"/>
    <w:rsid w:val="00832845"/>
    <w:rsid w:val="00832C71"/>
    <w:rsid w:val="00833455"/>
    <w:rsid w:val="00834037"/>
    <w:rsid w:val="00835572"/>
    <w:rsid w:val="00836352"/>
    <w:rsid w:val="008418FC"/>
    <w:rsid w:val="008421CA"/>
    <w:rsid w:val="008423A3"/>
    <w:rsid w:val="00842B67"/>
    <w:rsid w:val="00842C0F"/>
    <w:rsid w:val="00844A04"/>
    <w:rsid w:val="00851650"/>
    <w:rsid w:val="0085305E"/>
    <w:rsid w:val="0085496B"/>
    <w:rsid w:val="00856A93"/>
    <w:rsid w:val="00857293"/>
    <w:rsid w:val="00861C19"/>
    <w:rsid w:val="00862E7A"/>
    <w:rsid w:val="00863276"/>
    <w:rsid w:val="00864341"/>
    <w:rsid w:val="00864BDB"/>
    <w:rsid w:val="00865BFB"/>
    <w:rsid w:val="00865D2F"/>
    <w:rsid w:val="0087082E"/>
    <w:rsid w:val="00872AC9"/>
    <w:rsid w:val="00875A9F"/>
    <w:rsid w:val="00876293"/>
    <w:rsid w:val="00881480"/>
    <w:rsid w:val="00882A6B"/>
    <w:rsid w:val="0088750F"/>
    <w:rsid w:val="00887A04"/>
    <w:rsid w:val="008900BF"/>
    <w:rsid w:val="00890BBF"/>
    <w:rsid w:val="00890E85"/>
    <w:rsid w:val="0089100B"/>
    <w:rsid w:val="008919BA"/>
    <w:rsid w:val="0089403C"/>
    <w:rsid w:val="00895396"/>
    <w:rsid w:val="00895C48"/>
    <w:rsid w:val="00896A31"/>
    <w:rsid w:val="008A0613"/>
    <w:rsid w:val="008A2894"/>
    <w:rsid w:val="008A2D6B"/>
    <w:rsid w:val="008A3355"/>
    <w:rsid w:val="008B105F"/>
    <w:rsid w:val="008B2B0B"/>
    <w:rsid w:val="008B39F5"/>
    <w:rsid w:val="008B410C"/>
    <w:rsid w:val="008B43CC"/>
    <w:rsid w:val="008B4C55"/>
    <w:rsid w:val="008B5707"/>
    <w:rsid w:val="008C0311"/>
    <w:rsid w:val="008C08CD"/>
    <w:rsid w:val="008C1864"/>
    <w:rsid w:val="008C1E10"/>
    <w:rsid w:val="008C25AC"/>
    <w:rsid w:val="008C2834"/>
    <w:rsid w:val="008C4854"/>
    <w:rsid w:val="008C4B6C"/>
    <w:rsid w:val="008C51BB"/>
    <w:rsid w:val="008C78FD"/>
    <w:rsid w:val="008D11BA"/>
    <w:rsid w:val="008D2827"/>
    <w:rsid w:val="008D4C99"/>
    <w:rsid w:val="008D559F"/>
    <w:rsid w:val="008D5FE0"/>
    <w:rsid w:val="008D61C9"/>
    <w:rsid w:val="008D7DC4"/>
    <w:rsid w:val="008E0FC2"/>
    <w:rsid w:val="008E741A"/>
    <w:rsid w:val="008F21C9"/>
    <w:rsid w:val="008F2312"/>
    <w:rsid w:val="008F372B"/>
    <w:rsid w:val="008F4E55"/>
    <w:rsid w:val="008F60C9"/>
    <w:rsid w:val="00900167"/>
    <w:rsid w:val="00901742"/>
    <w:rsid w:val="00907523"/>
    <w:rsid w:val="00912F24"/>
    <w:rsid w:val="00915FDE"/>
    <w:rsid w:val="00920D7F"/>
    <w:rsid w:val="00920EB2"/>
    <w:rsid w:val="00920EE8"/>
    <w:rsid w:val="00921DAE"/>
    <w:rsid w:val="00925782"/>
    <w:rsid w:val="00926DE0"/>
    <w:rsid w:val="00927249"/>
    <w:rsid w:val="0093032B"/>
    <w:rsid w:val="00930974"/>
    <w:rsid w:val="00930C41"/>
    <w:rsid w:val="009312A1"/>
    <w:rsid w:val="00931E5A"/>
    <w:rsid w:val="00934F6F"/>
    <w:rsid w:val="00935563"/>
    <w:rsid w:val="00936BB5"/>
    <w:rsid w:val="00940E8E"/>
    <w:rsid w:val="0094298A"/>
    <w:rsid w:val="00942DCE"/>
    <w:rsid w:val="0094400E"/>
    <w:rsid w:val="00946806"/>
    <w:rsid w:val="009510CB"/>
    <w:rsid w:val="00952CA6"/>
    <w:rsid w:val="009555AB"/>
    <w:rsid w:val="00955712"/>
    <w:rsid w:val="0095702B"/>
    <w:rsid w:val="00963B8C"/>
    <w:rsid w:val="00965708"/>
    <w:rsid w:val="00967B3D"/>
    <w:rsid w:val="00967F3A"/>
    <w:rsid w:val="009716BB"/>
    <w:rsid w:val="0097202A"/>
    <w:rsid w:val="00972E9D"/>
    <w:rsid w:val="0097343F"/>
    <w:rsid w:val="0097362C"/>
    <w:rsid w:val="00974124"/>
    <w:rsid w:val="009743A4"/>
    <w:rsid w:val="00975FDD"/>
    <w:rsid w:val="00976179"/>
    <w:rsid w:val="009765B8"/>
    <w:rsid w:val="00976C6E"/>
    <w:rsid w:val="009803D1"/>
    <w:rsid w:val="00981E27"/>
    <w:rsid w:val="00982007"/>
    <w:rsid w:val="00982581"/>
    <w:rsid w:val="00987494"/>
    <w:rsid w:val="0099060A"/>
    <w:rsid w:val="009917AB"/>
    <w:rsid w:val="009952E6"/>
    <w:rsid w:val="0099610A"/>
    <w:rsid w:val="009A3267"/>
    <w:rsid w:val="009A5411"/>
    <w:rsid w:val="009B10C2"/>
    <w:rsid w:val="009B630C"/>
    <w:rsid w:val="009C125C"/>
    <w:rsid w:val="009C2325"/>
    <w:rsid w:val="009C3BC4"/>
    <w:rsid w:val="009C4650"/>
    <w:rsid w:val="009D0045"/>
    <w:rsid w:val="009D02F4"/>
    <w:rsid w:val="009D0841"/>
    <w:rsid w:val="009D174B"/>
    <w:rsid w:val="009D212D"/>
    <w:rsid w:val="009D3DB6"/>
    <w:rsid w:val="009D6429"/>
    <w:rsid w:val="009D691D"/>
    <w:rsid w:val="009D71E5"/>
    <w:rsid w:val="009D7CE7"/>
    <w:rsid w:val="009E11C7"/>
    <w:rsid w:val="009E3C1C"/>
    <w:rsid w:val="009F0823"/>
    <w:rsid w:val="009F090D"/>
    <w:rsid w:val="009F1282"/>
    <w:rsid w:val="009F287C"/>
    <w:rsid w:val="009F2B8D"/>
    <w:rsid w:val="009F535C"/>
    <w:rsid w:val="009F7713"/>
    <w:rsid w:val="00A00A87"/>
    <w:rsid w:val="00A01637"/>
    <w:rsid w:val="00A01EA9"/>
    <w:rsid w:val="00A0299C"/>
    <w:rsid w:val="00A03A38"/>
    <w:rsid w:val="00A052F4"/>
    <w:rsid w:val="00A072F4"/>
    <w:rsid w:val="00A07842"/>
    <w:rsid w:val="00A11929"/>
    <w:rsid w:val="00A127AA"/>
    <w:rsid w:val="00A12BE1"/>
    <w:rsid w:val="00A177CF"/>
    <w:rsid w:val="00A2226B"/>
    <w:rsid w:val="00A2298B"/>
    <w:rsid w:val="00A23AB0"/>
    <w:rsid w:val="00A25B72"/>
    <w:rsid w:val="00A2738F"/>
    <w:rsid w:val="00A362AF"/>
    <w:rsid w:val="00A367C3"/>
    <w:rsid w:val="00A36E07"/>
    <w:rsid w:val="00A37BE8"/>
    <w:rsid w:val="00A40BA3"/>
    <w:rsid w:val="00A421BB"/>
    <w:rsid w:val="00A43631"/>
    <w:rsid w:val="00A443E8"/>
    <w:rsid w:val="00A4739D"/>
    <w:rsid w:val="00A47E71"/>
    <w:rsid w:val="00A5176A"/>
    <w:rsid w:val="00A51C07"/>
    <w:rsid w:val="00A52026"/>
    <w:rsid w:val="00A52B3F"/>
    <w:rsid w:val="00A53B18"/>
    <w:rsid w:val="00A551EF"/>
    <w:rsid w:val="00A552C6"/>
    <w:rsid w:val="00A55AED"/>
    <w:rsid w:val="00A55FDF"/>
    <w:rsid w:val="00A56CDE"/>
    <w:rsid w:val="00A572E0"/>
    <w:rsid w:val="00A57868"/>
    <w:rsid w:val="00A57E72"/>
    <w:rsid w:val="00A601D2"/>
    <w:rsid w:val="00A60384"/>
    <w:rsid w:val="00A61C31"/>
    <w:rsid w:val="00A61C63"/>
    <w:rsid w:val="00A622DE"/>
    <w:rsid w:val="00A62931"/>
    <w:rsid w:val="00A62D79"/>
    <w:rsid w:val="00A6443E"/>
    <w:rsid w:val="00A64D80"/>
    <w:rsid w:val="00A6513E"/>
    <w:rsid w:val="00A65BB5"/>
    <w:rsid w:val="00A67DCF"/>
    <w:rsid w:val="00A70CC3"/>
    <w:rsid w:val="00A71904"/>
    <w:rsid w:val="00A724C1"/>
    <w:rsid w:val="00A72DCE"/>
    <w:rsid w:val="00A73A42"/>
    <w:rsid w:val="00A74211"/>
    <w:rsid w:val="00A743DE"/>
    <w:rsid w:val="00A74E97"/>
    <w:rsid w:val="00A7537B"/>
    <w:rsid w:val="00A768F3"/>
    <w:rsid w:val="00A813C9"/>
    <w:rsid w:val="00A81943"/>
    <w:rsid w:val="00A81C0E"/>
    <w:rsid w:val="00A856C6"/>
    <w:rsid w:val="00A856CF"/>
    <w:rsid w:val="00A857B9"/>
    <w:rsid w:val="00A85E6A"/>
    <w:rsid w:val="00A87FC6"/>
    <w:rsid w:val="00A901A9"/>
    <w:rsid w:val="00A90DE4"/>
    <w:rsid w:val="00A926D4"/>
    <w:rsid w:val="00A92FC6"/>
    <w:rsid w:val="00A93A6D"/>
    <w:rsid w:val="00A95F6A"/>
    <w:rsid w:val="00A96B8F"/>
    <w:rsid w:val="00A96F10"/>
    <w:rsid w:val="00AA33DC"/>
    <w:rsid w:val="00AA3D06"/>
    <w:rsid w:val="00AA5D48"/>
    <w:rsid w:val="00AA6902"/>
    <w:rsid w:val="00AB0846"/>
    <w:rsid w:val="00AB12DD"/>
    <w:rsid w:val="00AB2123"/>
    <w:rsid w:val="00AB7BA7"/>
    <w:rsid w:val="00AC1706"/>
    <w:rsid w:val="00AC20A1"/>
    <w:rsid w:val="00AC2826"/>
    <w:rsid w:val="00AC32B8"/>
    <w:rsid w:val="00AC382A"/>
    <w:rsid w:val="00AC40EF"/>
    <w:rsid w:val="00AC46AF"/>
    <w:rsid w:val="00AC5EBD"/>
    <w:rsid w:val="00AC75A7"/>
    <w:rsid w:val="00AC765D"/>
    <w:rsid w:val="00AD2CDC"/>
    <w:rsid w:val="00AD3DCF"/>
    <w:rsid w:val="00AD49A9"/>
    <w:rsid w:val="00AD7BF7"/>
    <w:rsid w:val="00AE11E0"/>
    <w:rsid w:val="00AE2DDA"/>
    <w:rsid w:val="00AE35BC"/>
    <w:rsid w:val="00AE4746"/>
    <w:rsid w:val="00AF22AA"/>
    <w:rsid w:val="00AF40B0"/>
    <w:rsid w:val="00AF49E4"/>
    <w:rsid w:val="00AF5D17"/>
    <w:rsid w:val="00AF75B6"/>
    <w:rsid w:val="00AF770D"/>
    <w:rsid w:val="00B00951"/>
    <w:rsid w:val="00B00A95"/>
    <w:rsid w:val="00B01648"/>
    <w:rsid w:val="00B04AD4"/>
    <w:rsid w:val="00B05552"/>
    <w:rsid w:val="00B07659"/>
    <w:rsid w:val="00B07859"/>
    <w:rsid w:val="00B123B6"/>
    <w:rsid w:val="00B1563E"/>
    <w:rsid w:val="00B216D6"/>
    <w:rsid w:val="00B21C0E"/>
    <w:rsid w:val="00B21FB9"/>
    <w:rsid w:val="00B22508"/>
    <w:rsid w:val="00B235A2"/>
    <w:rsid w:val="00B2430E"/>
    <w:rsid w:val="00B27051"/>
    <w:rsid w:val="00B30CFF"/>
    <w:rsid w:val="00B30D29"/>
    <w:rsid w:val="00B31189"/>
    <w:rsid w:val="00B319CD"/>
    <w:rsid w:val="00B32EA3"/>
    <w:rsid w:val="00B33242"/>
    <w:rsid w:val="00B33ADF"/>
    <w:rsid w:val="00B33F2C"/>
    <w:rsid w:val="00B366E3"/>
    <w:rsid w:val="00B37C3B"/>
    <w:rsid w:val="00B40ACE"/>
    <w:rsid w:val="00B429AF"/>
    <w:rsid w:val="00B43852"/>
    <w:rsid w:val="00B4506F"/>
    <w:rsid w:val="00B4517D"/>
    <w:rsid w:val="00B46394"/>
    <w:rsid w:val="00B51916"/>
    <w:rsid w:val="00B51A61"/>
    <w:rsid w:val="00B5321E"/>
    <w:rsid w:val="00B53F53"/>
    <w:rsid w:val="00B54DB9"/>
    <w:rsid w:val="00B62B2B"/>
    <w:rsid w:val="00B655E3"/>
    <w:rsid w:val="00B70435"/>
    <w:rsid w:val="00B70652"/>
    <w:rsid w:val="00B71323"/>
    <w:rsid w:val="00B71584"/>
    <w:rsid w:val="00B735AC"/>
    <w:rsid w:val="00B751AF"/>
    <w:rsid w:val="00B757E4"/>
    <w:rsid w:val="00B762B8"/>
    <w:rsid w:val="00B76635"/>
    <w:rsid w:val="00B77D10"/>
    <w:rsid w:val="00B82CC6"/>
    <w:rsid w:val="00B834D5"/>
    <w:rsid w:val="00B856E8"/>
    <w:rsid w:val="00B85ECA"/>
    <w:rsid w:val="00B86925"/>
    <w:rsid w:val="00B8706C"/>
    <w:rsid w:val="00B90C33"/>
    <w:rsid w:val="00B90CDB"/>
    <w:rsid w:val="00B9112D"/>
    <w:rsid w:val="00B9118A"/>
    <w:rsid w:val="00B9120C"/>
    <w:rsid w:val="00B95221"/>
    <w:rsid w:val="00B97346"/>
    <w:rsid w:val="00BA130E"/>
    <w:rsid w:val="00BA3338"/>
    <w:rsid w:val="00BA3E56"/>
    <w:rsid w:val="00BA5FFB"/>
    <w:rsid w:val="00BA6307"/>
    <w:rsid w:val="00BB13BE"/>
    <w:rsid w:val="00BB1AD9"/>
    <w:rsid w:val="00BB2B59"/>
    <w:rsid w:val="00BB3DCA"/>
    <w:rsid w:val="00BB3FEB"/>
    <w:rsid w:val="00BB77B4"/>
    <w:rsid w:val="00BC477B"/>
    <w:rsid w:val="00BC47EA"/>
    <w:rsid w:val="00BC481B"/>
    <w:rsid w:val="00BC48D7"/>
    <w:rsid w:val="00BC579C"/>
    <w:rsid w:val="00BC583B"/>
    <w:rsid w:val="00BC71D1"/>
    <w:rsid w:val="00BD059F"/>
    <w:rsid w:val="00BD1277"/>
    <w:rsid w:val="00BD27E3"/>
    <w:rsid w:val="00BD293B"/>
    <w:rsid w:val="00BD38A9"/>
    <w:rsid w:val="00BD403B"/>
    <w:rsid w:val="00BD4EB9"/>
    <w:rsid w:val="00BD7285"/>
    <w:rsid w:val="00BD7AD1"/>
    <w:rsid w:val="00BE172E"/>
    <w:rsid w:val="00BE4080"/>
    <w:rsid w:val="00BE47F8"/>
    <w:rsid w:val="00BE627E"/>
    <w:rsid w:val="00BE758F"/>
    <w:rsid w:val="00BF38D2"/>
    <w:rsid w:val="00BF57E0"/>
    <w:rsid w:val="00BF5DB4"/>
    <w:rsid w:val="00BF6076"/>
    <w:rsid w:val="00BF7977"/>
    <w:rsid w:val="00C01147"/>
    <w:rsid w:val="00C0499B"/>
    <w:rsid w:val="00C07887"/>
    <w:rsid w:val="00C07B38"/>
    <w:rsid w:val="00C104C6"/>
    <w:rsid w:val="00C11403"/>
    <w:rsid w:val="00C11B47"/>
    <w:rsid w:val="00C12084"/>
    <w:rsid w:val="00C13D74"/>
    <w:rsid w:val="00C163A7"/>
    <w:rsid w:val="00C16FDC"/>
    <w:rsid w:val="00C22984"/>
    <w:rsid w:val="00C22F42"/>
    <w:rsid w:val="00C2377A"/>
    <w:rsid w:val="00C249C2"/>
    <w:rsid w:val="00C25D7A"/>
    <w:rsid w:val="00C26599"/>
    <w:rsid w:val="00C2791D"/>
    <w:rsid w:val="00C315BA"/>
    <w:rsid w:val="00C31723"/>
    <w:rsid w:val="00C33ED3"/>
    <w:rsid w:val="00C3400F"/>
    <w:rsid w:val="00C34491"/>
    <w:rsid w:val="00C34795"/>
    <w:rsid w:val="00C37519"/>
    <w:rsid w:val="00C4067B"/>
    <w:rsid w:val="00C441ED"/>
    <w:rsid w:val="00C4474E"/>
    <w:rsid w:val="00C44FC9"/>
    <w:rsid w:val="00C46188"/>
    <w:rsid w:val="00C46FD5"/>
    <w:rsid w:val="00C474AA"/>
    <w:rsid w:val="00C53C7A"/>
    <w:rsid w:val="00C550AA"/>
    <w:rsid w:val="00C56600"/>
    <w:rsid w:val="00C5690F"/>
    <w:rsid w:val="00C56C88"/>
    <w:rsid w:val="00C56D77"/>
    <w:rsid w:val="00C56FE9"/>
    <w:rsid w:val="00C57CB9"/>
    <w:rsid w:val="00C60C06"/>
    <w:rsid w:val="00C612F7"/>
    <w:rsid w:val="00C629C6"/>
    <w:rsid w:val="00C7068D"/>
    <w:rsid w:val="00C70B78"/>
    <w:rsid w:val="00C71801"/>
    <w:rsid w:val="00C71AB1"/>
    <w:rsid w:val="00C72328"/>
    <w:rsid w:val="00C75B0E"/>
    <w:rsid w:val="00C825A6"/>
    <w:rsid w:val="00C83D07"/>
    <w:rsid w:val="00C87018"/>
    <w:rsid w:val="00C92EA3"/>
    <w:rsid w:val="00C94C76"/>
    <w:rsid w:val="00C952F1"/>
    <w:rsid w:val="00C95774"/>
    <w:rsid w:val="00C96D7D"/>
    <w:rsid w:val="00CA15CA"/>
    <w:rsid w:val="00CA7038"/>
    <w:rsid w:val="00CA7A6B"/>
    <w:rsid w:val="00CA7E22"/>
    <w:rsid w:val="00CB155A"/>
    <w:rsid w:val="00CB1778"/>
    <w:rsid w:val="00CB1DFF"/>
    <w:rsid w:val="00CB1E39"/>
    <w:rsid w:val="00CB2727"/>
    <w:rsid w:val="00CB2798"/>
    <w:rsid w:val="00CB345A"/>
    <w:rsid w:val="00CB4314"/>
    <w:rsid w:val="00CB539F"/>
    <w:rsid w:val="00CB5D66"/>
    <w:rsid w:val="00CB62D7"/>
    <w:rsid w:val="00CB70C7"/>
    <w:rsid w:val="00CB7A3A"/>
    <w:rsid w:val="00CC04FE"/>
    <w:rsid w:val="00CC2094"/>
    <w:rsid w:val="00CC2B83"/>
    <w:rsid w:val="00CC482E"/>
    <w:rsid w:val="00CC7E05"/>
    <w:rsid w:val="00CD1107"/>
    <w:rsid w:val="00CD2E34"/>
    <w:rsid w:val="00CD5454"/>
    <w:rsid w:val="00CD6E9F"/>
    <w:rsid w:val="00CD7929"/>
    <w:rsid w:val="00CD7DE7"/>
    <w:rsid w:val="00CE2909"/>
    <w:rsid w:val="00CE4E38"/>
    <w:rsid w:val="00CE577C"/>
    <w:rsid w:val="00CE6885"/>
    <w:rsid w:val="00CE68D6"/>
    <w:rsid w:val="00CE7D8E"/>
    <w:rsid w:val="00CF02D2"/>
    <w:rsid w:val="00CF1529"/>
    <w:rsid w:val="00CF47D3"/>
    <w:rsid w:val="00CF4B92"/>
    <w:rsid w:val="00CF792A"/>
    <w:rsid w:val="00CF7947"/>
    <w:rsid w:val="00CF7B6A"/>
    <w:rsid w:val="00D00906"/>
    <w:rsid w:val="00D02B32"/>
    <w:rsid w:val="00D03151"/>
    <w:rsid w:val="00D03A0B"/>
    <w:rsid w:val="00D04F4A"/>
    <w:rsid w:val="00D11B0C"/>
    <w:rsid w:val="00D131B4"/>
    <w:rsid w:val="00D13F28"/>
    <w:rsid w:val="00D15015"/>
    <w:rsid w:val="00D15CBF"/>
    <w:rsid w:val="00D16726"/>
    <w:rsid w:val="00D16A13"/>
    <w:rsid w:val="00D17AB1"/>
    <w:rsid w:val="00D20D2A"/>
    <w:rsid w:val="00D20E2A"/>
    <w:rsid w:val="00D218BD"/>
    <w:rsid w:val="00D21B4F"/>
    <w:rsid w:val="00D22772"/>
    <w:rsid w:val="00D2421C"/>
    <w:rsid w:val="00D2564E"/>
    <w:rsid w:val="00D26906"/>
    <w:rsid w:val="00D26BB9"/>
    <w:rsid w:val="00D26DD3"/>
    <w:rsid w:val="00D27817"/>
    <w:rsid w:val="00D305CD"/>
    <w:rsid w:val="00D31AF9"/>
    <w:rsid w:val="00D35150"/>
    <w:rsid w:val="00D407F1"/>
    <w:rsid w:val="00D40DE7"/>
    <w:rsid w:val="00D45119"/>
    <w:rsid w:val="00D46BA0"/>
    <w:rsid w:val="00D47322"/>
    <w:rsid w:val="00D47967"/>
    <w:rsid w:val="00D51C32"/>
    <w:rsid w:val="00D52A87"/>
    <w:rsid w:val="00D52C86"/>
    <w:rsid w:val="00D55408"/>
    <w:rsid w:val="00D557D3"/>
    <w:rsid w:val="00D60237"/>
    <w:rsid w:val="00D615DE"/>
    <w:rsid w:val="00D620FE"/>
    <w:rsid w:val="00D62AE9"/>
    <w:rsid w:val="00D6333A"/>
    <w:rsid w:val="00D64E9D"/>
    <w:rsid w:val="00D65D29"/>
    <w:rsid w:val="00D7425A"/>
    <w:rsid w:val="00D76DD5"/>
    <w:rsid w:val="00D77A7B"/>
    <w:rsid w:val="00D82234"/>
    <w:rsid w:val="00D823E2"/>
    <w:rsid w:val="00D825BF"/>
    <w:rsid w:val="00D851CA"/>
    <w:rsid w:val="00D85940"/>
    <w:rsid w:val="00D85AF6"/>
    <w:rsid w:val="00D86123"/>
    <w:rsid w:val="00D87C43"/>
    <w:rsid w:val="00D90EF6"/>
    <w:rsid w:val="00D914EC"/>
    <w:rsid w:val="00D922E1"/>
    <w:rsid w:val="00D92BE7"/>
    <w:rsid w:val="00D94550"/>
    <w:rsid w:val="00D9615C"/>
    <w:rsid w:val="00D9616B"/>
    <w:rsid w:val="00DA2132"/>
    <w:rsid w:val="00DA266D"/>
    <w:rsid w:val="00DA26BF"/>
    <w:rsid w:val="00DA3F95"/>
    <w:rsid w:val="00DA42E0"/>
    <w:rsid w:val="00DB141C"/>
    <w:rsid w:val="00DB1DB9"/>
    <w:rsid w:val="00DB23A3"/>
    <w:rsid w:val="00DB298C"/>
    <w:rsid w:val="00DB4D66"/>
    <w:rsid w:val="00DB6B6C"/>
    <w:rsid w:val="00DB6FB1"/>
    <w:rsid w:val="00DC295A"/>
    <w:rsid w:val="00DC2CEF"/>
    <w:rsid w:val="00DC30FE"/>
    <w:rsid w:val="00DC7D8E"/>
    <w:rsid w:val="00DD2416"/>
    <w:rsid w:val="00DD2546"/>
    <w:rsid w:val="00DD2CF5"/>
    <w:rsid w:val="00DD2F09"/>
    <w:rsid w:val="00DD3182"/>
    <w:rsid w:val="00DD3E8D"/>
    <w:rsid w:val="00DD43AD"/>
    <w:rsid w:val="00DD51D1"/>
    <w:rsid w:val="00DD5E1F"/>
    <w:rsid w:val="00DD7050"/>
    <w:rsid w:val="00DE221B"/>
    <w:rsid w:val="00DE2A48"/>
    <w:rsid w:val="00DE43F3"/>
    <w:rsid w:val="00DE478B"/>
    <w:rsid w:val="00DE4993"/>
    <w:rsid w:val="00DE4B05"/>
    <w:rsid w:val="00DE6943"/>
    <w:rsid w:val="00DE69E7"/>
    <w:rsid w:val="00DF1D38"/>
    <w:rsid w:val="00DF21B8"/>
    <w:rsid w:val="00DF2B55"/>
    <w:rsid w:val="00DF311C"/>
    <w:rsid w:val="00DF58E9"/>
    <w:rsid w:val="00DF5A82"/>
    <w:rsid w:val="00DF7BB7"/>
    <w:rsid w:val="00DF7C9F"/>
    <w:rsid w:val="00E01C85"/>
    <w:rsid w:val="00E01F42"/>
    <w:rsid w:val="00E027C1"/>
    <w:rsid w:val="00E0438C"/>
    <w:rsid w:val="00E04DBE"/>
    <w:rsid w:val="00E129E5"/>
    <w:rsid w:val="00E14D25"/>
    <w:rsid w:val="00E1769F"/>
    <w:rsid w:val="00E2096E"/>
    <w:rsid w:val="00E21B72"/>
    <w:rsid w:val="00E23F83"/>
    <w:rsid w:val="00E24C3F"/>
    <w:rsid w:val="00E321A5"/>
    <w:rsid w:val="00E321C4"/>
    <w:rsid w:val="00E34A3B"/>
    <w:rsid w:val="00E36521"/>
    <w:rsid w:val="00E3695A"/>
    <w:rsid w:val="00E36971"/>
    <w:rsid w:val="00E40354"/>
    <w:rsid w:val="00E45954"/>
    <w:rsid w:val="00E45A33"/>
    <w:rsid w:val="00E462B2"/>
    <w:rsid w:val="00E50077"/>
    <w:rsid w:val="00E53030"/>
    <w:rsid w:val="00E5332D"/>
    <w:rsid w:val="00E5398C"/>
    <w:rsid w:val="00E5432A"/>
    <w:rsid w:val="00E54C6B"/>
    <w:rsid w:val="00E55EF8"/>
    <w:rsid w:val="00E562F6"/>
    <w:rsid w:val="00E56F79"/>
    <w:rsid w:val="00E6171D"/>
    <w:rsid w:val="00E61ACE"/>
    <w:rsid w:val="00E64975"/>
    <w:rsid w:val="00E64F75"/>
    <w:rsid w:val="00E65469"/>
    <w:rsid w:val="00E6774E"/>
    <w:rsid w:val="00E67D49"/>
    <w:rsid w:val="00E718C7"/>
    <w:rsid w:val="00E727F1"/>
    <w:rsid w:val="00E72E6D"/>
    <w:rsid w:val="00E73160"/>
    <w:rsid w:val="00E75579"/>
    <w:rsid w:val="00E77DC5"/>
    <w:rsid w:val="00E800E6"/>
    <w:rsid w:val="00E8122D"/>
    <w:rsid w:val="00E843C0"/>
    <w:rsid w:val="00E86498"/>
    <w:rsid w:val="00E86997"/>
    <w:rsid w:val="00E87288"/>
    <w:rsid w:val="00E8758A"/>
    <w:rsid w:val="00E90A80"/>
    <w:rsid w:val="00E9189A"/>
    <w:rsid w:val="00E93B9B"/>
    <w:rsid w:val="00E97296"/>
    <w:rsid w:val="00EA0254"/>
    <w:rsid w:val="00EA29BC"/>
    <w:rsid w:val="00EA6FC4"/>
    <w:rsid w:val="00EA7CC5"/>
    <w:rsid w:val="00EB13D3"/>
    <w:rsid w:val="00EB6430"/>
    <w:rsid w:val="00EB6F69"/>
    <w:rsid w:val="00EB7002"/>
    <w:rsid w:val="00EC2F23"/>
    <w:rsid w:val="00EC30AA"/>
    <w:rsid w:val="00EC3746"/>
    <w:rsid w:val="00EC4520"/>
    <w:rsid w:val="00EC52FA"/>
    <w:rsid w:val="00EC613F"/>
    <w:rsid w:val="00ED0247"/>
    <w:rsid w:val="00ED0701"/>
    <w:rsid w:val="00ED0964"/>
    <w:rsid w:val="00ED453C"/>
    <w:rsid w:val="00ED5F3B"/>
    <w:rsid w:val="00ED6BD7"/>
    <w:rsid w:val="00ED725A"/>
    <w:rsid w:val="00ED776A"/>
    <w:rsid w:val="00EE1AEC"/>
    <w:rsid w:val="00EE1D2A"/>
    <w:rsid w:val="00EE4ED2"/>
    <w:rsid w:val="00EE69E4"/>
    <w:rsid w:val="00EF569B"/>
    <w:rsid w:val="00EF7EFD"/>
    <w:rsid w:val="00F00E27"/>
    <w:rsid w:val="00F01A64"/>
    <w:rsid w:val="00F023C3"/>
    <w:rsid w:val="00F0277C"/>
    <w:rsid w:val="00F02BF1"/>
    <w:rsid w:val="00F02D61"/>
    <w:rsid w:val="00F04227"/>
    <w:rsid w:val="00F05827"/>
    <w:rsid w:val="00F07002"/>
    <w:rsid w:val="00F11932"/>
    <w:rsid w:val="00F13494"/>
    <w:rsid w:val="00F136DD"/>
    <w:rsid w:val="00F14EE0"/>
    <w:rsid w:val="00F16770"/>
    <w:rsid w:val="00F20EC7"/>
    <w:rsid w:val="00F23E30"/>
    <w:rsid w:val="00F30245"/>
    <w:rsid w:val="00F30971"/>
    <w:rsid w:val="00F30AC9"/>
    <w:rsid w:val="00F3248C"/>
    <w:rsid w:val="00F32552"/>
    <w:rsid w:val="00F32688"/>
    <w:rsid w:val="00F33C35"/>
    <w:rsid w:val="00F342BC"/>
    <w:rsid w:val="00F36E4D"/>
    <w:rsid w:val="00F406BE"/>
    <w:rsid w:val="00F41222"/>
    <w:rsid w:val="00F41E4A"/>
    <w:rsid w:val="00F42102"/>
    <w:rsid w:val="00F429BD"/>
    <w:rsid w:val="00F447A3"/>
    <w:rsid w:val="00F448E4"/>
    <w:rsid w:val="00F46A79"/>
    <w:rsid w:val="00F50599"/>
    <w:rsid w:val="00F50798"/>
    <w:rsid w:val="00F5345D"/>
    <w:rsid w:val="00F54377"/>
    <w:rsid w:val="00F5797C"/>
    <w:rsid w:val="00F60350"/>
    <w:rsid w:val="00F636DB"/>
    <w:rsid w:val="00F637D3"/>
    <w:rsid w:val="00F63AD4"/>
    <w:rsid w:val="00F64750"/>
    <w:rsid w:val="00F65581"/>
    <w:rsid w:val="00F6565E"/>
    <w:rsid w:val="00F65D4F"/>
    <w:rsid w:val="00F6742C"/>
    <w:rsid w:val="00F73C6F"/>
    <w:rsid w:val="00F73CB8"/>
    <w:rsid w:val="00F805FA"/>
    <w:rsid w:val="00F80940"/>
    <w:rsid w:val="00F810DF"/>
    <w:rsid w:val="00F82E44"/>
    <w:rsid w:val="00F83F4C"/>
    <w:rsid w:val="00F84273"/>
    <w:rsid w:val="00F850EE"/>
    <w:rsid w:val="00F866DE"/>
    <w:rsid w:val="00F91BE2"/>
    <w:rsid w:val="00F92A44"/>
    <w:rsid w:val="00F9397D"/>
    <w:rsid w:val="00F949B2"/>
    <w:rsid w:val="00F9762A"/>
    <w:rsid w:val="00FA0278"/>
    <w:rsid w:val="00FA096F"/>
    <w:rsid w:val="00FA2616"/>
    <w:rsid w:val="00FA274E"/>
    <w:rsid w:val="00FA7248"/>
    <w:rsid w:val="00FB0406"/>
    <w:rsid w:val="00FB047D"/>
    <w:rsid w:val="00FB0C0E"/>
    <w:rsid w:val="00FB1198"/>
    <w:rsid w:val="00FB3134"/>
    <w:rsid w:val="00FB541D"/>
    <w:rsid w:val="00FB5474"/>
    <w:rsid w:val="00FB6986"/>
    <w:rsid w:val="00FB7693"/>
    <w:rsid w:val="00FB7DA6"/>
    <w:rsid w:val="00FB7F13"/>
    <w:rsid w:val="00FC00DB"/>
    <w:rsid w:val="00FC0516"/>
    <w:rsid w:val="00FC0B81"/>
    <w:rsid w:val="00FC1B76"/>
    <w:rsid w:val="00FC24E9"/>
    <w:rsid w:val="00FC344B"/>
    <w:rsid w:val="00FC4A0E"/>
    <w:rsid w:val="00FC70CE"/>
    <w:rsid w:val="00FD02A8"/>
    <w:rsid w:val="00FD06A7"/>
    <w:rsid w:val="00FD1CDD"/>
    <w:rsid w:val="00FD226F"/>
    <w:rsid w:val="00FD2DD5"/>
    <w:rsid w:val="00FD3588"/>
    <w:rsid w:val="00FD76B7"/>
    <w:rsid w:val="00FD7AE1"/>
    <w:rsid w:val="00FD7C4E"/>
    <w:rsid w:val="00FE1479"/>
    <w:rsid w:val="00FE456A"/>
    <w:rsid w:val="00FF2DC6"/>
    <w:rsid w:val="00FF3467"/>
    <w:rsid w:val="00FF370D"/>
    <w:rsid w:val="00FF46A8"/>
    <w:rsid w:val="00FF6595"/>
    <w:rsid w:val="00FF7B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72AA"/>
  <w15:chartTrackingRefBased/>
  <w15:docId w15:val="{3698E446-EDD6-4352-9D68-61F486E6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0C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4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B49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2307"/>
    <w:pPr>
      <w:ind w:left="720"/>
      <w:contextualSpacing/>
    </w:pPr>
  </w:style>
  <w:style w:type="character" w:customStyle="1" w:styleId="Heading3Char">
    <w:name w:val="Heading 3 Char"/>
    <w:basedOn w:val="DefaultParagraphFont"/>
    <w:link w:val="Heading3"/>
    <w:uiPriority w:val="9"/>
    <w:rsid w:val="008C51B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34A3B"/>
    <w:rPr>
      <w:color w:val="808080"/>
    </w:rPr>
  </w:style>
  <w:style w:type="character" w:customStyle="1" w:styleId="Heading4Char">
    <w:name w:val="Heading 4 Char"/>
    <w:basedOn w:val="DefaultParagraphFont"/>
    <w:link w:val="Heading4"/>
    <w:uiPriority w:val="9"/>
    <w:rsid w:val="002B0C8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2599-45C7-4020-8630-399D8586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58645</TotalTime>
  <Pages>11</Pages>
  <Words>15174</Words>
  <Characters>86494</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101466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1589</cp:revision>
  <dcterms:created xsi:type="dcterms:W3CDTF">2021-07-05T23:18:00Z</dcterms:created>
  <dcterms:modified xsi:type="dcterms:W3CDTF">2023-08-21T03:20:00Z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http://csl.mendeley.com/styles/25263071/coral-reefs-3</vt:lpwstr>
  </property>
  <property fmtid="{D5CDD505-2E9C-101B-9397-08002B2CF9AE}" pid="13" name="Mendeley Recent Style Name 5_1">
    <vt:lpwstr>Coral Reefs - Elliott Schmidt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d8221839-87f5-377c-8d30-2635909f4e41</vt:lpwstr>
  </property>
  <property fmtid="{D5CDD505-2E9C-101B-9397-08002B2CF9AE}" pid="24" name="Mendeley Citation Style_1">
    <vt:lpwstr>http://www.zotero.org/styles/nature</vt:lpwstr>
  </property>
</Properties>
</file>