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8AEE12" w14:textId="241149A6" w:rsidR="000522D7" w:rsidRPr="00376360" w:rsidRDefault="000522D7" w:rsidP="00376360">
      <w:pPr>
        <w:pStyle w:val="Caption"/>
        <w:keepNext/>
        <w:jc w:val="both"/>
        <w:rPr>
          <w:i w:val="0"/>
          <w:iCs w:val="0"/>
          <w:color w:val="auto"/>
          <w:sz w:val="22"/>
          <w:szCs w:val="22"/>
        </w:rPr>
      </w:pPr>
      <w:r w:rsidRPr="000522D7">
        <w:rPr>
          <w:b/>
          <w:bCs/>
          <w:i w:val="0"/>
          <w:iCs w:val="0"/>
          <w:color w:val="auto"/>
          <w:sz w:val="22"/>
          <w:szCs w:val="22"/>
        </w:rPr>
        <w:t>Supplemental table 5:</w:t>
      </w:r>
      <w:r>
        <w:rPr>
          <w:b/>
          <w:bCs/>
          <w:i w:val="0"/>
          <w:iCs w:val="0"/>
          <w:color w:val="auto"/>
          <w:sz w:val="22"/>
          <w:szCs w:val="22"/>
        </w:rPr>
        <w:t xml:space="preserve"> </w:t>
      </w:r>
      <w:r w:rsidR="00376360">
        <w:rPr>
          <w:i w:val="0"/>
          <w:iCs w:val="0"/>
          <w:color w:val="auto"/>
          <w:sz w:val="22"/>
          <w:szCs w:val="22"/>
        </w:rPr>
        <w:t>Mean phytohemagglutinin measurements for all fish sampled at the four different treatment temperatures (i.e., 27, 28.5, 30, and 31.5</w:t>
      </w:r>
      <w:r w:rsidR="00376360">
        <w:rPr>
          <w:rFonts w:cstheme="minorHAnsi"/>
          <w:i w:val="0"/>
          <w:iCs w:val="0"/>
          <w:color w:val="auto"/>
          <w:sz w:val="22"/>
          <w:szCs w:val="22"/>
        </w:rPr>
        <w:t>°</w:t>
      </w:r>
      <w:r w:rsidR="00376360">
        <w:rPr>
          <w:i w:val="0"/>
          <w:iCs w:val="0"/>
          <w:color w:val="auto"/>
          <w:sz w:val="22"/>
          <w:szCs w:val="22"/>
        </w:rPr>
        <w:t>C). Differences in sample size are due to mortality events that fish experienced during the experiment. Measurements between different temperature treatments should not be treated as pairwise comparisons due to the differences in sample size.</w:t>
      </w:r>
    </w:p>
    <w:tbl>
      <w:tblPr>
        <w:tblStyle w:val="ListTable2"/>
        <w:tblW w:w="0" w:type="auto"/>
        <w:tblBorders>
          <w:top w:val="none" w:sz="0" w:space="0" w:color="auto"/>
          <w:bottom w:val="none" w:sz="0" w:space="0" w:color="auto"/>
          <w:insideH w:val="none" w:sz="0" w:space="0" w:color="auto"/>
        </w:tblBorders>
        <w:tblLook w:val="04A0" w:firstRow="1" w:lastRow="0" w:firstColumn="1" w:lastColumn="0" w:noHBand="0" w:noVBand="1"/>
      </w:tblPr>
      <w:tblGrid>
        <w:gridCol w:w="1644"/>
        <w:gridCol w:w="1235"/>
        <w:gridCol w:w="1512"/>
        <w:gridCol w:w="1512"/>
        <w:gridCol w:w="1556"/>
        <w:gridCol w:w="1557"/>
      </w:tblGrid>
      <w:tr w:rsidR="00E11E83" w14:paraId="1DECA4D2" w14:textId="77777777" w:rsidTr="000522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tcBorders>
              <w:top w:val="single" w:sz="18" w:space="0" w:color="000000" w:themeColor="text1"/>
              <w:bottom w:val="single" w:sz="18" w:space="0" w:color="000000" w:themeColor="text1"/>
            </w:tcBorders>
          </w:tcPr>
          <w:p w14:paraId="4371D907" w14:textId="58E8CA0B" w:rsidR="00E11E83" w:rsidRDefault="00E11E83">
            <w:r>
              <w:t>Temperature (</w:t>
            </w:r>
            <w:r>
              <w:rPr>
                <w:rFonts w:cstheme="minorHAnsi"/>
              </w:rPr>
              <w:t>°</w:t>
            </w:r>
            <w:r>
              <w:t>C)</w:t>
            </w:r>
          </w:p>
        </w:tc>
        <w:tc>
          <w:tcPr>
            <w:tcW w:w="1235" w:type="dxa"/>
            <w:tcBorders>
              <w:top w:val="single" w:sz="18" w:space="0" w:color="000000" w:themeColor="text1"/>
              <w:bottom w:val="single" w:sz="18" w:space="0" w:color="000000" w:themeColor="text1"/>
            </w:tcBorders>
          </w:tcPr>
          <w:p w14:paraId="32F682E8" w14:textId="25649E55" w:rsidR="00E11E83" w:rsidRDefault="00E11E83" w:rsidP="000522D7">
            <w:pPr>
              <w:jc w:val="center"/>
              <w:cnfStyle w:val="100000000000" w:firstRow="1" w:lastRow="0" w:firstColumn="0" w:lastColumn="0" w:oddVBand="0" w:evenVBand="0" w:oddHBand="0" w:evenHBand="0" w:firstRowFirstColumn="0" w:firstRowLastColumn="0" w:lastRowFirstColumn="0" w:lastRowLastColumn="0"/>
            </w:pPr>
            <w:r>
              <w:t>Sample size</w:t>
            </w:r>
          </w:p>
        </w:tc>
        <w:tc>
          <w:tcPr>
            <w:tcW w:w="1512" w:type="dxa"/>
            <w:tcBorders>
              <w:top w:val="single" w:sz="18" w:space="0" w:color="000000" w:themeColor="text1"/>
              <w:bottom w:val="single" w:sz="18" w:space="0" w:color="000000" w:themeColor="text1"/>
            </w:tcBorders>
          </w:tcPr>
          <w:p w14:paraId="019FC2E1" w14:textId="610D0A26" w:rsidR="00E11E83" w:rsidRDefault="00E11E83" w:rsidP="000522D7">
            <w:pPr>
              <w:jc w:val="center"/>
              <w:cnfStyle w:val="100000000000" w:firstRow="1" w:lastRow="0" w:firstColumn="0" w:lastColumn="0" w:oddVBand="0" w:evenVBand="0" w:oddHBand="0" w:evenHBand="0" w:firstRowFirstColumn="0" w:firstRowLastColumn="0" w:lastRowFirstColumn="0" w:lastRowLastColumn="0"/>
            </w:pPr>
            <w:r>
              <w:t>Mean pre-injection width (mm)</w:t>
            </w:r>
          </w:p>
        </w:tc>
        <w:tc>
          <w:tcPr>
            <w:tcW w:w="1512" w:type="dxa"/>
            <w:tcBorders>
              <w:top w:val="single" w:sz="18" w:space="0" w:color="000000" w:themeColor="text1"/>
              <w:bottom w:val="single" w:sz="18" w:space="0" w:color="000000" w:themeColor="text1"/>
            </w:tcBorders>
          </w:tcPr>
          <w:p w14:paraId="6903E357" w14:textId="0645F103" w:rsidR="00E11E83" w:rsidRDefault="00E11E83" w:rsidP="000522D7">
            <w:pPr>
              <w:jc w:val="center"/>
              <w:cnfStyle w:val="100000000000" w:firstRow="1" w:lastRow="0" w:firstColumn="0" w:lastColumn="0" w:oddVBand="0" w:evenVBand="0" w:oddHBand="0" w:evenHBand="0" w:firstRowFirstColumn="0" w:firstRowLastColumn="0" w:lastRowFirstColumn="0" w:lastRowLastColumn="0"/>
            </w:pPr>
            <w:r>
              <w:t>Mean post-injection width (mm)</w:t>
            </w:r>
          </w:p>
        </w:tc>
        <w:tc>
          <w:tcPr>
            <w:tcW w:w="1556" w:type="dxa"/>
            <w:tcBorders>
              <w:top w:val="single" w:sz="18" w:space="0" w:color="000000" w:themeColor="text1"/>
              <w:bottom w:val="single" w:sz="18" w:space="0" w:color="000000" w:themeColor="text1"/>
            </w:tcBorders>
          </w:tcPr>
          <w:p w14:paraId="553563E3" w14:textId="707423E4" w:rsidR="00E11E83" w:rsidRDefault="00E11E83" w:rsidP="000522D7">
            <w:pPr>
              <w:jc w:val="center"/>
              <w:cnfStyle w:val="100000000000" w:firstRow="1" w:lastRow="0" w:firstColumn="0" w:lastColumn="0" w:oddVBand="0" w:evenVBand="0" w:oddHBand="0" w:evenHBand="0" w:firstRowFirstColumn="0" w:firstRowLastColumn="0" w:lastRowFirstColumn="0" w:lastRowLastColumn="0"/>
            </w:pPr>
            <w:r>
              <w:rPr>
                <w:rFonts w:cstheme="minorHAnsi"/>
              </w:rPr>
              <w:t>Mean Δ</w:t>
            </w:r>
            <w:r>
              <w:t xml:space="preserve"> absolute difference</w:t>
            </w:r>
            <w:r w:rsidR="000522D7">
              <w:t xml:space="preserve"> (mm)</w:t>
            </w:r>
          </w:p>
        </w:tc>
        <w:tc>
          <w:tcPr>
            <w:tcW w:w="1557" w:type="dxa"/>
            <w:tcBorders>
              <w:top w:val="single" w:sz="18" w:space="0" w:color="000000" w:themeColor="text1"/>
              <w:bottom w:val="single" w:sz="18" w:space="0" w:color="000000" w:themeColor="text1"/>
            </w:tcBorders>
          </w:tcPr>
          <w:p w14:paraId="7C45D440" w14:textId="3882C9FF" w:rsidR="00E11E83" w:rsidRDefault="00E11E83" w:rsidP="000522D7">
            <w:pPr>
              <w:jc w:val="center"/>
              <w:cnfStyle w:val="100000000000" w:firstRow="1" w:lastRow="0" w:firstColumn="0" w:lastColumn="0" w:oddVBand="0" w:evenVBand="0" w:oddHBand="0" w:evenHBand="0" w:firstRowFirstColumn="0" w:firstRowLastColumn="0" w:lastRowFirstColumn="0" w:lastRowLastColumn="0"/>
            </w:pPr>
            <w:r>
              <w:rPr>
                <w:rFonts w:cstheme="minorHAnsi"/>
              </w:rPr>
              <w:t xml:space="preserve">Mean </w:t>
            </w:r>
            <w:r>
              <w:rPr>
                <w:rFonts w:cstheme="minorHAnsi"/>
              </w:rPr>
              <w:t>Δ</w:t>
            </w:r>
            <w:r>
              <w:rPr>
                <w:rFonts w:cstheme="minorHAnsi"/>
              </w:rPr>
              <w:t xml:space="preserve"> percent difference</w:t>
            </w:r>
            <w:r w:rsidR="000522D7">
              <w:rPr>
                <w:rFonts w:cstheme="minorHAnsi"/>
              </w:rPr>
              <w:t xml:space="preserve"> (%)</w:t>
            </w:r>
          </w:p>
        </w:tc>
      </w:tr>
      <w:tr w:rsidR="00E11E83" w14:paraId="22A249E2" w14:textId="77777777" w:rsidTr="000522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tcBorders>
              <w:top w:val="single" w:sz="18" w:space="0" w:color="000000" w:themeColor="text1"/>
            </w:tcBorders>
          </w:tcPr>
          <w:p w14:paraId="1A7BD2A6" w14:textId="41C92548" w:rsidR="00E11E83" w:rsidRDefault="00E11E83">
            <w:r>
              <w:t>27</w:t>
            </w:r>
          </w:p>
        </w:tc>
        <w:tc>
          <w:tcPr>
            <w:tcW w:w="1235" w:type="dxa"/>
            <w:tcBorders>
              <w:top w:val="single" w:sz="18" w:space="0" w:color="000000" w:themeColor="text1"/>
            </w:tcBorders>
          </w:tcPr>
          <w:p w14:paraId="0B9197DC" w14:textId="7157D4BA" w:rsidR="00E11E83" w:rsidRDefault="00E11E83" w:rsidP="000522D7">
            <w:pPr>
              <w:jc w:val="right"/>
              <w:cnfStyle w:val="000000100000" w:firstRow="0" w:lastRow="0" w:firstColumn="0" w:lastColumn="0" w:oddVBand="0" w:evenVBand="0" w:oddHBand="1" w:evenHBand="0" w:firstRowFirstColumn="0" w:firstRowLastColumn="0" w:lastRowFirstColumn="0" w:lastRowLastColumn="0"/>
            </w:pPr>
            <w:r>
              <w:t>52</w:t>
            </w:r>
          </w:p>
        </w:tc>
        <w:tc>
          <w:tcPr>
            <w:tcW w:w="1512" w:type="dxa"/>
            <w:tcBorders>
              <w:top w:val="single" w:sz="18" w:space="0" w:color="000000" w:themeColor="text1"/>
            </w:tcBorders>
          </w:tcPr>
          <w:p w14:paraId="1B4CF34A" w14:textId="026C59C9" w:rsidR="00E11E83" w:rsidRDefault="00E11E83" w:rsidP="000522D7">
            <w:pPr>
              <w:jc w:val="right"/>
              <w:cnfStyle w:val="000000100000" w:firstRow="0" w:lastRow="0" w:firstColumn="0" w:lastColumn="0" w:oddVBand="0" w:evenVBand="0" w:oddHBand="1" w:evenHBand="0" w:firstRowFirstColumn="0" w:firstRowLastColumn="0" w:lastRowFirstColumn="0" w:lastRowLastColumn="0"/>
            </w:pPr>
            <w:r>
              <w:t>4.24</w:t>
            </w:r>
          </w:p>
        </w:tc>
        <w:tc>
          <w:tcPr>
            <w:tcW w:w="1512" w:type="dxa"/>
            <w:tcBorders>
              <w:top w:val="single" w:sz="18" w:space="0" w:color="000000" w:themeColor="text1"/>
            </w:tcBorders>
          </w:tcPr>
          <w:p w14:paraId="721E0E35" w14:textId="1FB863A3" w:rsidR="00E11E83" w:rsidRDefault="000522D7" w:rsidP="000522D7">
            <w:pPr>
              <w:jc w:val="right"/>
              <w:cnfStyle w:val="000000100000" w:firstRow="0" w:lastRow="0" w:firstColumn="0" w:lastColumn="0" w:oddVBand="0" w:evenVBand="0" w:oddHBand="1" w:evenHBand="0" w:firstRowFirstColumn="0" w:firstRowLastColumn="0" w:lastRowFirstColumn="0" w:lastRowLastColumn="0"/>
            </w:pPr>
            <w:r>
              <w:t>4.49</w:t>
            </w:r>
          </w:p>
        </w:tc>
        <w:tc>
          <w:tcPr>
            <w:tcW w:w="1556" w:type="dxa"/>
            <w:tcBorders>
              <w:top w:val="single" w:sz="18" w:space="0" w:color="000000" w:themeColor="text1"/>
            </w:tcBorders>
          </w:tcPr>
          <w:p w14:paraId="06140D87" w14:textId="7A706986" w:rsidR="00E11E83" w:rsidRDefault="000522D7" w:rsidP="000522D7">
            <w:pPr>
              <w:jc w:val="right"/>
              <w:cnfStyle w:val="000000100000" w:firstRow="0" w:lastRow="0" w:firstColumn="0" w:lastColumn="0" w:oddVBand="0" w:evenVBand="0" w:oddHBand="1" w:evenHBand="0" w:firstRowFirstColumn="0" w:firstRowLastColumn="0" w:lastRowFirstColumn="0" w:lastRowLastColumn="0"/>
            </w:pPr>
            <w:r>
              <w:t>0.25</w:t>
            </w:r>
          </w:p>
        </w:tc>
        <w:tc>
          <w:tcPr>
            <w:tcW w:w="1557" w:type="dxa"/>
            <w:tcBorders>
              <w:top w:val="single" w:sz="18" w:space="0" w:color="000000" w:themeColor="text1"/>
            </w:tcBorders>
          </w:tcPr>
          <w:p w14:paraId="4A57BAB3" w14:textId="37DE018F" w:rsidR="00E11E83" w:rsidRDefault="000522D7" w:rsidP="000522D7">
            <w:pPr>
              <w:jc w:val="right"/>
              <w:cnfStyle w:val="000000100000" w:firstRow="0" w:lastRow="0" w:firstColumn="0" w:lastColumn="0" w:oddVBand="0" w:evenVBand="0" w:oddHBand="1" w:evenHBand="0" w:firstRowFirstColumn="0" w:firstRowLastColumn="0" w:lastRowFirstColumn="0" w:lastRowLastColumn="0"/>
            </w:pPr>
            <w:r>
              <w:t>5.87</w:t>
            </w:r>
          </w:p>
        </w:tc>
      </w:tr>
      <w:tr w:rsidR="00E11E83" w14:paraId="1EFFE2A2" w14:textId="77777777" w:rsidTr="000522D7">
        <w:tc>
          <w:tcPr>
            <w:cnfStyle w:val="001000000000" w:firstRow="0" w:lastRow="0" w:firstColumn="1" w:lastColumn="0" w:oddVBand="0" w:evenVBand="0" w:oddHBand="0" w:evenHBand="0" w:firstRowFirstColumn="0" w:firstRowLastColumn="0" w:lastRowFirstColumn="0" w:lastRowLastColumn="0"/>
            <w:tcW w:w="1644" w:type="dxa"/>
          </w:tcPr>
          <w:p w14:paraId="46F9294F" w14:textId="1C6870B9" w:rsidR="00E11E83" w:rsidRDefault="00E11E83">
            <w:r>
              <w:t>28.5</w:t>
            </w:r>
          </w:p>
        </w:tc>
        <w:tc>
          <w:tcPr>
            <w:tcW w:w="1235" w:type="dxa"/>
          </w:tcPr>
          <w:p w14:paraId="7F2D0E36" w14:textId="03F44835" w:rsidR="00E11E83" w:rsidRDefault="00E11E83" w:rsidP="000522D7">
            <w:pPr>
              <w:jc w:val="right"/>
              <w:cnfStyle w:val="000000000000" w:firstRow="0" w:lastRow="0" w:firstColumn="0" w:lastColumn="0" w:oddVBand="0" w:evenVBand="0" w:oddHBand="0" w:evenHBand="0" w:firstRowFirstColumn="0" w:firstRowLastColumn="0" w:lastRowFirstColumn="0" w:lastRowLastColumn="0"/>
            </w:pPr>
            <w:r>
              <w:t>50</w:t>
            </w:r>
          </w:p>
        </w:tc>
        <w:tc>
          <w:tcPr>
            <w:tcW w:w="1512" w:type="dxa"/>
          </w:tcPr>
          <w:p w14:paraId="5FB29D1B" w14:textId="5371279B" w:rsidR="00E11E83" w:rsidRDefault="00E11E83" w:rsidP="000522D7">
            <w:pPr>
              <w:jc w:val="right"/>
              <w:cnfStyle w:val="000000000000" w:firstRow="0" w:lastRow="0" w:firstColumn="0" w:lastColumn="0" w:oddVBand="0" w:evenVBand="0" w:oddHBand="0" w:evenHBand="0" w:firstRowFirstColumn="0" w:firstRowLastColumn="0" w:lastRowFirstColumn="0" w:lastRowLastColumn="0"/>
            </w:pPr>
            <w:r>
              <w:t>4.34</w:t>
            </w:r>
          </w:p>
        </w:tc>
        <w:tc>
          <w:tcPr>
            <w:tcW w:w="1512" w:type="dxa"/>
          </w:tcPr>
          <w:p w14:paraId="6241F3BE" w14:textId="5C5615AB" w:rsidR="00E11E83" w:rsidRDefault="000522D7" w:rsidP="000522D7">
            <w:pPr>
              <w:jc w:val="right"/>
              <w:cnfStyle w:val="000000000000" w:firstRow="0" w:lastRow="0" w:firstColumn="0" w:lastColumn="0" w:oddVBand="0" w:evenVBand="0" w:oddHBand="0" w:evenHBand="0" w:firstRowFirstColumn="0" w:firstRowLastColumn="0" w:lastRowFirstColumn="0" w:lastRowLastColumn="0"/>
            </w:pPr>
            <w:r>
              <w:t>4.67</w:t>
            </w:r>
          </w:p>
        </w:tc>
        <w:tc>
          <w:tcPr>
            <w:tcW w:w="1556" w:type="dxa"/>
          </w:tcPr>
          <w:p w14:paraId="17309F2F" w14:textId="2C39F2AD" w:rsidR="00E11E83" w:rsidRDefault="000522D7" w:rsidP="000522D7">
            <w:pPr>
              <w:jc w:val="right"/>
              <w:cnfStyle w:val="000000000000" w:firstRow="0" w:lastRow="0" w:firstColumn="0" w:lastColumn="0" w:oddVBand="0" w:evenVBand="0" w:oddHBand="0" w:evenHBand="0" w:firstRowFirstColumn="0" w:firstRowLastColumn="0" w:lastRowFirstColumn="0" w:lastRowLastColumn="0"/>
            </w:pPr>
            <w:r>
              <w:t>0.34</w:t>
            </w:r>
          </w:p>
        </w:tc>
        <w:tc>
          <w:tcPr>
            <w:tcW w:w="1557" w:type="dxa"/>
          </w:tcPr>
          <w:p w14:paraId="3F579BC6" w14:textId="41A6EBBE" w:rsidR="00E11E83" w:rsidRDefault="000522D7" w:rsidP="000522D7">
            <w:pPr>
              <w:jc w:val="right"/>
              <w:cnfStyle w:val="000000000000" w:firstRow="0" w:lastRow="0" w:firstColumn="0" w:lastColumn="0" w:oddVBand="0" w:evenVBand="0" w:oddHBand="0" w:evenHBand="0" w:firstRowFirstColumn="0" w:firstRowLastColumn="0" w:lastRowFirstColumn="0" w:lastRowLastColumn="0"/>
            </w:pPr>
            <w:r>
              <w:t>7.93</w:t>
            </w:r>
          </w:p>
        </w:tc>
      </w:tr>
      <w:tr w:rsidR="00E11E83" w14:paraId="0806BC10" w14:textId="77777777" w:rsidTr="000522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tcPr>
          <w:p w14:paraId="59A62350" w14:textId="032817E1" w:rsidR="00E11E83" w:rsidRDefault="00E11E83">
            <w:r>
              <w:t>30</w:t>
            </w:r>
          </w:p>
        </w:tc>
        <w:tc>
          <w:tcPr>
            <w:tcW w:w="1235" w:type="dxa"/>
          </w:tcPr>
          <w:p w14:paraId="22C7A51B" w14:textId="4658D5E9" w:rsidR="00E11E83" w:rsidRDefault="00E11E83" w:rsidP="000522D7">
            <w:pPr>
              <w:jc w:val="right"/>
              <w:cnfStyle w:val="000000100000" w:firstRow="0" w:lastRow="0" w:firstColumn="0" w:lastColumn="0" w:oddVBand="0" w:evenVBand="0" w:oddHBand="1" w:evenHBand="0" w:firstRowFirstColumn="0" w:firstRowLastColumn="0" w:lastRowFirstColumn="0" w:lastRowLastColumn="0"/>
            </w:pPr>
            <w:r>
              <w:t>43</w:t>
            </w:r>
          </w:p>
        </w:tc>
        <w:tc>
          <w:tcPr>
            <w:tcW w:w="1512" w:type="dxa"/>
          </w:tcPr>
          <w:p w14:paraId="55A59252" w14:textId="3029B218" w:rsidR="00E11E83" w:rsidRDefault="00E11E83" w:rsidP="000522D7">
            <w:pPr>
              <w:jc w:val="right"/>
              <w:cnfStyle w:val="000000100000" w:firstRow="0" w:lastRow="0" w:firstColumn="0" w:lastColumn="0" w:oddVBand="0" w:evenVBand="0" w:oddHBand="1" w:evenHBand="0" w:firstRowFirstColumn="0" w:firstRowLastColumn="0" w:lastRowFirstColumn="0" w:lastRowLastColumn="0"/>
            </w:pPr>
            <w:r>
              <w:t>4.59</w:t>
            </w:r>
          </w:p>
        </w:tc>
        <w:tc>
          <w:tcPr>
            <w:tcW w:w="1512" w:type="dxa"/>
          </w:tcPr>
          <w:p w14:paraId="4BEB40F6" w14:textId="60115551" w:rsidR="00E11E83" w:rsidRDefault="000522D7" w:rsidP="000522D7">
            <w:pPr>
              <w:jc w:val="right"/>
              <w:cnfStyle w:val="000000100000" w:firstRow="0" w:lastRow="0" w:firstColumn="0" w:lastColumn="0" w:oddVBand="0" w:evenVBand="0" w:oddHBand="1" w:evenHBand="0" w:firstRowFirstColumn="0" w:firstRowLastColumn="0" w:lastRowFirstColumn="0" w:lastRowLastColumn="0"/>
            </w:pPr>
            <w:r>
              <w:t>4.75</w:t>
            </w:r>
          </w:p>
        </w:tc>
        <w:tc>
          <w:tcPr>
            <w:tcW w:w="1556" w:type="dxa"/>
          </w:tcPr>
          <w:p w14:paraId="1B27E9CC" w14:textId="524337DE" w:rsidR="00E11E83" w:rsidRDefault="000522D7" w:rsidP="000522D7">
            <w:pPr>
              <w:jc w:val="right"/>
              <w:cnfStyle w:val="000000100000" w:firstRow="0" w:lastRow="0" w:firstColumn="0" w:lastColumn="0" w:oddVBand="0" w:evenVBand="0" w:oddHBand="1" w:evenHBand="0" w:firstRowFirstColumn="0" w:firstRowLastColumn="0" w:lastRowFirstColumn="0" w:lastRowLastColumn="0"/>
            </w:pPr>
            <w:r>
              <w:t>0.16</w:t>
            </w:r>
          </w:p>
        </w:tc>
        <w:tc>
          <w:tcPr>
            <w:tcW w:w="1557" w:type="dxa"/>
          </w:tcPr>
          <w:p w14:paraId="6540F513" w14:textId="553AA424" w:rsidR="00E11E83" w:rsidRDefault="000522D7" w:rsidP="000522D7">
            <w:pPr>
              <w:jc w:val="right"/>
              <w:cnfStyle w:val="000000100000" w:firstRow="0" w:lastRow="0" w:firstColumn="0" w:lastColumn="0" w:oddVBand="0" w:evenVBand="0" w:oddHBand="1" w:evenHBand="0" w:firstRowFirstColumn="0" w:firstRowLastColumn="0" w:lastRowFirstColumn="0" w:lastRowLastColumn="0"/>
            </w:pPr>
            <w:r>
              <w:t>3.75</w:t>
            </w:r>
          </w:p>
        </w:tc>
      </w:tr>
      <w:tr w:rsidR="00E11E83" w14:paraId="0E3A46F3" w14:textId="77777777" w:rsidTr="000522D7">
        <w:tc>
          <w:tcPr>
            <w:cnfStyle w:val="001000000000" w:firstRow="0" w:lastRow="0" w:firstColumn="1" w:lastColumn="0" w:oddVBand="0" w:evenVBand="0" w:oddHBand="0" w:evenHBand="0" w:firstRowFirstColumn="0" w:firstRowLastColumn="0" w:lastRowFirstColumn="0" w:lastRowLastColumn="0"/>
            <w:tcW w:w="1644" w:type="dxa"/>
            <w:tcBorders>
              <w:bottom w:val="single" w:sz="18" w:space="0" w:color="000000" w:themeColor="text1"/>
            </w:tcBorders>
          </w:tcPr>
          <w:p w14:paraId="05696358" w14:textId="05870AC4" w:rsidR="00E11E83" w:rsidRDefault="00E11E83">
            <w:r>
              <w:t>31.5</w:t>
            </w:r>
          </w:p>
        </w:tc>
        <w:tc>
          <w:tcPr>
            <w:tcW w:w="1235" w:type="dxa"/>
            <w:tcBorders>
              <w:bottom w:val="single" w:sz="18" w:space="0" w:color="000000" w:themeColor="text1"/>
            </w:tcBorders>
          </w:tcPr>
          <w:p w14:paraId="40377738" w14:textId="4ECB5522" w:rsidR="00E11E83" w:rsidRDefault="00E11E83" w:rsidP="000522D7">
            <w:pPr>
              <w:jc w:val="right"/>
              <w:cnfStyle w:val="000000000000" w:firstRow="0" w:lastRow="0" w:firstColumn="0" w:lastColumn="0" w:oddVBand="0" w:evenVBand="0" w:oddHBand="0" w:evenHBand="0" w:firstRowFirstColumn="0" w:firstRowLastColumn="0" w:lastRowFirstColumn="0" w:lastRowLastColumn="0"/>
            </w:pPr>
            <w:r>
              <w:t>39</w:t>
            </w:r>
          </w:p>
        </w:tc>
        <w:tc>
          <w:tcPr>
            <w:tcW w:w="1512" w:type="dxa"/>
            <w:tcBorders>
              <w:bottom w:val="single" w:sz="18" w:space="0" w:color="000000" w:themeColor="text1"/>
            </w:tcBorders>
          </w:tcPr>
          <w:p w14:paraId="3714DCEB" w14:textId="2B22FB0A" w:rsidR="00E11E83" w:rsidRDefault="00E11E83" w:rsidP="000522D7">
            <w:pPr>
              <w:jc w:val="right"/>
              <w:cnfStyle w:val="000000000000" w:firstRow="0" w:lastRow="0" w:firstColumn="0" w:lastColumn="0" w:oddVBand="0" w:evenVBand="0" w:oddHBand="0" w:evenHBand="0" w:firstRowFirstColumn="0" w:firstRowLastColumn="0" w:lastRowFirstColumn="0" w:lastRowLastColumn="0"/>
            </w:pPr>
            <w:r>
              <w:t>4.53</w:t>
            </w:r>
          </w:p>
        </w:tc>
        <w:tc>
          <w:tcPr>
            <w:tcW w:w="1512" w:type="dxa"/>
            <w:tcBorders>
              <w:bottom w:val="single" w:sz="18" w:space="0" w:color="000000" w:themeColor="text1"/>
            </w:tcBorders>
          </w:tcPr>
          <w:p w14:paraId="366BF4D2" w14:textId="5ACD326D" w:rsidR="00E11E83" w:rsidRDefault="000522D7" w:rsidP="000522D7">
            <w:pPr>
              <w:jc w:val="right"/>
              <w:cnfStyle w:val="000000000000" w:firstRow="0" w:lastRow="0" w:firstColumn="0" w:lastColumn="0" w:oddVBand="0" w:evenVBand="0" w:oddHBand="0" w:evenHBand="0" w:firstRowFirstColumn="0" w:firstRowLastColumn="0" w:lastRowFirstColumn="0" w:lastRowLastColumn="0"/>
            </w:pPr>
            <w:r>
              <w:t>4.59</w:t>
            </w:r>
          </w:p>
        </w:tc>
        <w:tc>
          <w:tcPr>
            <w:tcW w:w="1556" w:type="dxa"/>
            <w:tcBorders>
              <w:bottom w:val="single" w:sz="18" w:space="0" w:color="000000" w:themeColor="text1"/>
            </w:tcBorders>
          </w:tcPr>
          <w:p w14:paraId="669BE0C6" w14:textId="0924B9F8" w:rsidR="00E11E83" w:rsidRDefault="000522D7" w:rsidP="000522D7">
            <w:pPr>
              <w:jc w:val="right"/>
              <w:cnfStyle w:val="000000000000" w:firstRow="0" w:lastRow="0" w:firstColumn="0" w:lastColumn="0" w:oddVBand="0" w:evenVBand="0" w:oddHBand="0" w:evenHBand="0" w:firstRowFirstColumn="0" w:firstRowLastColumn="0" w:lastRowFirstColumn="0" w:lastRowLastColumn="0"/>
            </w:pPr>
            <w:r>
              <w:t>0.055</w:t>
            </w:r>
          </w:p>
        </w:tc>
        <w:tc>
          <w:tcPr>
            <w:tcW w:w="1557" w:type="dxa"/>
            <w:tcBorders>
              <w:bottom w:val="single" w:sz="18" w:space="0" w:color="000000" w:themeColor="text1"/>
            </w:tcBorders>
          </w:tcPr>
          <w:p w14:paraId="050AE686" w14:textId="53232E75" w:rsidR="00E11E83" w:rsidRDefault="000522D7" w:rsidP="000522D7">
            <w:pPr>
              <w:jc w:val="right"/>
              <w:cnfStyle w:val="000000000000" w:firstRow="0" w:lastRow="0" w:firstColumn="0" w:lastColumn="0" w:oddVBand="0" w:evenVBand="0" w:oddHBand="0" w:evenHBand="0" w:firstRowFirstColumn="0" w:firstRowLastColumn="0" w:lastRowFirstColumn="0" w:lastRowLastColumn="0"/>
            </w:pPr>
            <w:r>
              <w:t>1.28</w:t>
            </w:r>
          </w:p>
        </w:tc>
      </w:tr>
    </w:tbl>
    <w:p w14:paraId="4BE4E914" w14:textId="77777777" w:rsidR="00994911" w:rsidRDefault="00994911"/>
    <w:sectPr w:rsidR="009949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1E83"/>
    <w:rsid w:val="000522D7"/>
    <w:rsid w:val="00376360"/>
    <w:rsid w:val="00994911"/>
    <w:rsid w:val="009E6643"/>
    <w:rsid w:val="00A90DE4"/>
    <w:rsid w:val="00B43852"/>
    <w:rsid w:val="00E11E8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138B1"/>
  <w15:chartTrackingRefBased/>
  <w15:docId w15:val="{7BC8518A-BBD5-40A3-B988-DB30D8B9E7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11E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2">
    <w:name w:val="List Table 2"/>
    <w:basedOn w:val="TableNormal"/>
    <w:uiPriority w:val="47"/>
    <w:rsid w:val="000522D7"/>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Caption">
    <w:name w:val="caption"/>
    <w:basedOn w:val="Normal"/>
    <w:next w:val="Normal"/>
    <w:uiPriority w:val="35"/>
    <w:unhideWhenUsed/>
    <w:qFormat/>
    <w:rsid w:val="000522D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99</Words>
  <Characters>566</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James Cook University</Company>
  <LinksUpToDate>false</LinksUpToDate>
  <CharactersWithSpaces>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Elliott Schmidt</dc:creator>
  <cp:keywords/>
  <dc:description/>
  <cp:lastModifiedBy>Elliott Schmidt</cp:lastModifiedBy>
  <cp:revision>1</cp:revision>
  <dcterms:created xsi:type="dcterms:W3CDTF">2024-04-24T00:44:00Z</dcterms:created>
  <dcterms:modified xsi:type="dcterms:W3CDTF">2024-04-24T02:11:00Z</dcterms:modified>
</cp:coreProperties>
</file>