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1401"/>
      </w:tblGrid>
      <w:tr w:rsidR="00E96626" w14:paraId="34F0DB8A" w14:textId="77777777" w:rsidTr="00ED27CD">
        <w:tc>
          <w:tcPr>
            <w:tcW w:w="2547" w:type="dxa"/>
            <w:tcBorders>
              <w:top w:val="single" w:sz="18" w:space="0" w:color="auto"/>
              <w:bottom w:val="single" w:sz="8" w:space="0" w:color="auto"/>
            </w:tcBorders>
          </w:tcPr>
          <w:p w14:paraId="6F8DCB75" w14:textId="71324D27" w:rsidR="00E96626" w:rsidRPr="000B57C0" w:rsidRDefault="00E96626">
            <w:pPr>
              <w:rPr>
                <w:b/>
                <w:bCs/>
                <w:sz w:val="24"/>
                <w:szCs w:val="24"/>
              </w:rPr>
            </w:pPr>
            <w:r w:rsidRPr="000B57C0">
              <w:rPr>
                <w:b/>
                <w:bCs/>
                <w:sz w:val="24"/>
                <w:szCs w:val="24"/>
              </w:rPr>
              <w:t>Trait</w:t>
            </w:r>
          </w:p>
        </w:tc>
        <w:tc>
          <w:tcPr>
            <w:tcW w:w="11401" w:type="dxa"/>
            <w:tcBorders>
              <w:top w:val="single" w:sz="18" w:space="0" w:color="auto"/>
              <w:bottom w:val="single" w:sz="8" w:space="0" w:color="auto"/>
            </w:tcBorders>
          </w:tcPr>
          <w:p w14:paraId="2DC335BA" w14:textId="71A70CBB" w:rsidR="00E96626" w:rsidRPr="000B57C0" w:rsidRDefault="00E96626">
            <w:pPr>
              <w:rPr>
                <w:b/>
                <w:bCs/>
                <w:sz w:val="24"/>
                <w:szCs w:val="24"/>
              </w:rPr>
            </w:pPr>
            <w:r w:rsidRPr="000B57C0">
              <w:rPr>
                <w:b/>
                <w:bCs/>
                <w:sz w:val="24"/>
                <w:szCs w:val="24"/>
              </w:rPr>
              <w:t>Justification</w:t>
            </w:r>
          </w:p>
        </w:tc>
      </w:tr>
      <w:tr w:rsidR="00E96626" w:rsidRPr="00475C67" w14:paraId="243E141D" w14:textId="77777777" w:rsidTr="00475C67">
        <w:tc>
          <w:tcPr>
            <w:tcW w:w="2547" w:type="dxa"/>
            <w:tcBorders>
              <w:top w:val="single" w:sz="8" w:space="0" w:color="auto"/>
            </w:tcBorders>
            <w:shd w:val="clear" w:color="auto" w:fill="A6A6A6" w:themeFill="background1" w:themeFillShade="A6"/>
          </w:tcPr>
          <w:p w14:paraId="1723151A" w14:textId="55553359" w:rsidR="00E96626" w:rsidRPr="00475C67" w:rsidRDefault="00E96626">
            <w:pPr>
              <w:rPr>
                <w:b/>
                <w:bCs/>
              </w:rPr>
            </w:pPr>
            <w:r w:rsidRPr="00475C67">
              <w:rPr>
                <w:b/>
                <w:bCs/>
              </w:rPr>
              <w:t>Morphology (standard length, mass)</w:t>
            </w:r>
          </w:p>
        </w:tc>
        <w:tc>
          <w:tcPr>
            <w:tcW w:w="11401" w:type="dxa"/>
            <w:tcBorders>
              <w:top w:val="single" w:sz="8" w:space="0" w:color="auto"/>
            </w:tcBorders>
            <w:shd w:val="clear" w:color="auto" w:fill="A6A6A6" w:themeFill="background1" w:themeFillShade="A6"/>
          </w:tcPr>
          <w:p w14:paraId="58828E2A" w14:textId="768A23C2" w:rsidR="00E96626" w:rsidRPr="00475C67" w:rsidRDefault="00D8434C" w:rsidP="00176292">
            <w:pPr>
              <w:jc w:val="both"/>
              <w:rPr>
                <w:rFonts w:cs="Calibri"/>
              </w:rPr>
            </w:pPr>
            <w:r w:rsidRPr="00475C67">
              <w:rPr>
                <w:rFonts w:cs="Calibri"/>
              </w:rPr>
              <w:t>Morphological</w:t>
            </w:r>
            <w:r w:rsidR="008A2F14" w:rsidRPr="00475C67">
              <w:rPr>
                <w:rFonts w:cs="Calibri"/>
              </w:rPr>
              <w:t xml:space="preserve"> metri</w:t>
            </w:r>
            <w:r w:rsidRPr="00475C67">
              <w:rPr>
                <w:rFonts w:cs="Calibri"/>
              </w:rPr>
              <w:t>cs</w:t>
            </w:r>
            <w:r w:rsidR="00511FF6" w:rsidRPr="00475C67">
              <w:rPr>
                <w:rFonts w:cs="Calibri"/>
              </w:rPr>
              <w:t>, such as standard length and mass</w:t>
            </w:r>
            <w:r w:rsidR="00473BB9" w:rsidRPr="00475C67">
              <w:rPr>
                <w:rFonts w:cs="Calibri"/>
              </w:rPr>
              <w:t>,</w:t>
            </w:r>
            <w:r w:rsidR="00E049DB" w:rsidRPr="00475C67">
              <w:rPr>
                <w:rFonts w:cs="Calibri"/>
              </w:rPr>
              <w:t xml:space="preserve"> </w:t>
            </w:r>
            <w:r w:rsidR="00EA6DFE" w:rsidRPr="00475C67">
              <w:rPr>
                <w:rFonts w:cs="Calibri"/>
              </w:rPr>
              <w:t>can directly impact energetic requirements, thermoregulation, and life history traits</w:t>
            </w:r>
            <w:r w:rsidR="00CD0546" w:rsidRPr="00475C67">
              <w:rPr>
                <w:rFonts w:cs="Calibri"/>
              </w:rPr>
              <w:t>, and therefore,</w:t>
            </w:r>
            <w:r w:rsidR="00E049DB" w:rsidRPr="00475C67">
              <w:rPr>
                <w:rFonts w:cs="Calibri"/>
              </w:rPr>
              <w:t xml:space="preserve"> reveal evolutionary trends that are likely to be </w:t>
            </w:r>
            <w:r w:rsidR="00866BCA" w:rsidRPr="00475C67">
              <w:rPr>
                <w:rFonts w:cs="Calibri"/>
              </w:rPr>
              <w:t>beneficial</w:t>
            </w:r>
            <w:r w:rsidR="00E049DB" w:rsidRPr="00475C67">
              <w:rPr>
                <w:rFonts w:cs="Calibri"/>
              </w:rPr>
              <w:t xml:space="preserve"> under warmer conditions </w:t>
            </w:r>
            <w:r w:rsidR="00866BCA" w:rsidRPr="00475C67">
              <w:rPr>
                <w:rFonts w:cs="Calibri"/>
              </w:rPr>
              <w:fldChar w:fldCharType="begin" w:fldLock="1"/>
            </w:r>
            <w:r w:rsidR="00DC7F94">
              <w:rPr>
                <w:rFonts w:cs="Calibri"/>
              </w:rPr>
              <w:instrText>ADDIN CSL_CITATION {"citationItems":[{"id":"ITEM-1","itemData":{"DOI":"10.1111/brv.12653","ISSN":"1469185X","abstract":"Body size is central to ecology at levels ranging from organismal fecundity to the functioning of communities and ecosystems. Understanding temperature-induced variations in body size is therefore of fundamental and applied interest, yet thermal responses of body size remain poorly understood. Temperature–size (T–S) responses tend to be negative (e.g. smaller body size at maturity when reared under warmer conditions), which has been termed the temperature–size rule (TSR). Explanations emphasize either physiological mechanisms (e.g. limitation of oxygen or other resources and temperature-dependent resource allocation) or the adaptive value of either a large body size (e.g. to increase fecundity) or a short development time (e.g. in response to increased mortality in warm conditions). Oxygen limitation could act as a proximate factor, but we suggest it more likely constitutes a selective pressure to reduce body size in the warm: risks of oxygen limitation will be reduced as a consequence of evolution eliminating genotypes more prone to oxygen limitation. Thus, T–S responses can be explained by the ‘Ghost of Oxygen-limitation Past’, whereby the resulting (evolved) T–S responses safeguard sufficient oxygen provisioning under warmer conditions, reflecting the balance between oxygen supply and demands experienced by ancestors. T–S responses vary considerably across species, but some of this variation is predictable. Body-size reductions with warming are stronger in aquatic taxa than in terrestrial taxa. We discuss whether larger aquatic taxa may especially face greater risks of oxygen limitation as they grow, which may be manifested at the cellular level, the level of the gills and the whole-organism level. In contrast to aquatic species, terrestrial ectotherms may be less prone to oxygen limitation and prioritize early maturity over large size, likely because overwintering is more challenging, with concomitant stronger end-of season time constraints. Mechanisms related to time constraints and oxygen limitation are not mutually exclusive explanations for the TSR. Rather, these and other mechanisms may operate in tandem. But their relative importance may vary depending on the ecology and physiology of the species in question, explaining not only the general tendency of negative T–S responses but also variation in T–S responses among animals differing in mode of respiration (e.g. water breathers versus air breathers), genome size, voltinism and thermally associ…","author":[{"dropping-particle":"","family":"Verberk","given":"Wilco C.E.P.","non-dropping-particle":"","parse-names":false,"suffix":""},{"dropping-particle":"","family":"Atkinson","given":"David","non-dropping-particle":"","parse-names":false,"suffix":""},{"dropping-particle":"","family":"Hoefnagel","given":"K. Natan","non-dropping-particle":"","parse-names":false,"suffix":""},{"dropping-particle":"","family":"Hirst","given":"Andrew G.","non-dropping-particle":"","parse-names":false,"suffix":""},{"dropping-particle":"","family":"Horne","given":"Curtis R.","non-dropping-particle":"","parse-names":false,"suffix":""},{"dropping-particle":"","family":"Siepel","given":"Henk","non-dropping-particle":"","parse-names":false,"suffix":""}],"container-title":"Biological Reviews","id":"ITEM-1","issue":"1","issued":{"date-parts":[["2021"]]},"page":"247-268","title":"Shrinking body sizes in response to warming: explanations for the temperature–size rule with special emphasis on the role of oxygen","type":"article-journal","volume":"96"},"uris":["http://www.mendeley.com/documents/?uuid=008576f6-e89d-48e5-bbc3-b7978384ac8b"]},{"id":"ITEM-2","itemData":{"DOI":"10.1016/j.tree.2011.03.005","ISSN":"01695347","PMID":"21470708","abstract":"A recently documented correlate of anthropogenic climate change involves reductions in body size, the nature and scale of the pattern leading to suggestions of a third universal response to climate warming. Because body size affects thermoregulation and energetics, changing body size has implications for resilience in the face of climate change. A review of recent studies shows heterogeneity in the magnitude and direction of size responses, exposing a need for large-scale phylogenetically controlled comparative analyses of temporal size change. Integrative analyses of museum data combined with new theoretical models of size-dependent thermoregulatory and metabolic responses will increase both understanding of the underlying mechanisms and physiological consequences of size shifts and, therefore, the ability to predict the sensitivities of species to climate change. © 2011 Elsevier Ltd.","author":[{"dropping-particle":"","family":"Gardner","given":"Janet L.","non-dropping-particle":"","parse-names":false,"suffix":""},{"dropping-particle":"","family":"Peters","given":"Anne","non-dropping-particle":"","parse-names":false,"suffix":""},{"dropping-particle":"","family":"Kearney","given":"Michael R.","non-dropping-particle":"","parse-names":false,"suffix":""},{"dropping-particle":"","family":"Joseph","given":"Leo","non-dropping-particle":"","parse-names":false,"suffix":""},{"dropping-particle":"","family":"Heinsohn","given":"Robert","non-dropping-particle":"","parse-names":false,"suffix":""}],"container-title":"Trends in Ecology and Evolution","id":"ITEM-2","issue":"6","issued":{"date-parts":[["2011"]]},"page":"285-291","title":"Declining body size: A third universal response to warming?","type":"article-journal","volume":"26"},"uris":["http://www.mendeley.com/documents/?uuid=9fddbbaf-c9ff-4b78-958e-60dcb1960a1a"]}],"mendeley":{"formattedCitation":"(Gardner et al., 2011; Verberk et al., 2021)","plainTextFormattedCitation":"(Gardner et al., 2011; Verberk et al., 2021)","previouslyFormattedCitation":"(Gardner et al., 2011; Verberk et al., 2021)"},"properties":{"noteIndex":0},"schema":"https://github.com/citation-style-language/schema/raw/master/csl-citation.json"}</w:instrText>
            </w:r>
            <w:r w:rsidR="00866BCA" w:rsidRPr="00475C67">
              <w:rPr>
                <w:rFonts w:cs="Calibri"/>
              </w:rPr>
              <w:fldChar w:fldCharType="separate"/>
            </w:r>
            <w:r w:rsidR="00DC7F94" w:rsidRPr="00DC7F94">
              <w:rPr>
                <w:rFonts w:cs="Calibri"/>
                <w:noProof/>
              </w:rPr>
              <w:t>(Gardner et al., 2011; Verberk et al., 2021)</w:t>
            </w:r>
            <w:r w:rsidR="00866BCA" w:rsidRPr="00475C67">
              <w:rPr>
                <w:rFonts w:cs="Calibri"/>
              </w:rPr>
              <w:fldChar w:fldCharType="end"/>
            </w:r>
            <w:r w:rsidR="00176292" w:rsidRPr="00475C67">
              <w:rPr>
                <w:rFonts w:cs="Calibri"/>
              </w:rPr>
              <w:t>.</w:t>
            </w:r>
            <w:r w:rsidR="00776A28" w:rsidRPr="00475C67">
              <w:rPr>
                <w:rFonts w:cs="Calibri"/>
              </w:rPr>
              <w:t xml:space="preserve"> </w:t>
            </w:r>
            <w:r w:rsidR="001227F8" w:rsidRPr="00475C67">
              <w:rPr>
                <w:rFonts w:cs="Calibri"/>
              </w:rPr>
              <w:t>Additionally, morphological metrics are not independent of</w:t>
            </w:r>
            <w:r w:rsidR="00BD570B" w:rsidRPr="00475C67">
              <w:rPr>
                <w:rFonts w:cs="Calibri"/>
              </w:rPr>
              <w:t xml:space="preserve"> fitness related traits, such as survivorship and fecundity</w:t>
            </w:r>
            <w:r w:rsidR="00BA0610" w:rsidRPr="00475C67">
              <w:rPr>
                <w:rFonts w:cs="Calibri"/>
              </w:rPr>
              <w:t xml:space="preserve">, and can therefore </w:t>
            </w:r>
            <w:r w:rsidR="00871898" w:rsidRPr="00475C67">
              <w:rPr>
                <w:rFonts w:cs="Calibri"/>
              </w:rPr>
              <w:t>suggest expected changes in reproductive success under different environmental conditions</w:t>
            </w:r>
            <w:r w:rsidR="00BA0610" w:rsidRPr="00475C67">
              <w:rPr>
                <w:rFonts w:cs="Calibri"/>
              </w:rPr>
              <w:t xml:space="preserve"> </w:t>
            </w:r>
            <w:r w:rsidR="00BA0610" w:rsidRPr="00475C67">
              <w:rPr>
                <w:rFonts w:cs="Calibri"/>
              </w:rPr>
              <w:fldChar w:fldCharType="begin" w:fldLock="1"/>
            </w:r>
            <w:r w:rsidR="00DC7F94">
              <w:rPr>
                <w:rFonts w:cs="Calibri"/>
              </w:rPr>
              <w:instrText>ADDIN CSL_CITATION {"citationItems":[{"id":"ITEM-1","itemData":{"DOI":"10.1111/brv.12653","ISSN":"1469185X","abstract":"Body size is central to ecology at levels ranging from organismal fecundity to the functioning of communities and ecosystems. Understanding temperature-induced variations in body size is therefore of fundamental and applied interest, yet thermal responses of body size remain poorly understood. Temperature–size (T–S) responses tend to be negative (e.g. smaller body size at maturity when reared under warmer conditions), which has been termed the temperature–size rule (TSR). Explanations emphasize either physiological mechanisms (e.g. limitation of oxygen or other resources and temperature-dependent resource allocation) or the adaptive value of either a large body size (e.g. to increase fecundity) or a short development time (e.g. in response to increased mortality in warm conditions). Oxygen limitation could act as a proximate factor, but we suggest it more likely constitutes a selective pressure to reduce body size in the warm: risks of oxygen limitation will be reduced as a consequence of evolution eliminating genotypes more prone to oxygen limitation. Thus, T–S responses can be explained by the ‘Ghost of Oxygen-limitation Past’, whereby the resulting (evolved) T–S responses safeguard sufficient oxygen provisioning under warmer conditions, reflecting the balance between oxygen supply and demands experienced by ancestors. T–S responses vary considerably across species, but some of this variation is predictable. Body-size reductions with warming are stronger in aquatic taxa than in terrestrial taxa. We discuss whether larger aquatic taxa may especially face greater risks of oxygen limitation as they grow, which may be manifested at the cellular level, the level of the gills and the whole-organism level. In contrast to aquatic species, terrestrial ectotherms may be less prone to oxygen limitation and prioritize early maturity over large size, likely because overwintering is more challenging, with concomitant stronger end-of season time constraints. Mechanisms related to time constraints and oxygen limitation are not mutually exclusive explanations for the TSR. Rather, these and other mechanisms may operate in tandem. But their relative importance may vary depending on the ecology and physiology of the species in question, explaining not only the general tendency of negative T–S responses but also variation in T–S responses among animals differing in mode of respiration (e.g. water breathers versus air breathers), genome size, voltinism and thermally associ…","author":[{"dropping-particle":"","family":"Verberk","given":"Wilco C.E.P.","non-dropping-particle":"","parse-names":false,"suffix":""},{"dropping-particle":"","family":"Atkinson","given":"David","non-dropping-particle":"","parse-names":false,"suffix":""},{"dropping-particle":"","family":"Hoefnagel","given":"K. Natan","non-dropping-particle":"","parse-names":false,"suffix":""},{"dropping-particle":"","family":"Hirst","given":"Andrew G.","non-dropping-particle":"","parse-names":false,"suffix":""},{"dropping-particle":"","family":"Horne","given":"Curtis R.","non-dropping-particle":"","parse-names":false,"suffix":""},{"dropping-particle":"","family":"Siepel","given":"Henk","non-dropping-particle":"","parse-names":false,"suffix":""}],"container-title":"Biological Reviews","id":"ITEM-1","issue":"1","issued":{"date-parts":[["2021"]]},"page":"247-268","title":"Shrinking body sizes in response to warming: explanations for the temperature–size rule with special emphasis on the role of oxygen","type":"article-journal","volume":"96"},"uris":["http://www.mendeley.com/documents/?uuid=008576f6-e89d-48e5-bbc3-b7978384ac8b"]}],"mendeley":{"formattedCitation":"(Verberk et al., 2021)","plainTextFormattedCitation":"(Verberk et al., 2021)","previouslyFormattedCitation":"(Verberk et al., 2021)"},"properties":{"noteIndex":0},"schema":"https://github.com/citation-style-language/schema/raw/master/csl-citation.json"}</w:instrText>
            </w:r>
            <w:r w:rsidR="00BA0610" w:rsidRPr="00475C67">
              <w:rPr>
                <w:rFonts w:cs="Calibri"/>
              </w:rPr>
              <w:fldChar w:fldCharType="separate"/>
            </w:r>
            <w:r w:rsidR="00DC7F94" w:rsidRPr="00DC7F94">
              <w:rPr>
                <w:rFonts w:cs="Calibri"/>
                <w:noProof/>
              </w:rPr>
              <w:t>(Verberk et al., 2021)</w:t>
            </w:r>
            <w:r w:rsidR="00BA0610" w:rsidRPr="00475C67">
              <w:rPr>
                <w:rFonts w:cs="Calibri"/>
              </w:rPr>
              <w:fldChar w:fldCharType="end"/>
            </w:r>
            <w:r w:rsidR="00BA0610" w:rsidRPr="00475C67">
              <w:rPr>
                <w:rFonts w:cs="Calibri"/>
              </w:rPr>
              <w:t xml:space="preserve">. </w:t>
            </w:r>
            <w:r w:rsidR="005F47F0" w:rsidRPr="00475C67">
              <w:rPr>
                <w:rFonts w:cs="Calibri"/>
              </w:rPr>
              <w:t>Combining standard length and mass metrics to assess body condition</w:t>
            </w:r>
            <w:r w:rsidR="003D5947" w:rsidRPr="00475C67">
              <w:rPr>
                <w:rFonts w:cs="Calibri"/>
              </w:rPr>
              <w:t xml:space="preserve"> is hypothesized to estimate energetic reserves available to individuals that can be </w:t>
            </w:r>
            <w:r w:rsidR="00582EA4" w:rsidRPr="00475C67">
              <w:rPr>
                <w:rFonts w:cs="Calibri"/>
              </w:rPr>
              <w:t xml:space="preserve">invested into expensive physiological processes </w:t>
            </w:r>
            <w:r w:rsidR="00866BCA" w:rsidRPr="00475C67">
              <w:rPr>
                <w:rFonts w:cs="Calibri"/>
              </w:rPr>
              <w:t xml:space="preserve">(e.g., </w:t>
            </w:r>
            <w:r w:rsidR="00582EA4" w:rsidRPr="00475C67">
              <w:rPr>
                <w:rFonts w:cs="Calibri"/>
              </w:rPr>
              <w:t>growth, reproduction</w:t>
            </w:r>
            <w:r w:rsidR="00866BCA" w:rsidRPr="00475C67">
              <w:rPr>
                <w:rFonts w:cs="Calibri"/>
              </w:rPr>
              <w:t xml:space="preserve">) and can be considered an integrative measure of environmental quality, summarising the health and physiological state of an individual </w:t>
            </w:r>
            <w:r w:rsidR="00866BCA" w:rsidRPr="00475C67">
              <w:rPr>
                <w:rFonts w:cs="Calibri"/>
              </w:rPr>
              <w:fldChar w:fldCharType="begin" w:fldLock="1"/>
            </w:r>
            <w:r w:rsidR="00DC7F94">
              <w:rPr>
                <w:rFonts w:cs="Calibri"/>
              </w:rPr>
              <w:instrText>ADDIN CSL_CITATION {"citationItems":[{"id":"ITEM-1","itemData":{"author":[{"dropping-particle":"","family":"Jakob","given":"Elizabeth M","non-dropping-particle":"","parse-names":false,"suffix":""},{"dropping-particle":"","family":"Marshall","given":"Samuel D","non-dropping-particle":"","parse-names":false,"suffix":""},{"dropping-particle":"","family":"Uetz","given":"George W","non-dropping-particle":"","parse-names":false,"suffix":""}],"container-title":"Oikos","id":"ITEM-1","issue":"1","issued":{"date-parts":[["1996"]]},"page":"61-67","title":"Estimating Fitness : A Comparison of Body Condition Indices","type":"article-journal","volume":"77"},"uris":["http://www.mendeley.com/documents/?uuid=db03da44-163b-43e9-bbec-4a9cbc8d1f86"]}],"mendeley":{"formattedCitation":"(Jakob et al., 1996)","plainTextFormattedCitation":"(Jakob et al., 1996)","previouslyFormattedCitation":"(Jakob et al., 1996)"},"properties":{"noteIndex":0},"schema":"https://github.com/citation-style-language/schema/raw/master/csl-citation.json"}</w:instrText>
            </w:r>
            <w:r w:rsidR="00866BCA" w:rsidRPr="00475C67">
              <w:rPr>
                <w:rFonts w:cs="Calibri"/>
              </w:rPr>
              <w:fldChar w:fldCharType="separate"/>
            </w:r>
            <w:r w:rsidR="00DC7F94" w:rsidRPr="00DC7F94">
              <w:rPr>
                <w:rFonts w:cs="Calibri"/>
                <w:noProof/>
              </w:rPr>
              <w:t>(Jakob et al., 1996)</w:t>
            </w:r>
            <w:r w:rsidR="00866BCA" w:rsidRPr="00475C67">
              <w:rPr>
                <w:rFonts w:cs="Calibri"/>
              </w:rPr>
              <w:fldChar w:fldCharType="end"/>
            </w:r>
            <w:r w:rsidR="00582EA4" w:rsidRPr="00475C67">
              <w:rPr>
                <w:rFonts w:cs="Calibri"/>
              </w:rPr>
              <w:t xml:space="preserve">. </w:t>
            </w:r>
            <w:r w:rsidR="00B46A7F" w:rsidRPr="00475C67">
              <w:rPr>
                <w:rFonts w:cs="Calibri"/>
              </w:rPr>
              <w:t xml:space="preserve">Furthermore, changes in morphology can further predict shifts in community level </w:t>
            </w:r>
            <w:proofErr w:type="spellStart"/>
            <w:r w:rsidR="00B46A7F" w:rsidRPr="00475C67">
              <w:rPr>
                <w:rFonts w:cs="Calibri"/>
              </w:rPr>
              <w:t>foodweb</w:t>
            </w:r>
            <w:proofErr w:type="spellEnd"/>
            <w:r w:rsidR="00B46A7F" w:rsidRPr="00475C67">
              <w:rPr>
                <w:rFonts w:cs="Calibri"/>
              </w:rPr>
              <w:t xml:space="preserve"> dynamics, as shifts in species biomass alter predator-prey interactions and behaviours </w:t>
            </w:r>
            <w:r w:rsidR="00B46A7F" w:rsidRPr="00475C67">
              <w:rPr>
                <w:rFonts w:cs="Calibri"/>
              </w:rPr>
              <w:fldChar w:fldCharType="begin" w:fldLock="1"/>
            </w:r>
            <w:r w:rsidR="00DC7F94">
              <w:rPr>
                <w:rFonts w:cs="Calibri"/>
              </w:rPr>
              <w:instrText>ADDIN CSL_CITATION {"citationItems":[{"id":"ITEM-1","itemData":{"DOI":"10.1038/nclimate1691","ISSN":"1758678X","abstract":"Changes in temperature, oxygen content and other ocean biogeochemical properties directly affect the ecophysiology of marine water-breathing organisms1-3. Previous studies suggest that the most prominent biological responses are changes in distribution4-6, phenology 7-8 and productivity9. Both theory and empirical observations also support the hypothesis that warming and reduced oxygen will reduce body size of marine fishes10-12. However, the extent to which such changes would exacerbate the impacts of climate and ocean changes on global marine ecosystems remains unexplored. Here, we employ a model to examine the integrated biological responses of over 600 species of marine fishes due to changes in distribution, abundance and body size. The model has an explicit representation of ecophysiology, dispersal, distribution, and population dynamics3. We show that assemblage-averaged maximum body weight is expected to shrink by 14-24% globally from 2000 to 2050 under a high-emission scenario. About half of this shrinkage is due to change in distribution and abundance, the remainder to changes in physiology. The tropical and intermediate latitudinal areas will be heavily impacted, with an average reduction of more than 20%. Our results provide a new dimension to understanding the integrated impacts of climate change on marine ecosystems. Copyright © 2013 Macmillan Publishers Limited.","author":[{"dropping-particle":"","family":"Cheung","given":"William W.L.","non-dropping-particle":"","parse-names":false,"suffix":""},{"dropping-particle":"","family":"Sarmiento","given":"Jorge L.","non-dropping-particle":"","parse-names":false,"suffix":""},{"dropping-particle":"","family":"Dunne","given":"John","non-dropping-particle":"","parse-names":false,"suffix":""},{"dropping-particle":"","family":"Frölicher","given":"Thomas L.","non-dropping-particle":"","parse-names":false,"suffix":""},{"dropping-particle":"","family":"Lam","given":"Vicky W.Y.","non-dropping-particle":"","parse-names":false,"suffix":""},{"dropping-particle":"","family":"Palomares","given":"M. L.Deng","non-dropping-particle":"","parse-names":false,"suffix":""},{"dropping-particle":"","family":"Watson","given":"Reg","non-dropping-particle":"","parse-names":false,"suffix":""},{"dropping-particle":"","family":"Pauly","given":"Daniel","non-dropping-particle":"","parse-names":false,"suffix":""}],"container-title":"Nature Climate Change","id":"ITEM-1","issue":"3","issued":{"date-parts":[["2013"]]},"page":"254-258","publisher":"Nature Publishing Group","title":"Shrinking of fishes exacerbates impacts of global ocean changes on marine ecosystems","type":"article-journal","volume":"3"},"uris":["http://www.mendeley.com/documents/?uuid=5b497406-fce6-4e96-89b5-6cc0b4aaf776"]},{"id":"ITEM-2","itemData":{"DOI":"10.1038/s41559-020-1171-0","ISSN":"2397334X","PMID":"32251381","abstract":"Ectotherms generally shrink under experimental warming, but whether this pattern extends to wild populations is uncertain. We analysed ten million visual survey records, spanning the Australian continent and multiple decades and comprising the most common coastal reef fishes (335 species). We found that temperature indeed drives spatial and temporal changes in fish body size, but not consistently in the negative fashion expected. Around 55% of species were smaller in warmer waters (especially among small-bodied species), while 45% were bigger. The direction of a species’ response to temperature through space was generally consistent with its response to temperature increase through time at any given location, suggesting that spatial trends could help forecast fish responses to long-term warming. However, temporal changes were about ten times faster than spatial trends (~4% versus ~40% body size change per 1 °C change through space and time, respectively). The rapid and variable responses of fish size to warming may herald unexpected impacts on ecosystem restructuring, with potentially greater consequences than if all species were shrinking.","author":[{"dropping-particle":"","family":"Audzijonyte","given":"Asta","non-dropping-particle":"","parse-names":false,"suffix":""},{"dropping-particle":"","family":"Richards","given":"Shane A.","non-dropping-particle":"","parse-names":false,"suffix":""},{"dropping-particle":"","family":"Stuart-Smith","given":"Rick D.","non-dropping-particle":"","parse-names":false,"suffix":""},{"dropping-particle":"","family":"Pecl","given":"Gretta","non-dropping-particle":"","parse-names":false,"suffix":""},{"dropping-particle":"","family":"Edgar","given":"Graham J.","non-dropping-particle":"","parse-names":false,"suffix":""},{"dropping-particle":"","family":"Barrett","given":"Neville S.","non-dropping-particle":"","parse-names":false,"suffix":""},{"dropping-particle":"","family":"Payne","given":"Nicholas","non-dropping-particle":"","parse-names":false,"suffix":""},{"dropping-particle":"","family":"Blanchard","given":"Julia L.","non-dropping-particle":"","parse-names":false,"suffix":""}],"container-title":"Nature Ecology and Evolution","id":"ITEM-2","issue":"6","issued":{"date-parts":[["2020"]]},"page":"809-814","title":"Fish body sizes change with temperature but not all species shrink with warming","type":"article-journal","volume":"4"},"uris":["http://www.mendeley.com/documents/?uuid=f5f38864-8566-4303-8855-e04459eb8d04"]}],"mendeley":{"formattedCitation":"(Audzijonyte et al., 2020; Cheung et al., 2013)","plainTextFormattedCitation":"(Audzijonyte et al., 2020; Cheung et al., 2013)","previouslyFormattedCitation":"(Audzijonyte et al., 2020; Cheung et al., 2013)"},"properties":{"noteIndex":0},"schema":"https://github.com/citation-style-language/schema/raw/master/csl-citation.json"}</w:instrText>
            </w:r>
            <w:r w:rsidR="00B46A7F" w:rsidRPr="00475C67">
              <w:rPr>
                <w:rFonts w:cs="Calibri"/>
              </w:rPr>
              <w:fldChar w:fldCharType="separate"/>
            </w:r>
            <w:r w:rsidR="00DC7F94" w:rsidRPr="00DC7F94">
              <w:rPr>
                <w:rFonts w:cs="Calibri"/>
                <w:noProof/>
              </w:rPr>
              <w:t>(Audzijonyte et al., 2020; Cheung et al., 2013)</w:t>
            </w:r>
            <w:r w:rsidR="00B46A7F" w:rsidRPr="00475C67">
              <w:rPr>
                <w:rFonts w:cs="Calibri"/>
              </w:rPr>
              <w:fldChar w:fldCharType="end"/>
            </w:r>
            <w:r w:rsidR="00B46A7F" w:rsidRPr="00475C67">
              <w:rPr>
                <w:rFonts w:cs="Calibri"/>
              </w:rPr>
              <w:t xml:space="preserve">. </w:t>
            </w:r>
            <w:r w:rsidR="00147EA9" w:rsidRPr="00475C67">
              <w:rPr>
                <w:rFonts w:cs="Calibri"/>
              </w:rPr>
              <w:t>However, previous results have found</w:t>
            </w:r>
            <w:r w:rsidR="008D31B0" w:rsidRPr="00475C67">
              <w:rPr>
                <w:rFonts w:cs="Calibri"/>
              </w:rPr>
              <w:t xml:space="preserve"> body condition to be an unreliable indicator of </w:t>
            </w:r>
            <w:r w:rsidR="0094678E" w:rsidRPr="00475C67">
              <w:rPr>
                <w:rFonts w:cs="Calibri"/>
              </w:rPr>
              <w:t>mortality</w:t>
            </w:r>
            <w:r w:rsidR="008D31B0" w:rsidRPr="00475C67">
              <w:rPr>
                <w:rFonts w:cs="Calibri"/>
              </w:rPr>
              <w:t xml:space="preserve"> </w:t>
            </w:r>
            <w:r w:rsidR="0094678E" w:rsidRPr="00475C67">
              <w:rPr>
                <w:rFonts w:cs="Calibri"/>
              </w:rPr>
              <w:t>under</w:t>
            </w:r>
            <w:r w:rsidR="008D31B0" w:rsidRPr="00475C67">
              <w:rPr>
                <w:rFonts w:cs="Calibri"/>
              </w:rPr>
              <w:t xml:space="preserve"> sustained increases in temperature</w:t>
            </w:r>
            <w:r w:rsidR="00F02BB3" w:rsidRPr="00475C67">
              <w:rPr>
                <w:rFonts w:cs="Calibri"/>
              </w:rPr>
              <w:t>, and therefore a poor indicator of survivorship</w:t>
            </w:r>
            <w:r w:rsidR="008D31B0" w:rsidRPr="00475C67">
              <w:rPr>
                <w:rFonts w:cs="Calibri"/>
              </w:rPr>
              <w:t xml:space="preserve"> </w:t>
            </w:r>
            <w:r w:rsidR="008D31B0" w:rsidRPr="00475C67">
              <w:rPr>
                <w:rFonts w:cs="Calibri"/>
              </w:rPr>
              <w:fldChar w:fldCharType="begin" w:fldLock="1"/>
            </w:r>
            <w:r w:rsidR="00DC7F94">
              <w:rPr>
                <w:rFonts w:cs="Calibri"/>
              </w:rPr>
              <w:instrText>ADDIN CSL_CITATION {"citationItems":[{"id":"ITEM-1","itemData":{"DOI":"10.1007/s00227-018-3333-z","ISBN":"0123456789","ISSN":"00253162","abstract":"Tropical species are predicted to be particularly vulnerable to the impacts of climate change given the relatively narrow thermal range they naturally experience. Within the tropics, average temperature and thermal variation can differ among populations and consequently low-latitude populations may respond differently to increased temperatures than higher latitude tropical populations. In this study, we investigate the long-term effects of climate change relevant temperature increases on commonly measured condition metrics for a low-latitude population of damselfish (Acanthochromis polyacanthus). Adult fish were randomly assigned to one of the three seasonally cycling treatments: (1) current average ocean temperatures for the collection locations, (2) 1.5 °C, or (3) 3 °C higher than current average temperatures. Treatments were maintained for approximately 10 months. At the end of the experimental period, Fulton’s K and hepatosomatic index were calculated for fish from each treatment group and critical thermal limit (CTMax) was measured for a subset of fish at control temperatures. Fish mortality was recorded throughout the experimental period, as well as at the end of the experimental period after the introduction of a secondary exercise stressor. No significant effect of temperature was observed on fish condition (Fulton’s K and hepatosomatic index); however, significant mortality was observed for fish maintained at 3 °C higher than current average temperatures. When a secondary exercise stressor was introduced, significant mortality was also observed at 1.5 °C higher than current average temperatures. Acute exposure to higher temperatures (CTMax) suggested a much higher thermal tolerance for this population than long-term mortality, producing a thermal limit of 37.1 °C compared with a chronic thermal limit of 33 °C. Our results show that some basic measures of fish condition may not be capable of detecting lethal and sub-lethal effects of increased temperature. The results of this study are consistent with the hypothesis that low-latitude species are already living close to their thermal maximum.","author":[{"dropping-particle":"","family":"Rodgers","given":"G. G.","non-dropping-particle":"","parse-names":false,"suffix":""},{"dropping-particle":"","family":"Donelson","given":"J. M.","non-dropping-particle":"","parse-names":false,"suffix":""},{"dropping-particle":"","family":"McCormick","given":"M. I.","non-dropping-particle":"","parse-names":false,"suffix":""},{"dropping-particle":"","family":"Munday","given":"P. L.","non-dropping-particle":"","parse-names":false,"suffix":""}],"container-title":"Marine Biology","id":"ITEM-1","issue":"4","issued":{"date-parts":[["2018"]]},"page":"1-10","publisher":"Springer Berlin Heidelberg","title":"In hot water: sustained ocean warming reduces survival of a low-latitude coral reef fish","type":"article-journal","volume":"165"},"uris":["http://www.mendeley.com/documents/?uuid=173c7ad1-f8a3-42e0-9d5f-e45bc58377b7"]}],"mendeley":{"formattedCitation":"(Rodgers et al., 2018)","plainTextFormattedCitation":"(Rodgers et al., 2018)","previouslyFormattedCitation":"(Rodgers et al., 2018)"},"properties":{"noteIndex":0},"schema":"https://github.com/citation-style-language/schema/raw/master/csl-citation.json"}</w:instrText>
            </w:r>
            <w:r w:rsidR="008D31B0" w:rsidRPr="00475C67">
              <w:rPr>
                <w:rFonts w:cs="Calibri"/>
              </w:rPr>
              <w:fldChar w:fldCharType="separate"/>
            </w:r>
            <w:r w:rsidR="00DC7F94" w:rsidRPr="00DC7F94">
              <w:rPr>
                <w:rFonts w:cs="Calibri"/>
                <w:noProof/>
              </w:rPr>
              <w:t>(Rodgers et al., 2018)</w:t>
            </w:r>
            <w:r w:rsidR="008D31B0" w:rsidRPr="00475C67">
              <w:rPr>
                <w:rFonts w:cs="Calibri"/>
              </w:rPr>
              <w:fldChar w:fldCharType="end"/>
            </w:r>
            <w:r w:rsidR="0094678E" w:rsidRPr="00475C67">
              <w:rPr>
                <w:rFonts w:cs="Calibri"/>
              </w:rPr>
              <w:t xml:space="preserve">. </w:t>
            </w:r>
          </w:p>
          <w:p w14:paraId="37ED435D" w14:textId="0F6C7FC8" w:rsidR="00EE2246" w:rsidRPr="00475C67" w:rsidRDefault="00EE2246" w:rsidP="00176292">
            <w:pPr>
              <w:jc w:val="both"/>
              <w:rPr>
                <w:rFonts w:cs="Calibri"/>
              </w:rPr>
            </w:pPr>
          </w:p>
        </w:tc>
      </w:tr>
      <w:tr w:rsidR="00E96626" w:rsidRPr="00475C67" w14:paraId="51F88D03" w14:textId="77777777" w:rsidTr="00ED27CD">
        <w:tc>
          <w:tcPr>
            <w:tcW w:w="2547" w:type="dxa"/>
          </w:tcPr>
          <w:p w14:paraId="7C966164" w14:textId="43C671C1" w:rsidR="00E96626" w:rsidRPr="00475C67" w:rsidRDefault="00E96626">
            <w:pPr>
              <w:rPr>
                <w:b/>
                <w:bCs/>
              </w:rPr>
            </w:pPr>
            <w:r w:rsidRPr="00475C67">
              <w:rPr>
                <w:b/>
                <w:bCs/>
              </w:rPr>
              <w:t>Critical thermal maximum</w:t>
            </w:r>
          </w:p>
        </w:tc>
        <w:tc>
          <w:tcPr>
            <w:tcW w:w="11401" w:type="dxa"/>
          </w:tcPr>
          <w:p w14:paraId="34C761AF" w14:textId="5B2A4A78" w:rsidR="00E96626" w:rsidRPr="00475C67" w:rsidRDefault="00EE2246" w:rsidP="00EE2246">
            <w:pPr>
              <w:jc w:val="both"/>
              <w:rPr>
                <w:rFonts w:cs="Calibri"/>
              </w:rPr>
            </w:pPr>
            <w:r w:rsidRPr="00475C67">
              <w:rPr>
                <w:rFonts w:cs="Calibri"/>
              </w:rPr>
              <w:t>Critical thermal maximum (</w:t>
            </w:r>
            <w:proofErr w:type="spellStart"/>
            <w:r w:rsidRPr="00475C67">
              <w:rPr>
                <w:rFonts w:cs="Calibri"/>
              </w:rPr>
              <w:t>CT</w:t>
            </w:r>
            <w:r w:rsidRPr="00475C67">
              <w:rPr>
                <w:rFonts w:cs="Calibri"/>
                <w:vertAlign w:val="subscript"/>
              </w:rPr>
              <w:t>max</w:t>
            </w:r>
            <w:proofErr w:type="spellEnd"/>
            <w:r w:rsidRPr="00475C67">
              <w:rPr>
                <w:rFonts w:cs="Calibri"/>
              </w:rPr>
              <w:t xml:space="preserve">) serves as a proxy for an organism’s upper thermal tolerance. </w:t>
            </w:r>
            <w:proofErr w:type="spellStart"/>
            <w:r w:rsidRPr="00475C67">
              <w:rPr>
                <w:rFonts w:cs="Calibri"/>
              </w:rPr>
              <w:t>CT</w:t>
            </w:r>
            <w:r w:rsidRPr="00475C67">
              <w:rPr>
                <w:rFonts w:cs="Calibri"/>
                <w:vertAlign w:val="subscript"/>
              </w:rPr>
              <w:t>max</w:t>
            </w:r>
            <w:proofErr w:type="spellEnd"/>
            <w:r w:rsidRPr="00475C67">
              <w:rPr>
                <w:rFonts w:cs="Calibri"/>
                <w:vertAlign w:val="subscript"/>
              </w:rPr>
              <w:t xml:space="preserve"> </w:t>
            </w:r>
            <w:r w:rsidRPr="00475C67">
              <w:rPr>
                <w:rFonts w:cs="Calibri"/>
              </w:rPr>
              <w:t xml:space="preserve">represent thermal conditions where organisms become incapacitated and can no longer escape stressful conditions, representing a hard boundary for species survivorship </w:t>
            </w:r>
            <w:r w:rsidRPr="00475C67">
              <w:rPr>
                <w:rFonts w:cs="Calibri"/>
              </w:rPr>
              <w:fldChar w:fldCharType="begin" w:fldLock="1"/>
            </w:r>
            <w:r w:rsidR="00DC7F94">
              <w:rPr>
                <w:rFonts w:cs="Calibri"/>
              </w:rPr>
              <w:instrText>ADDIN CSL_CITATION {"citationItems":[{"id":"ITEM-1","itemData":{"DOI":"10.1016/j.jtherbio.2020.102582","ISSN":"18790992","PMID":"32479385","abstract":"Marine ectotherms are often sensitive to thermal stress, and certain life stages can be particularly vulnerable (e.g., larvae or spawners). In this study, we investigated the critical thermal maxima (CTmax) of larval and early juvenile life stages of three tropical marine fishes (Acanthochromis polyacanthus, Amphiprion melanopus, and Lates calcarifer). We tested for potential effects of developmental acclimation, life stage, and experimental heating rates, and we measured metabolic enzyme activities from aerobic (citrate synthase, CS) and anaerobic pathways (lactate dehydrogenase, LDH). A slightly elevated rearing temperature neither influenced CTmax nor CS activity, which otherwise could have indicated thermal acclimation. However, we found CTmax to either remain stable (Acanthrochromis polyacanthus) or increase with body mass during early ontogeny (Amphiprion melanopus and Lates calcarifer). In all three species, faster heating rates lead to higher CTmax. Acute temperature stress did not change CS or LDH activities, suggesting that overall aerobic and anaerobic metabolism remained stable. Lates calcarifer, a catadromous species that migrates from oceanic to riverine habitats upon metamorphosis, had higher CTmax than the two coral reef fish species. We highlight that, for obtaining conservative estimates of a fish species’ upper thermal limits, several developmental stages and body mass ranges should be examined. Moreover, upper thermal limits should be assessed using standardized heating rates. This will not only benefit comparative approaches but also aid in assessing geographic (re-) distributions and climate change sensitivity of marine fishes.","author":[{"dropping-particle":"","family":"Illing","given":"B.","non-dropping-particle":"","parse-names":false,"suffix":""},{"dropping-particle":"","family":"Downie","given":"A. T.","non-dropping-particle":"","parse-names":false,"suffix":""},{"dropping-particle":"","family":"Beghin","given":"M.","non-dropping-particle":"","parse-names":false,"suffix":""},{"dropping-particle":"","family":"Rummer","given":"J. L.","non-dropping-particle":"","parse-names":false,"suffix":""}],"container-title":"Journal of Thermal Biology","id":"ITEM-1","issued":{"date-parts":[["2020"]]},"page":"102582","publisher":"Elsevier Ltd","title":"Critical thermal maxima of early life stages of three tropical fishes: Effects of rearing temperature and experimental heating rate","type":"article-journal","volume":"90"},"uris":["http://www.mendeley.com/documents/?uuid=e17f5e29-5456-4acc-abb9-24df6a1e79e4"]}],"mendeley":{"formattedCitation":"(Illing et al., 2020)","plainTextFormattedCitation":"(Illing et al., 2020)","previouslyFormattedCitation":"(Illing et al., 2020)"},"properties":{"noteIndex":0},"schema":"https://github.com/citation-style-language/schema/raw/master/csl-citation.json"}</w:instrText>
            </w:r>
            <w:r w:rsidRPr="00475C67">
              <w:rPr>
                <w:rFonts w:cs="Calibri"/>
              </w:rPr>
              <w:fldChar w:fldCharType="separate"/>
            </w:r>
            <w:r w:rsidR="00DC7F94" w:rsidRPr="00DC7F94">
              <w:rPr>
                <w:rFonts w:cs="Calibri"/>
                <w:noProof/>
              </w:rPr>
              <w:t>(Illing et al., 2020)</w:t>
            </w:r>
            <w:r w:rsidRPr="00475C67">
              <w:rPr>
                <w:rFonts w:cs="Calibri"/>
              </w:rPr>
              <w:fldChar w:fldCharType="end"/>
            </w:r>
            <w:r w:rsidRPr="00475C67">
              <w:rPr>
                <w:rFonts w:cs="Calibri"/>
              </w:rPr>
              <w:t xml:space="preserve">. </w:t>
            </w:r>
            <w:proofErr w:type="spellStart"/>
            <w:r w:rsidRPr="00475C67">
              <w:rPr>
                <w:rFonts w:cs="Calibri"/>
              </w:rPr>
              <w:t>CT</w:t>
            </w:r>
            <w:r w:rsidRPr="00475C67">
              <w:rPr>
                <w:rFonts w:cs="Calibri"/>
                <w:vertAlign w:val="subscript"/>
              </w:rPr>
              <w:t>max</w:t>
            </w:r>
            <w:proofErr w:type="spellEnd"/>
            <w:r w:rsidRPr="00475C67">
              <w:rPr>
                <w:rFonts w:cs="Calibri"/>
                <w:vertAlign w:val="subscript"/>
              </w:rPr>
              <w:t xml:space="preserve"> </w:t>
            </w:r>
            <w:r w:rsidRPr="00475C67">
              <w:rPr>
                <w:rFonts w:cs="Calibri"/>
              </w:rPr>
              <w:t xml:space="preserve">has become a fundamental metric within fish ecology to understand the impacts of thermal stress on physiological performance and elucidate the impacts of warming temperatures, adaptive potential/capacity, and life-history strategies </w:t>
            </w:r>
            <w:r w:rsidRPr="00475C67">
              <w:rPr>
                <w:rFonts w:cs="Calibri"/>
              </w:rPr>
              <w:fldChar w:fldCharType="begin" w:fldLock="1"/>
            </w:r>
            <w:r w:rsidR="00DC7F94">
              <w:rPr>
                <w:rFonts w:cs="Calibri"/>
              </w:rPr>
              <w:instrText>ADDIN CSL_CITATION {"citationItems":[{"id":"ITEM-1","itemData":{"DOI":"10.1111/jfb.15368","ISSN":"10958649","PMID":"36880500","abstract":"Critical thermal maxima methodology (CTM) has been used to infer acute upper thermal tolerance in fishes since the 1950s, yet its ecological relevance remains debated. In this study, the authors synthesize evidence to identify methodological concerns and common misconceptions that have limited the interpretation of critical thermal maximum (CTmax; value for an individual fish during one trial) in ecological and evolutionary studies of fishes. They identified limitations of, and opportunities for, using CTmax as a metric in experiments, focusing on rates of thermal ramping, acclimation regimes, thermal safety margins, methodological endpoints, links to performance traits and repeatability. Care must be taken when interpreting CTM in ecological contexts, because the protocol was originally designed for ecotoxicological research with standardized methods to facilitate comparisons within study individuals, across species and contexts. CTM can, however, be used in ecological contexts to predict impacts of environmental warming, but only if parameters influencing thermal limits, such as acclimation temperature or rate of thermal ramping, are taken into account. Applications can include mitigating the effects of climate change, informing infrastructure planning or modelling species distribution, adaptation and/or performance in response to climate-related temperature change. The authors’ synthesis points to several key directions for future research that will further aid the application and interpretation of CTM data in ecological contexts.","author":[{"dropping-particle":"","family":"Desforges","given":"Jessica E.","non-dropping-particle":"","parse-names":false,"suffix":""},{"dropping-particle":"","family":"Birnie-Gauvin","given":"Kim","non-dropping-particle":"","parse-names":false,"suffix":""},{"dropping-particle":"","family":"Jutfelt","given":"Fredrik","non-dropping-particle":"","parse-names":false,"suffix":""},{"dropping-particle":"","family":"Gilmour","given":"Kathleen M.","non-dropping-particle":"","parse-names":false,"suffix":""},{"dropping-particle":"","family":"Eliason","given":"Erika J.","non-dropping-particle":"","parse-names":false,"suffix":""},{"dropping-particle":"","family":"Dressler","given":"Terra L.","non-dropping-particle":"","parse-names":false,"suffix":""},{"dropping-particle":"","family":"McKenzie","given":"David J.","non-dropping-particle":"","parse-names":false,"suffix":""},{"dropping-particle":"","family":"Bates","given":"Amanda E.","non-dropping-particle":"","parse-names":false,"suffix":""},{"dropping-particle":"","family":"Lawrence","given":"Michael J.","non-dropping-particle":"","parse-names":false,"suffix":""},{"dropping-particle":"","family":"Fangue","given":"Nann","non-dropping-particle":"","parse-names":false,"suffix":""},{"dropping-particle":"","family":"Cooke","given":"Steven J.","non-dropping-particle":"","parse-names":false,"suffix":""}],"container-title":"Journal of Fish Biology","id":"ITEM-1","issue":"February","issued":{"date-parts":[["2023"]]},"page":"1-17","title":"The ecological relevance of critical thermal maxima methodology for fishes","type":"article-journal"},"uris":["http://www.mendeley.com/documents/?uuid=bd7eef7c-cf08-4119-a85e-f478dda8e3fc"]}],"mendeley":{"formattedCitation":"(Desforges et al., 2023)","plainTextFormattedCitation":"(Desforges et al., 2023)","previouslyFormattedCitation":"(Desforges et al., 2023)"},"properties":{"noteIndex":0},"schema":"https://github.com/citation-style-language/schema/raw/master/csl-citation.json"}</w:instrText>
            </w:r>
            <w:r w:rsidRPr="00475C67">
              <w:rPr>
                <w:rFonts w:cs="Calibri"/>
              </w:rPr>
              <w:fldChar w:fldCharType="separate"/>
            </w:r>
            <w:r w:rsidR="00DC7F94" w:rsidRPr="00DC7F94">
              <w:rPr>
                <w:rFonts w:cs="Calibri"/>
                <w:noProof/>
              </w:rPr>
              <w:t>(Desforges et al., 2023)</w:t>
            </w:r>
            <w:r w:rsidRPr="00475C67">
              <w:rPr>
                <w:rFonts w:cs="Calibri"/>
              </w:rPr>
              <w:fldChar w:fldCharType="end"/>
            </w:r>
            <w:r w:rsidRPr="00475C67">
              <w:rPr>
                <w:rFonts w:cs="Calibri"/>
              </w:rPr>
              <w:t xml:space="preserve">. However, as outlined in a review by Desforges </w:t>
            </w:r>
            <w:r w:rsidRPr="00475C67">
              <w:rPr>
                <w:rFonts w:cs="Calibri"/>
                <w:i/>
                <w:iCs/>
              </w:rPr>
              <w:t>et al</w:t>
            </w:r>
            <w:r w:rsidRPr="00475C67">
              <w:rPr>
                <w:rFonts w:cs="Calibri"/>
              </w:rPr>
              <w:t xml:space="preserve">., (2023), researchers should be careful when interpreting results from </w:t>
            </w:r>
            <w:proofErr w:type="spellStart"/>
            <w:r w:rsidRPr="00475C67">
              <w:rPr>
                <w:rFonts w:cs="Calibri"/>
              </w:rPr>
              <w:t>CT</w:t>
            </w:r>
            <w:r w:rsidRPr="00475C67">
              <w:rPr>
                <w:rFonts w:cs="Calibri"/>
                <w:vertAlign w:val="subscript"/>
              </w:rPr>
              <w:t>max</w:t>
            </w:r>
            <w:proofErr w:type="spellEnd"/>
            <w:r w:rsidRPr="00475C67">
              <w:rPr>
                <w:rFonts w:cs="Calibri"/>
                <w:vertAlign w:val="subscript"/>
              </w:rPr>
              <w:t xml:space="preserve"> </w:t>
            </w:r>
            <w:r w:rsidRPr="00475C67">
              <w:rPr>
                <w:rFonts w:cs="Calibri"/>
              </w:rPr>
              <w:t xml:space="preserve">experiments because results are sensitive to selected protocols (e.g., rate of thermal ramping, life stage, habituation periods; </w:t>
            </w:r>
            <w:r w:rsidRPr="00475C67">
              <w:rPr>
                <w:rFonts w:cs="Calibri"/>
              </w:rPr>
              <w:fldChar w:fldCharType="begin" w:fldLock="1"/>
            </w:r>
            <w:r w:rsidR="00DC7F94">
              <w:rPr>
                <w:rFonts w:cs="Calibri"/>
              </w:rPr>
              <w:instrText>ADDIN CSL_CITATION {"citationItems":[{"id":"ITEM-1","itemData":{"DOI":"10.1111/jfb.15368","ISSN":"10958649","PMID":"36880500","abstract":"Critical thermal maxima methodology (CTM) has been used to infer acute upper thermal tolerance in fishes since the 1950s, yet its ecological relevance remains debated. In this study, the authors synthesize evidence to identify methodological concerns and common misconceptions that have limited the interpretation of critical thermal maximum (CTmax; value for an individual fish during one trial) in ecological and evolutionary studies of fishes. They identified limitations of, and opportunities for, using CTmax as a metric in experiments, focusing on rates of thermal ramping, acclimation regimes, thermal safety margins, methodological endpoints, links to performance traits and repeatability. Care must be taken when interpreting CTM in ecological contexts, because the protocol was originally designed for ecotoxicological research with standardized methods to facilitate comparisons within study individuals, across species and contexts. CTM can, however, be used in ecological contexts to predict impacts of environmental warming, but only if parameters influencing thermal limits, such as acclimation temperature or rate of thermal ramping, are taken into account. Applications can include mitigating the effects of climate change, informing infrastructure planning or modelling species distribution, adaptation and/or performance in response to climate-related temperature change. The authors’ synthesis points to several key directions for future research that will further aid the application and interpretation of CTM data in ecological contexts.","author":[{"dropping-particle":"","family":"Desforges","given":"Jessica E.","non-dropping-particle":"","parse-names":false,"suffix":""},{"dropping-particle":"","family":"Birnie-Gauvin","given":"Kim","non-dropping-particle":"","parse-names":false,"suffix":""},{"dropping-particle":"","family":"Jutfelt","given":"Fredrik","non-dropping-particle":"","parse-names":false,"suffix":""},{"dropping-particle":"","family":"Gilmour","given":"Kathleen M.","non-dropping-particle":"","parse-names":false,"suffix":""},{"dropping-particle":"","family":"Eliason","given":"Erika J.","non-dropping-particle":"","parse-names":false,"suffix":""},{"dropping-particle":"","family":"Dressler","given":"Terra L.","non-dropping-particle":"","parse-names":false,"suffix":""},{"dropping-particle":"","family":"McKenzie","given":"David J.","non-dropping-particle":"","parse-names":false,"suffix":""},{"dropping-particle":"","family":"Bates","given":"Amanda E.","non-dropping-particle":"","parse-names":false,"suffix":""},{"dropping-particle":"","family":"Lawrence","given":"Michael J.","non-dropping-particle":"","parse-names":false,"suffix":""},{"dropping-particle":"","family":"Fangue","given":"Nann","non-dropping-particle":"","parse-names":false,"suffix":""},{"dropping-particle":"","family":"Cooke","given":"Steven J.","non-dropping-particle":"","parse-names":false,"suffix":""}],"container-title":"Journal of Fish Biology","id":"ITEM-1","issue":"February","issued":{"date-parts":[["2023"]]},"page":"1-17","title":"The ecological relevance of critical thermal maxima methodology for fishes","type":"article-journal"},"uris":["http://www.mendeley.com/documents/?uuid=bd7eef7c-cf08-4119-a85e-f478dda8e3fc"]}],"mendeley":{"formattedCitation":"(Desforges et al., 2023)","manualFormatting":"Desforges et al. 2023)","plainTextFormattedCitation":"(Desforges et al., 2023)","previouslyFormattedCitation":"(Desforges et al., 2023)"},"properties":{"noteIndex":0},"schema":"https://github.com/citation-style-language/schema/raw/master/csl-citation.json"}</w:instrText>
            </w:r>
            <w:r w:rsidRPr="00475C67">
              <w:rPr>
                <w:rFonts w:cs="Calibri"/>
              </w:rPr>
              <w:fldChar w:fldCharType="separate"/>
            </w:r>
            <w:r w:rsidRPr="00475C67">
              <w:rPr>
                <w:rFonts w:cs="Calibri"/>
                <w:noProof/>
              </w:rPr>
              <w:t>Desforges et al. 2023)</w:t>
            </w:r>
            <w:r w:rsidRPr="00475C67">
              <w:rPr>
                <w:rFonts w:cs="Calibri"/>
              </w:rPr>
              <w:fldChar w:fldCharType="end"/>
            </w:r>
            <w:r w:rsidRPr="00475C67">
              <w:rPr>
                <w:rFonts w:cs="Calibri"/>
              </w:rPr>
              <w:t xml:space="preserve">. It is therefore, not recommended to use </w:t>
            </w:r>
            <w:proofErr w:type="spellStart"/>
            <w:r w:rsidRPr="00475C67">
              <w:rPr>
                <w:rFonts w:cs="Calibri"/>
              </w:rPr>
              <w:t>CT</w:t>
            </w:r>
            <w:r w:rsidRPr="00475C67">
              <w:rPr>
                <w:rFonts w:cs="Calibri"/>
                <w:vertAlign w:val="subscript"/>
              </w:rPr>
              <w:t>max</w:t>
            </w:r>
            <w:proofErr w:type="spellEnd"/>
            <w:r w:rsidRPr="00475C67">
              <w:rPr>
                <w:rFonts w:cs="Calibri"/>
                <w:vertAlign w:val="subscript"/>
              </w:rPr>
              <w:t xml:space="preserve"> </w:t>
            </w:r>
            <w:r w:rsidRPr="00475C67">
              <w:rPr>
                <w:rFonts w:cs="Calibri"/>
              </w:rPr>
              <w:t xml:space="preserve">as the only metric for an organism’s upper thermal tolerance limits. </w:t>
            </w:r>
          </w:p>
          <w:p w14:paraId="302336C2" w14:textId="6C517796" w:rsidR="00EE2246" w:rsidRPr="00475C67" w:rsidRDefault="00EE2246" w:rsidP="00EE2246">
            <w:pPr>
              <w:jc w:val="both"/>
              <w:rPr>
                <w:rFonts w:cs="Calibri"/>
              </w:rPr>
            </w:pPr>
          </w:p>
        </w:tc>
      </w:tr>
      <w:tr w:rsidR="00E96626" w:rsidRPr="00475C67" w14:paraId="5F957E7B" w14:textId="77777777" w:rsidTr="00DA05B9">
        <w:tc>
          <w:tcPr>
            <w:tcW w:w="2547" w:type="dxa"/>
            <w:shd w:val="clear" w:color="auto" w:fill="A6A6A6" w:themeFill="background1" w:themeFillShade="A6"/>
          </w:tcPr>
          <w:p w14:paraId="47469271" w14:textId="52172E5A" w:rsidR="00E96626" w:rsidRPr="00475C67" w:rsidRDefault="00E96626">
            <w:pPr>
              <w:rPr>
                <w:b/>
                <w:bCs/>
              </w:rPr>
            </w:pPr>
            <w:r w:rsidRPr="00475C67">
              <w:rPr>
                <w:b/>
                <w:bCs/>
              </w:rPr>
              <w:t>Oxygen uptake</w:t>
            </w:r>
            <w:r w:rsidR="00B46A7F" w:rsidRPr="00475C67">
              <w:rPr>
                <w:b/>
                <w:bCs/>
              </w:rPr>
              <w:t xml:space="preserve"> (</w:t>
            </w:r>
            <w:proofErr w:type="gramStart"/>
            <w:r w:rsidR="00B46A7F" w:rsidRPr="00475C67">
              <w:rPr>
                <w:b/>
                <w:bCs/>
              </w:rPr>
              <w:t>intermittent-flow</w:t>
            </w:r>
            <w:proofErr w:type="gramEnd"/>
            <w:r w:rsidR="00B46A7F" w:rsidRPr="00475C67">
              <w:rPr>
                <w:b/>
                <w:bCs/>
              </w:rPr>
              <w:t xml:space="preserve"> respirometry)</w:t>
            </w:r>
            <w:r w:rsidR="00B33CE9" w:rsidRPr="00475C67">
              <w:rPr>
                <w:b/>
                <w:bCs/>
              </w:rPr>
              <w:t>/Critical thermal maximum</w:t>
            </w:r>
            <w:r w:rsidR="000B57C0" w:rsidRPr="00475C67">
              <w:rPr>
                <w:b/>
                <w:bCs/>
              </w:rPr>
              <w:t>/Critical temperature</w:t>
            </w:r>
          </w:p>
        </w:tc>
        <w:tc>
          <w:tcPr>
            <w:tcW w:w="11401" w:type="dxa"/>
            <w:shd w:val="clear" w:color="auto" w:fill="A6A6A6" w:themeFill="background1" w:themeFillShade="A6"/>
          </w:tcPr>
          <w:p w14:paraId="53EE0102" w14:textId="505EDC2F" w:rsidR="00001A6A" w:rsidRPr="00475C67" w:rsidRDefault="00EE2246" w:rsidP="00B46A7F">
            <w:pPr>
              <w:jc w:val="both"/>
              <w:rPr>
                <w:rFonts w:cs="Calibri"/>
              </w:rPr>
            </w:pPr>
            <w:r w:rsidRPr="00475C67">
              <w:rPr>
                <w:rFonts w:cs="Calibri"/>
              </w:rPr>
              <w:t>To further explore physiological consequences associated with warming temperatures a resting oxygen uptake and critical thermal maximum experiments were performed simultaneously.</w:t>
            </w:r>
            <w:r w:rsidR="00B46A7F" w:rsidRPr="00475C67">
              <w:rPr>
                <w:rFonts w:cs="Calibri"/>
              </w:rPr>
              <w:t xml:space="preserve"> Oxygen uptake serves as a proxy for metabolic rates (i.e., rates of ATP production by mitochondrial oxidative phosphorylation), and is used to understand plastic and evolutionary responses to environmental change </w:t>
            </w:r>
            <w:r w:rsidR="00B46A7F" w:rsidRPr="00475C67">
              <w:rPr>
                <w:rFonts w:cs="Calibri"/>
              </w:rPr>
              <w:fldChar w:fldCharType="begin" w:fldLock="1"/>
            </w:r>
            <w:r w:rsidR="00DC7F94">
              <w:rPr>
                <w:rFonts w:cs="Calibri"/>
              </w:rPr>
              <w:instrText>ADDIN CSL_CITATION {"citationItems":[{"id":"ITEM-1","itemData":{"DOI":"10.1242/jeb.242522","ISBN":"0000000343237","ISSN":"14779145","PMID":"34520540","abstract":"Interest in the measurement of metabolic rates is growing rapidly, because of the importance of metabolism in advancing our understanding of organismal physiology, behaviour, evolution and responses to environmental change. The study of metabolism in aquatic animals is undergoing an especially pronounced expansion, with more researchers utilising intermittent-flow respirometry as a research tool than ever before. Aquatic respirometry measures the rate of oxygen uptake as a proxy for metabolic rate, and the intermittent-flow technique has numerous strengths for use with aquatic animals, allowing metabolic rate to be repeatedly estimated on individual animals over several hours or days and during exposure to various conditions or stimuli. There are, however, no published guidelines for the reporting of methodological details when using this method. Here, we provide the first guidelines for reporting intermittent-flow respirometry methods, in the form of a checklist of criteria that we consider to be the minimum required for the interpretation, evaluation and replication of experiments using intermittent-flow respirometry. Furthermore, using a survey of the existing literature, we show that there has been incomplete and inconsistent reporting of methods for intermittent-flow respirometry over the past few decades. Use of the provided checklist of required criteria by researchers when publishing their work should increase consistency of the reporting of methods for studies that use intermittent-flow respirometry. With the steep increase in studies using intermittent-flow respirometry, now is the ideal time to standardise reporting of methods, so that - in the future - data can be properly assessed by other scientists and conservationists.","author":[{"dropping-particle":"","family":"Killen","given":"Shaun S.","non-dropping-particle":"","parse-names":false,"suffix":""},{"dropping-particle":"","family":"Christensen","given":"Emil A.F.","non-dropping-particle":"","parse-names":false,"suffix":""},{"dropping-particle":"","family":"Cortese","given":"Daphne","non-dropping-particle":"","parse-names":false,"suffix":""},{"dropping-particle":"","family":"Závorka","given":"Libor","non-dropping-particle":"","parse-names":false,"suffix":""},{"dropping-particle":"","family":"Norin","given":"Tommy","non-dropping-particle":"","parse-names":false,"suffix":""},{"dropping-particle":"","family":"Cotgrove","given":"Lucy","non-dropping-particle":"","parse-names":false,"suffix":""},{"dropping-particle":"","family":"Crespel","given":"Amélie","non-dropping-particle":"","parse-names":false,"suffix":""},{"dropping-particle":"","family":"Munson","given":"Amelia","non-dropping-particle":"","parse-names":false,"suffix":""},{"dropping-particle":"","family":"Nati","given":"Julie J.H.","non-dropping-particle":"","parse-names":false,"suffix":""},{"dropping-particle":"","family":"Papatheodoulou","given":"Magdalene","non-dropping-particle":"","parse-names":false,"suffix":""},{"dropping-particle":"","family":"McKenzie","given":"David J.","non-dropping-particle":"","parse-names":false,"suffix":""}],"container-title":"Journal of Experimental Biology","id":"ITEM-1","issue":"18","issued":{"date-parts":[["2021"]]},"title":"Guidelines for reporting methods to estimate metabolic rates by aquatic intermittent-flow respirometry","type":"article-journal","volume":"224"},"uris":["http://www.mendeley.com/documents/?uuid=092d7bc9-2fb8-4792-a2d5-d10e44f88fc4"]}],"mendeley":{"formattedCitation":"(Killen et al., 2021)","plainTextFormattedCitation":"(Killen et al., 2021)","previouslyFormattedCitation":"(Killen et al., 2021)"},"properties":{"noteIndex":0},"schema":"https://github.com/citation-style-language/schema/raw/master/csl-citation.json"}</w:instrText>
            </w:r>
            <w:r w:rsidR="00B46A7F" w:rsidRPr="00475C67">
              <w:rPr>
                <w:rFonts w:cs="Calibri"/>
              </w:rPr>
              <w:fldChar w:fldCharType="separate"/>
            </w:r>
            <w:r w:rsidR="00DC7F94" w:rsidRPr="00DC7F94">
              <w:rPr>
                <w:rFonts w:cs="Calibri"/>
                <w:noProof/>
              </w:rPr>
              <w:t>(Killen et al., 2021)</w:t>
            </w:r>
            <w:r w:rsidR="00B46A7F" w:rsidRPr="00475C67">
              <w:rPr>
                <w:rFonts w:cs="Calibri"/>
              </w:rPr>
              <w:fldChar w:fldCharType="end"/>
            </w:r>
            <w:r w:rsidR="00B46A7F" w:rsidRPr="00475C67">
              <w:rPr>
                <w:rFonts w:cs="Calibri"/>
              </w:rPr>
              <w:t xml:space="preserve">. The dominant hypothesis for the physiological mechanism responsible for changing patterns in oxygen uptake under different thermal conditions if the oxygen and capacity limited thermal tolerance (OCLTT) hypothesis; as temperatures warm basal metabolism is progressively accelerated, leading to increased oxygen uptake from the environment </w:t>
            </w:r>
            <w:r w:rsidR="00B46A7F" w:rsidRPr="00475C67">
              <w:rPr>
                <w:rFonts w:cs="Calibri"/>
              </w:rPr>
              <w:fldChar w:fldCharType="begin" w:fldLock="1"/>
            </w:r>
            <w:r w:rsidR="00DC7F94">
              <w:rPr>
                <w:rFonts w:cs="Calibri"/>
              </w:rPr>
              <w:instrText>ADDIN CSL_CITATION {"citationItems":[{"id":"ITEM-1","itemData":{"DOI":"10.1242/jeb.134585","ISSN":"00220949","PMID":"28768746","abstract":"Observations of climate impacts on ecosystems highlight the need for an understanding of organismal thermal ranges and their implications at the ecosystem level. Where changes in aquatic animal populations have been observed, the integrative concept of oxygen- And capacitylimited thermal tolerance (OCLTT) has successfully characterised the onset of thermal limits to performance and field abundance. The OCLTT concept addresses the molecular to whole-animal mechanisms that define thermal constraints on the capacity for oxygen supply to the organism in relation to oxygen demand. The resulting 'total excess aerobic power budget' supports an animal's performance (e.g. comprising motor activity, reproduction and growth) within an individual's thermal range. The aerobic power budget is often approximated through measurements of aerobic scope for activity (i.e. the maximumdifference between resting and the highest exerciseinduced rate of oxygen consumption), whereas most animals in the field rely on lower (i.e. routine) modes of activity. At thermal limits, OCLTT also integrates protective mechanisms that extend time-limited tolerance to temperature extremes - mechanisms such as chaperones, anaerobic metabolism and antioxidative defence. Here, we briefly summarise the OCLTT concept and update it by addressing the role of routine metabolism.We highlight potential pitfalls in applying the concept and discuss the variables measured that led to the development ofOCLTT.We propose that OCLTTexplains why thermal vulnerability is highest at the whole-animal level and lowest at the molecular level. We also discuss how OCLTT captures the thermal constraints on the evolution of aquatic animal life and supports an understanding of the benefits of transitioning from water to land.","author":[{"dropping-particle":"","family":"Pörtner","given":"Hans O.","non-dropping-particle":"","parse-names":false,"suffix":""},{"dropping-particle":"","family":"Bock","given":"Christian","non-dropping-particle":"","parse-names":false,"suffix":""},{"dropping-particle":"","family":"Mark","given":"Felix C.","non-dropping-particle":"","parse-names":false,"suffix":""}],"container-title":"Journal of Experimental Biology","id":"ITEM-1","issue":"15","issued":{"date-parts":[["2017"]]},"page":"2685-2696","title":"Oxygen- &amp; capacity-limited thermal tolerance: Bridging ecology &amp; physiology","type":"article-journal","volume":"220"},"uris":["http://www.mendeley.com/documents/?uuid=75bfb54d-5f34-4c04-9371-3300f82aaa3b"]},{"id":"ITEM-2","itemData":{"DOI":"10.1126/science.1163156","ISSN":"00368075","abstract":"Studies of physiological mechanisms are needed to predict climate effects on ecosystems at species and community levels.","author":[{"dropping-particle":"","family":"Pörtner","given":"Hans O.","non-dropping-particle":"","parse-names":false,"suffix":""},{"dropping-particle":"","family":"Farrell","given":"Anthony P.","non-dropping-particle":"","parse-names":false,"suffix":""}],"container-title":"Science","id":"ITEM-2","issue":"5902","issued":{"date-parts":[["2008"]]},"page":"690-692","title":"Ecology: Physiology and climate change","type":"article-journal","volume":"322"},"uris":["http://www.mendeley.com/documents/?uuid=a8073439-5e4e-4b6f-90f6-b1efe1300dda"]}],"mendeley":{"formattedCitation":"(Pörtner et al., 2017; Pörtner &amp; Farrell, 2008)","plainTextFormattedCitation":"(Pörtner et al., 2017; Pörtner &amp; Farrell, 2008)","previouslyFormattedCitation":"(Pörtner et al., 2017; Pörtner &amp; Farrell, 2008)"},"properties":{"noteIndex":0},"schema":"https://github.com/citation-style-language/schema/raw/master/csl-citation.json"}</w:instrText>
            </w:r>
            <w:r w:rsidR="00B46A7F" w:rsidRPr="00475C67">
              <w:rPr>
                <w:rFonts w:cs="Calibri"/>
              </w:rPr>
              <w:fldChar w:fldCharType="separate"/>
            </w:r>
            <w:r w:rsidR="00DC7F94" w:rsidRPr="00DC7F94">
              <w:rPr>
                <w:rFonts w:cs="Calibri"/>
                <w:noProof/>
              </w:rPr>
              <w:t>(Pörtner et al., 2017; Pörtner &amp; Farrell, 2008)</w:t>
            </w:r>
            <w:r w:rsidR="00B46A7F" w:rsidRPr="00475C67">
              <w:rPr>
                <w:rFonts w:cs="Calibri"/>
              </w:rPr>
              <w:fldChar w:fldCharType="end"/>
            </w:r>
            <w:r w:rsidR="00B46A7F" w:rsidRPr="00475C67">
              <w:rPr>
                <w:rFonts w:cs="Calibri"/>
              </w:rPr>
              <w:t xml:space="preserve">. </w:t>
            </w:r>
            <w:r w:rsidR="00001A6A" w:rsidRPr="00475C67">
              <w:rPr>
                <w:rFonts w:cs="Calibri"/>
              </w:rPr>
              <w:t xml:space="preserve">However, there exists active debate around the universality of the OCLTT hypothesis </w:t>
            </w:r>
            <w:r w:rsidR="00001A6A" w:rsidRPr="00475C67">
              <w:rPr>
                <w:rFonts w:cs="Calibri"/>
              </w:rPr>
              <w:fldChar w:fldCharType="begin" w:fldLock="1"/>
            </w:r>
            <w:r w:rsidR="00DC7F94">
              <w:rPr>
                <w:rFonts w:cs="Calibri"/>
              </w:rPr>
              <w:instrText>ADDIN CSL_CITATION {"citationItems":[{"id":"ITEM-1","itemData":{"DOI":"10.1242/jeb.118851","author":[{"dropping-particle":"","family":"Schulte","given":"Patricia M","non-dropping-particle":"","parse-names":false,"suffix":""}],"container-title":"Journal of Experimental Biology","id":"ITEM-1","issued":{"date-parts":[["2015"]]},"page":"1856-1866","title":"The effects of temperature on aerobic metabolism : towards a mechanistic understanding of the responses of ectotherms to a changing environment","type":"article-journal","volume":"218"},"uris":["http://www.mendeley.com/documents/?uuid=31b41b09-dbe4-40b1-89cb-486d92177b54"]},{"id":"ITEM-2","itemData":{"DOI":"10.1242/jeb.238840","ISSN":"14779145","PMID":"33627469","abstract":"Warming of aquatic environments as a result of climate change is already having measurable impacts on fishes, manifested as changes in phenology, range shifts and reductions in body size. Understanding the physiological mechanisms underlying these seemingly universal patterns is crucial if we are to reliably predict the fate of fish populations with future warming. This includes an understanding of mechanisms for acute thermal tolerance, as extreme heatwaves may be a major driver of observed effects. The hypothesis of gill oxygen limitation (GOL) is claimed to explain asymptotic fish growth, and why some fish species are decreasing in size with warming; but its underlying assumptions conflict with established knowledge and direct mechanistic evidence is lacking. The hypothesis of oxygen- and capacity-limited thermal tolerance (OCLTT) has stimulated a wave of research into the role of oxygen supply capacity and thermal performance curves for aerobic scope, but results vary greatly between species, indicating that it is unlikely to be a universal mechanism. As thermal performance curves remain important for incorporating physiological tolerance into models, we discuss potentially fruitful alternatives to aerobic scope, notably specific dynamic action and growth rate. We consider the limitations of estimating acute thermal tolerance by a single rapid measure whose mechanism of action is not known. We emphasise the continued importance of experimental physiology, particularly in advancing our understanding of underlying mechanisms, but also the challenge of making this knowledge relevant to the more complex reality.","author":[{"dropping-particle":"","family":"Lefevre","given":"Sjannie","non-dropping-particle":"","parse-names":false,"suffix":""},{"dropping-particle":"","family":"Wang","given":"Tobias","non-dropping-particle":"","parse-names":false,"suffix":""},{"dropping-particle":"","family":"McKenzie","given":"David J.","non-dropping-particle":"","parse-names":false,"suffix":""}],"container-title":"Journal of Experimental Biology","id":"ITEM-2","issued":{"date-parts":[["2021"]]},"note":"Warming of aquatic environments as a result of climate change is already having measurable impacts on fishes, manifested as changes in phenology, range shifts and reductions in body size.","title":"The role of mechanistic physiology in investigating impacts of global warming on fishes","type":"article-journal","volume":"224"},"uris":["http://www.mendeley.com/documents/?uuid=0442063e-bb74-4223-85fe-c6bd4b04997d"]}],"mendeley":{"formattedCitation":"(Lefevre et al., 2021; Schulte, 2015)","plainTextFormattedCitation":"(Lefevre et al., 2021; Schulte, 2015)","previouslyFormattedCitation":"(Lefevre et al., 2021; Schulte, 2015)"},"properties":{"noteIndex":0},"schema":"https://github.com/citation-style-language/schema/raw/master/csl-citation.json"}</w:instrText>
            </w:r>
            <w:r w:rsidR="00001A6A" w:rsidRPr="00475C67">
              <w:rPr>
                <w:rFonts w:cs="Calibri"/>
              </w:rPr>
              <w:fldChar w:fldCharType="separate"/>
            </w:r>
            <w:r w:rsidR="00DC7F94" w:rsidRPr="00DC7F94">
              <w:rPr>
                <w:rFonts w:cs="Calibri"/>
                <w:noProof/>
              </w:rPr>
              <w:t>(Lefevre et al., 2021; Schulte, 2015)</w:t>
            </w:r>
            <w:r w:rsidR="00001A6A" w:rsidRPr="00475C67">
              <w:rPr>
                <w:rFonts w:cs="Calibri"/>
              </w:rPr>
              <w:fldChar w:fldCharType="end"/>
            </w:r>
            <w:r w:rsidR="00001A6A" w:rsidRPr="00475C67">
              <w:rPr>
                <w:rFonts w:cs="Calibri"/>
              </w:rPr>
              <w:t xml:space="preserve">. </w:t>
            </w:r>
          </w:p>
          <w:p w14:paraId="3F84F3B3" w14:textId="77777777" w:rsidR="00001A6A" w:rsidRPr="00475C67" w:rsidRDefault="00001A6A" w:rsidP="00B46A7F">
            <w:pPr>
              <w:jc w:val="both"/>
              <w:rPr>
                <w:rFonts w:cs="Calibri"/>
              </w:rPr>
            </w:pPr>
          </w:p>
          <w:p w14:paraId="06C3E73E" w14:textId="328E3FCA" w:rsidR="00001A6A" w:rsidRPr="00475C67" w:rsidRDefault="00001A6A" w:rsidP="00B46A7F">
            <w:pPr>
              <w:jc w:val="both"/>
              <w:rPr>
                <w:rFonts w:cs="Calibri"/>
              </w:rPr>
            </w:pPr>
            <w:r w:rsidRPr="00475C67">
              <w:rPr>
                <w:rFonts w:cs="Calibri"/>
              </w:rPr>
              <w:lastRenderedPageBreak/>
              <w:t xml:space="preserve"> </w:t>
            </w:r>
            <w:r w:rsidR="000B57C0" w:rsidRPr="00475C67">
              <w:rPr>
                <w:rFonts w:cs="Calibri"/>
              </w:rPr>
              <w:t xml:space="preserve">By measuring oxygen uptake simultaneously with </w:t>
            </w:r>
            <w:proofErr w:type="spellStart"/>
            <w:r w:rsidR="000B57C0" w:rsidRPr="00475C67">
              <w:rPr>
                <w:rFonts w:cs="Calibri"/>
              </w:rPr>
              <w:t>CT</w:t>
            </w:r>
            <w:r w:rsidR="000B57C0" w:rsidRPr="00475C67">
              <w:rPr>
                <w:rFonts w:cs="Calibri"/>
                <w:vertAlign w:val="subscript"/>
              </w:rPr>
              <w:t>max</w:t>
            </w:r>
            <w:proofErr w:type="spellEnd"/>
            <w:r w:rsidR="000B57C0" w:rsidRPr="00475C67">
              <w:rPr>
                <w:rFonts w:cs="Calibri"/>
              </w:rPr>
              <w:t xml:space="preserve"> measurements we were able to measure critical temperatures (</w:t>
            </w:r>
            <w:r w:rsidR="000B57C0" w:rsidRPr="00475C67">
              <w:rPr>
                <w:rFonts w:cs="Calibri"/>
                <w:i/>
                <w:iCs/>
              </w:rPr>
              <w:t>T</w:t>
            </w:r>
            <w:r w:rsidR="000B57C0" w:rsidRPr="00475C67">
              <w:rPr>
                <w:rFonts w:cs="Calibri"/>
                <w:vertAlign w:val="subscript"/>
              </w:rPr>
              <w:t>c</w:t>
            </w:r>
            <w:r w:rsidR="000B57C0" w:rsidRPr="00475C67">
              <w:rPr>
                <w:rFonts w:cs="Calibri"/>
              </w:rPr>
              <w:t xml:space="preserve">). </w:t>
            </w:r>
            <w:r w:rsidR="000B57C0" w:rsidRPr="00475C67">
              <w:rPr>
                <w:rFonts w:cs="Calibri"/>
                <w:i/>
                <w:iCs/>
              </w:rPr>
              <w:t>T</w:t>
            </w:r>
            <w:r w:rsidR="000B57C0" w:rsidRPr="00475C67">
              <w:rPr>
                <w:rFonts w:cs="Calibri"/>
                <w:vertAlign w:val="subscript"/>
              </w:rPr>
              <w:t xml:space="preserve">c </w:t>
            </w:r>
            <w:r w:rsidR="000B57C0" w:rsidRPr="00475C67">
              <w:rPr>
                <w:rFonts w:cs="Calibri"/>
              </w:rPr>
              <w:t xml:space="preserve">measurements refer to the temperature that separates permissive and stressful temperature domains </w:t>
            </w:r>
            <w:r w:rsidR="000B57C0" w:rsidRPr="00475C67">
              <w:rPr>
                <w:rFonts w:cs="Calibri"/>
              </w:rPr>
              <w:fldChar w:fldCharType="begin" w:fldLock="1"/>
            </w:r>
            <w:r w:rsidR="00DC7F94">
              <w:rPr>
                <w:rFonts w:cs="Calibri"/>
              </w:rPr>
              <w:instrText>ADDIN CSL_CITATION {"citationItems":[{"id":"ITEM-1","itemData":{"DOI":"10.1242/jeb.244514","ISSN":"14779145","PMID":"36189693","abstract":"Upper thermal limits (CTmax) are frequently used to parameterize the fundamental niche of ectothermic animals and to infer biogeographical distribution limits under current and future climate scenarios. However, there is considerable debate associated with the methodological, ecological and physiological definitions of CTmax. The recent (re)introduction of the thermal death time (TDT) model has reconciled some of these issues and now offers a solid mathematical foundation to model CTmax by considering both intensity and duration of thermal stress. Nevertheless, the physiological origin and boundaries of this temperature–duration model remain unexplored. Supported by empirical data, we here outline a reconciling framework that integrates the TDT model, which operates at stressful temperatures, with the classic thermal performance curve (TPC) that typically describes biological functions at permissive temperatures. Further, we discuss how the TDT model is founded on a balance between disruptive and regenerative biological processes that ultimately defines a critical boundary temperature (Tc) separating the TDT and TPC models. Collectively, this framework allows inclusion of both repair and accumulation of heat stress, and therefore also offers a consistent conceptual approach to understand the impact of high temperature under fluctuating thermal conditions. Further, this reconciling framework allows improved experimental designs to understand the physiological underpinnings and ecological consequences of ectotherm heat tolerance.","author":[{"dropping-particle":"","family":"Ørsted","given":"Michael","non-dropping-particle":"","parse-names":false,"suffix":""},{"dropping-particle":"","family":"Jørgensen","given":"Lisa Bjerregaard","non-dropping-particle":"","parse-names":false,"suffix":""},{"dropping-particle":"","family":"Overgaard","given":"Johannes","non-dropping-particle":"","parse-names":false,"suffix":""}],"container-title":"Journal of Experimental Biology","id":"ITEM-1","issue":"19","issued":{"date-parts":[["2022"]]},"title":"Finding the right thermal limit: a framework to reconcile ecological, physiological and methodological aspects of CTmax in ectotherms","type":"article-journal","volume":"225"},"uris":["http://www.mendeley.com/documents/?uuid=e58a8827-8fce-45c2-bad6-26c62cfe4bed"]}],"mendeley":{"formattedCitation":"(Ørsted et al., 2022)","plainTextFormattedCitation":"(Ørsted et al., 2022)","previouslyFormattedCitation":"(Ørsted et al., 2022)"},"properties":{"noteIndex":0},"schema":"https://github.com/citation-style-language/schema/raw/master/csl-citation.json"}</w:instrText>
            </w:r>
            <w:r w:rsidR="000B57C0" w:rsidRPr="00475C67">
              <w:rPr>
                <w:rFonts w:cs="Calibri"/>
              </w:rPr>
              <w:fldChar w:fldCharType="separate"/>
            </w:r>
            <w:r w:rsidR="00DC7F94" w:rsidRPr="00DC7F94">
              <w:rPr>
                <w:rFonts w:cs="Calibri"/>
                <w:noProof/>
              </w:rPr>
              <w:t>(Ørsted et al., 2022)</w:t>
            </w:r>
            <w:r w:rsidR="000B57C0" w:rsidRPr="00475C67">
              <w:rPr>
                <w:rFonts w:cs="Calibri"/>
              </w:rPr>
              <w:fldChar w:fldCharType="end"/>
            </w:r>
            <w:r w:rsidR="000B57C0" w:rsidRPr="00475C67">
              <w:rPr>
                <w:rFonts w:cs="Calibri"/>
              </w:rPr>
              <w:t xml:space="preserve">. Physiologically </w:t>
            </w:r>
            <w:r w:rsidR="000B57C0" w:rsidRPr="00475C67">
              <w:rPr>
                <w:rFonts w:cs="Calibri"/>
                <w:i/>
                <w:iCs/>
              </w:rPr>
              <w:t>T</w:t>
            </w:r>
            <w:r w:rsidR="000B57C0" w:rsidRPr="00475C67">
              <w:rPr>
                <w:rFonts w:cs="Calibri"/>
                <w:vertAlign w:val="subscript"/>
              </w:rPr>
              <w:t xml:space="preserve">c </w:t>
            </w:r>
            <w:r w:rsidR="000B57C0" w:rsidRPr="00475C67">
              <w:rPr>
                <w:rFonts w:cs="Calibri"/>
              </w:rPr>
              <w:t xml:space="preserve">represents temperatures at organisms transition from temperatures effects on ‘process supporting life’ to those on ‘processes causing injury and death’ </w:t>
            </w:r>
            <w:r w:rsidR="000B57C0" w:rsidRPr="00475C67">
              <w:rPr>
                <w:rFonts w:cs="Calibri"/>
              </w:rPr>
              <w:fldChar w:fldCharType="begin" w:fldLock="1"/>
            </w:r>
            <w:r w:rsidR="00DC7F94">
              <w:rPr>
                <w:rFonts w:cs="Calibri"/>
              </w:rPr>
              <w:instrText>ADDIN CSL_CITATION {"citationItems":[{"id":"ITEM-1","itemData":{"DOI":"10.1242/jeb.244514","ISSN":"14779145","PMID":"36189693","abstract":"Upper thermal limits (CTmax) are frequently used to parameterize the fundamental niche of ectothermic animals and to infer biogeographical distribution limits under current and future climate scenarios. However, there is considerable debate associated with the methodological, ecological and physiological definitions of CTmax. The recent (re)introduction of the thermal death time (TDT) model has reconciled some of these issues and now offers a solid mathematical foundation to model CTmax by considering both intensity and duration of thermal stress. Nevertheless, the physiological origin and boundaries of this temperature–duration model remain unexplored. Supported by empirical data, we here outline a reconciling framework that integrates the TDT model, which operates at stressful temperatures, with the classic thermal performance curve (TPC) that typically describes biological functions at permissive temperatures. Further, we discuss how the TDT model is founded on a balance between disruptive and regenerative biological processes that ultimately defines a critical boundary temperature (Tc) separating the TDT and TPC models. Collectively, this framework allows inclusion of both repair and accumulation of heat stress, and therefore also offers a consistent conceptual approach to understand the impact of high temperature under fluctuating thermal conditions. Further, this reconciling framework allows improved experimental designs to understand the physiological underpinnings and ecological consequences of ectotherm heat tolerance.","author":[{"dropping-particle":"","family":"Ørsted","given":"Michael","non-dropping-particle":"","parse-names":false,"suffix":""},{"dropping-particle":"","family":"Jørgensen","given":"Lisa Bjerregaard","non-dropping-particle":"","parse-names":false,"suffix":""},{"dropping-particle":"","family":"Overgaard","given":"Johannes","non-dropping-particle":"","parse-names":false,"suffix":""}],"container-title":"Journal of Experimental Biology","id":"ITEM-1","issue":"19","issued":{"date-parts":[["2022"]]},"title":"Finding the right thermal limit: a framework to reconcile ecological, physiological and methodological aspects of CTmax in ectotherms","type":"article-journal","volume":"225"},"uris":["http://www.mendeley.com/documents/?uuid=e58a8827-8fce-45c2-bad6-26c62cfe4bed"]}],"mendeley":{"formattedCitation":"(Ørsted et al., 2022)","plainTextFormattedCitation":"(Ørsted et al., 2022)","previouslyFormattedCitation":"(Ørsted et al., 2022)"},"properties":{"noteIndex":0},"schema":"https://github.com/citation-style-language/schema/raw/master/csl-citation.json"}</w:instrText>
            </w:r>
            <w:r w:rsidR="000B57C0" w:rsidRPr="00475C67">
              <w:rPr>
                <w:rFonts w:cs="Calibri"/>
              </w:rPr>
              <w:fldChar w:fldCharType="separate"/>
            </w:r>
            <w:r w:rsidR="00DC7F94" w:rsidRPr="00DC7F94">
              <w:rPr>
                <w:rFonts w:cs="Calibri"/>
                <w:noProof/>
              </w:rPr>
              <w:t>(Ørsted et al., 2022)</w:t>
            </w:r>
            <w:r w:rsidR="000B57C0" w:rsidRPr="00475C67">
              <w:rPr>
                <w:rFonts w:cs="Calibri"/>
              </w:rPr>
              <w:fldChar w:fldCharType="end"/>
            </w:r>
            <w:r w:rsidR="000B57C0" w:rsidRPr="00475C67">
              <w:rPr>
                <w:rFonts w:cs="Calibri"/>
              </w:rPr>
              <w:t xml:space="preserve">. Past </w:t>
            </w:r>
            <w:r w:rsidR="000B57C0" w:rsidRPr="00475C67">
              <w:rPr>
                <w:rFonts w:cs="Calibri"/>
                <w:i/>
                <w:iCs/>
              </w:rPr>
              <w:t>T</w:t>
            </w:r>
            <w:r w:rsidR="000B57C0" w:rsidRPr="00475C67">
              <w:rPr>
                <w:rFonts w:cs="Calibri"/>
                <w:vertAlign w:val="subscript"/>
              </w:rPr>
              <w:t xml:space="preserve">c </w:t>
            </w:r>
            <w:r w:rsidR="000B57C0" w:rsidRPr="00475C67">
              <w:rPr>
                <w:rFonts w:cs="Calibri"/>
              </w:rPr>
              <w:t xml:space="preserve">heat stress additively accumulates with increasing temperature intensity and duration, as a result of the rate of cellular damage outpacing the rate of cellular repair, subsequently causing the rate of heat failure to increase exponentially </w:t>
            </w:r>
            <w:r w:rsidR="000B57C0" w:rsidRPr="00475C67">
              <w:rPr>
                <w:rFonts w:cs="Calibri"/>
              </w:rPr>
              <w:fldChar w:fldCharType="begin" w:fldLock="1"/>
            </w:r>
            <w:r w:rsidR="00DC7F94">
              <w:rPr>
                <w:rFonts w:cs="Calibri"/>
              </w:rPr>
              <w:instrText>ADDIN CSL_CITATION {"citationItems":[{"id":"ITEM-1","itemData":{"DOI":"10.1242/jeb.244514","ISSN":"14779145","PMID":"36189693","abstract":"Upper thermal limits (CTmax) are frequently used to parameterize the fundamental niche of ectothermic animals and to infer biogeographical distribution limits under current and future climate scenarios. However, there is considerable debate associated with the methodological, ecological and physiological definitions of CTmax. The recent (re)introduction of the thermal death time (TDT) model has reconciled some of these issues and now offers a solid mathematical foundation to model CTmax by considering both intensity and duration of thermal stress. Nevertheless, the physiological origin and boundaries of this temperature–duration model remain unexplored. Supported by empirical data, we here outline a reconciling framework that integrates the TDT model, which operates at stressful temperatures, with the classic thermal performance curve (TPC) that typically describes biological functions at permissive temperatures. Further, we discuss how the TDT model is founded on a balance between disruptive and regenerative biological processes that ultimately defines a critical boundary temperature (Tc) separating the TDT and TPC models. Collectively, this framework allows inclusion of both repair and accumulation of heat stress, and therefore also offers a consistent conceptual approach to understand the impact of high temperature under fluctuating thermal conditions. Further, this reconciling framework allows improved experimental designs to understand the physiological underpinnings and ecological consequences of ectotherm heat tolerance.","author":[{"dropping-particle":"","family":"Ørsted","given":"Michael","non-dropping-particle":"","parse-names":false,"suffix":""},{"dropping-particle":"","family":"Jørgensen","given":"Lisa Bjerregaard","non-dropping-particle":"","parse-names":false,"suffix":""},{"dropping-particle":"","family":"Overgaard","given":"Johannes","non-dropping-particle":"","parse-names":false,"suffix":""}],"container-title":"Journal of Experimental Biology","id":"ITEM-1","issue":"19","issued":{"date-parts":[["2022"]]},"title":"Finding the right thermal limit: a framework to reconcile ecological, physiological and methodological aspects of CTmax in ectotherms","type":"article-journal","volume":"225"},"uris":["http://www.mendeley.com/documents/?uuid=e58a8827-8fce-45c2-bad6-26c62cfe4bed"]},{"id":"ITEM-2","itemData":{"DOI":"10.1111/gcb.70315","ISSN":"1354-1013","abstract":"&lt;p&gt;Forecasts of vulnerability to climate warming require an integrative understanding of how species are exposed to, are damaged by, and recover from thermal stress in natural environments. The sensitivity of species to temperature depends on the frequency, duration, and magnitude of thermal stress. Thus, there is a generally recognized need to move beyond physiological metrics based solely on critical thermal limits and integrate them with natural heat exposure regimes. Here we propose the thermal load sensitivity (TLS) framework, which integrates biophysical principles for quantifying exposure with physiological principles of the dynamics of damage and repair processes in driving sublethal impacts on organisms. Building upon the established thermal death time (TDT) model, which integrates both the magnitude and duration of stress, the TLS framework attempts to disentangle the accumulation of damage and subsequent repair processes that alter responses to thermal stress. With the aid of case studies and reproducible simulation examples, we discuss how the TLS framework can be applied to enhance our understanding of the ecology and evolution of heat stress responses. These include assessing thermal sensitivity across diverse taxonomic groups, throughout ontogeny, and for modular organisms, as well as integrating additional stressors in combination with temperature. We identify critical research opportunities, knowledge gaps, and novel ways of integrating physiological measures of thermal sensitivity to improve understanding and predictions of thermal vulnerability at various scales across life.&lt;/p&gt;","author":[{"dropping-particle":"","family":"Arnold","given":"Pieter A.","non-dropping-particle":"","parse-names":false,"suffix":""},{"dropping-particle":"","family":"Noble","given":"Daniel W. A.","non-dropping-particle":"","parse-names":false,"suffix":""},{"dropping-particle":"","family":"Nicotra","given":"Adrienne B.","non-dropping-particle":"","parse-names":false,"suffix":""},{"dropping-particle":"","family":"Kearney","given":"Michael R.","non-dropping-particle":"","parse-names":false,"suffix":""},{"dropping-particle":"","family":"Rezende","given":"Enrico L.","non-dropping-particle":"","parse-names":false,"suffix":""},{"dropping-particle":"","family":"Andrew","given":"Samuel C.","non-dropping-particle":"","parse-names":false,"suffix":""},{"dropping-particle":"","family":"Briceño","given":"Verónica F.","non-dropping-particle":"","parse-names":false,"suffix":""},{"dropping-particle":"","family":"Buckley","given":"Lauren B.","non-dropping-particle":"","parse-names":false,"suffix":""},{"dropping-particle":"","family":"Christian","given":"Keith A.","non-dropping-particle":"","parse-names":false,"suffix":""},{"dropping-particle":"","family":"Clusella</w:instrText>
            </w:r>
            <w:r w:rsidR="00DC7F94">
              <w:rPr>
                <w:rFonts w:ascii="Cambria Math" w:hAnsi="Cambria Math" w:cs="Cambria Math"/>
              </w:rPr>
              <w:instrText>‐</w:instrText>
            </w:r>
            <w:r w:rsidR="00DC7F94">
              <w:rPr>
                <w:rFonts w:cs="Calibri"/>
              </w:rPr>
              <w:instrText>Trullas","given":"Susana","non-dropping-particle":"","parse-names":false,"suffix":""},{"dropping-particle":"","family":"Geange","given":"Sonya R.","non-dropping-particle":"","parse-names":false,"suffix":""},{"dropping-particle":"","family":"Guja","given":"Lydia K.","non-dropping-particle":"","parse-names":false,"suffix":""},{"dropping-particle":"","family":"Jiménez Robles","given":"Octavio","non-dropping-particle":"","parse-names":false,"suffix":""},{"dropping-particle":"","family":"Kefford","given":"Ben J.","non-dropping-particle":"","parse-names":false,"suffix":""},{"dropping-particle":"","family":"Kellermann","given":"Vanessa","non-dropping-particle":"","parse-names":false,"suffix":""},{"dropping-particle":"","family":"Leigh","given":"Andrea","non-dropping-particle":"","parse-names":false,"suffix":""},{"dropping-particle":"","family":"Marchin","given":"Renée M.","non-dropping-particle":"","parse-names":false,"suffix":""},{"dropping-particle":"","family":"Mokany","given":"Karel","non-dropping-particle":"","parse-names":false,"suffix":""},{"dropping-particle":"","family":"Bennett","given":"Joanne M.","non-dropping-particle":"","parse-names":false,"suffix":""}],"container-title":"Global Change Biology","id":"ITEM-2","issue":"7","issued":{"date-parts":[["2025"]]},"page":"e70315","title":"A Framework for Modelling Thermal Load Sensitivity Across Life","type":"article-journal","volume":"31"},"uris":["http://www.mendeley.com/documents/?uuid=32011739-ded5-4e79-a1d0-3a2601df8b1a"]}],"mendeley":{"formattedCitation":"(Arnold et al., 2025; Ørsted et al., 2022)","plainTextFormattedCitation":"(Arnold et al., 2025; Ørsted et al., 2022)","previouslyFormattedCitation":"(Arnold et al., 2025; Ørsted et al., 2022)"},"properties":{"noteIndex":0},"schema":"https://github.com/citation-style-language/schema/raw/master/csl-citation.json"}</w:instrText>
            </w:r>
            <w:r w:rsidR="000B57C0" w:rsidRPr="00475C67">
              <w:rPr>
                <w:rFonts w:cs="Calibri"/>
              </w:rPr>
              <w:fldChar w:fldCharType="separate"/>
            </w:r>
            <w:r w:rsidR="00DC7F94" w:rsidRPr="00DC7F94">
              <w:rPr>
                <w:rFonts w:cs="Calibri"/>
                <w:noProof/>
              </w:rPr>
              <w:t>(Arnold et al., 2025; Ørsted et al., 2022)</w:t>
            </w:r>
            <w:r w:rsidR="000B57C0" w:rsidRPr="00475C67">
              <w:rPr>
                <w:rFonts w:cs="Calibri"/>
              </w:rPr>
              <w:fldChar w:fldCharType="end"/>
            </w:r>
            <w:r w:rsidR="000B57C0" w:rsidRPr="00475C67">
              <w:rPr>
                <w:rFonts w:cs="Calibri"/>
              </w:rPr>
              <w:t xml:space="preserve">. </w:t>
            </w:r>
            <w:r w:rsidR="000B57C0" w:rsidRPr="00475C67">
              <w:rPr>
                <w:rFonts w:cs="Calibri"/>
                <w:i/>
                <w:iCs/>
              </w:rPr>
              <w:t>T</w:t>
            </w:r>
            <w:r w:rsidR="000B57C0" w:rsidRPr="00475C67">
              <w:rPr>
                <w:rFonts w:cs="Calibri"/>
                <w:vertAlign w:val="subscript"/>
              </w:rPr>
              <w:t xml:space="preserve">c </w:t>
            </w:r>
            <w:r w:rsidR="000B57C0" w:rsidRPr="00475C67">
              <w:rPr>
                <w:rFonts w:cs="Calibri"/>
              </w:rPr>
              <w:t xml:space="preserve">therefore represents an more ecologically relevant metric than </w:t>
            </w:r>
            <w:proofErr w:type="spellStart"/>
            <w:r w:rsidR="000B57C0" w:rsidRPr="00475C67">
              <w:rPr>
                <w:rFonts w:cs="Calibri"/>
              </w:rPr>
              <w:t>CT</w:t>
            </w:r>
            <w:r w:rsidR="000B57C0" w:rsidRPr="00475C67">
              <w:rPr>
                <w:rFonts w:cs="Calibri"/>
                <w:vertAlign w:val="subscript"/>
              </w:rPr>
              <w:t>max</w:t>
            </w:r>
            <w:proofErr w:type="spellEnd"/>
            <w:r w:rsidR="000B57C0" w:rsidRPr="00475C67">
              <w:rPr>
                <w:rFonts w:cs="Calibri"/>
              </w:rPr>
              <w:t xml:space="preserve"> as it represents the temperature threshold that once past individuals can only withstand for a finite amount of time before it succumbs to heat stress </w:t>
            </w:r>
            <w:r w:rsidR="000B57C0" w:rsidRPr="00475C67">
              <w:rPr>
                <w:rFonts w:cs="Calibri"/>
              </w:rPr>
              <w:fldChar w:fldCharType="begin" w:fldLock="1"/>
            </w:r>
            <w:r w:rsidR="00DC7F94">
              <w:rPr>
                <w:rFonts w:cs="Calibri"/>
              </w:rPr>
              <w:instrText>ADDIN CSL_CITATION {"citationItems":[{"id":"ITEM-1","itemData":{"DOI":"10.1242/jeb.244514","ISSN":"14779145","PMID":"36189693","abstract":"Upper thermal limits (CTmax) are frequently used to parameterize the fundamental niche of ectothermic animals and to infer biogeographical distribution limits under current and future climate scenarios. However, there is considerable debate associated with the methodological, ecological and physiological definitions of CTmax. The recent (re)introduction of the thermal death time (TDT) model has reconciled some of these issues and now offers a solid mathematical foundation to model CTmax by considering both intensity and duration of thermal stress. Nevertheless, the physiological origin and boundaries of this temperature–duration model remain unexplored. Supported by empirical data, we here outline a reconciling framework that integrates the TDT model, which operates at stressful temperatures, with the classic thermal performance curve (TPC) that typically describes biological functions at permissive temperatures. Further, we discuss how the TDT model is founded on a balance between disruptive and regenerative biological processes that ultimately defines a critical boundary temperature (Tc) separating the TDT and TPC models. Collectively, this framework allows inclusion of both repair and accumulation of heat stress, and therefore also offers a consistent conceptual approach to understand the impact of high temperature under fluctuating thermal conditions. Further, this reconciling framework allows improved experimental designs to understand the physiological underpinnings and ecological consequences of ectotherm heat tolerance.","author":[{"dropping-particle":"","family":"Ørsted","given":"Michael","non-dropping-particle":"","parse-names":false,"suffix":""},{"dropping-particle":"","family":"Jørgensen","given":"Lisa Bjerregaard","non-dropping-particle":"","parse-names":false,"suffix":""},{"dropping-particle":"","family":"Overgaard","given":"Johannes","non-dropping-particle":"","parse-names":false,"suffix":""}],"container-title":"Journal of Experimental Biology","id":"ITEM-1","issue":"19","issued":{"date-parts":[["2022"]]},"title":"Finding the right thermal limit: a framework to reconcile ecological, physiological and methodological aspects of CTmax in ectotherms","type":"article-journal","volume":"225"},"uris":["http://www.mendeley.com/documents/?uuid=e58a8827-8fce-45c2-bad6-26c62cfe4bed"]},{"id":"ITEM-2","itemData":{"DOI":"10.1111/gcb.70315","ISSN":"1354-1013","abstract":"&lt;p&gt;Forecasts of vulnerability to climate warming require an integrative understanding of how species are exposed to, are damaged by, and recover from thermal stress in natural environments. The sensitivity of species to temperature depends on the frequency, duration, and magnitude of thermal stress. Thus, there is a generally recognized need to move beyond physiological metrics based solely on critical thermal limits and integrate them with natural heat exposure regimes. Here we propose the thermal load sensitivity (TLS) framework, which integrates biophysical principles for quantifying exposure with physiological principles of the dynamics of damage and repair processes in driving sublethal impacts on organisms. Building upon the established thermal death time (TDT) model, which integrates both the magnitude and duration of stress, the TLS framework attempts to disentangle the accumulation of damage and subsequent repair processes that alter responses to thermal stress. With the aid of case studies and reproducible simulation examples, we discuss how the TLS framework can be applied to enhance our understanding of the ecology and evolution of heat stress responses. These include assessing thermal sensitivity across diverse taxonomic groups, throughout ontogeny, and for modular organisms, as well as integrating additional stressors in combination with temperature. We identify critical research opportunities, knowledge gaps, and novel ways of integrating physiological measures of thermal sensitivity to improve understanding and predictions of thermal vulnerability at various scales across life.&lt;/p&gt;","author":[{"dropping-particle":"","family":"Arnold","given":"Pieter A.","non-dropping-particle":"","parse-names":false,"suffix":""},{"dropping-particle":"","family":"Noble","given":"Daniel W. A.","non-dropping-particle":"","parse-names":false,"suffix":""},{"dropping-particle":"","family":"Nicotra","given":"Adrienne B.","non-dropping-particle":"","parse-names":false,"suffix":""},{"dropping-particle":"","family":"Kearney","given":"Michael R.","non-dropping-particle":"","parse-names":false,"suffix":""},{"dropping-particle":"","family":"Rezende","given":"Enrico L.","non-dropping-particle":"","parse-names":false,"suffix":""},{"dropping-particle":"","family":"Andrew","given":"Samuel C.","non-dropping-particle":"","parse-names":false,"suffix":""},{"dropping-particle":"","family":"Briceño","given":"Verónica F.","non-dropping-particle":"","parse-names":false,"suffix":""},{"dropping-particle":"","family":"Buckley","given":"Lauren B.","non-dropping-particle":"","parse-names":false,"suffix":""},{"dropping-particle":"","family":"Christian","given":"Keith A.","non-dropping-particle":"","parse-names":false,"suffix":""},{"dropping-particle":"","family":"Clusella</w:instrText>
            </w:r>
            <w:r w:rsidR="00DC7F94">
              <w:rPr>
                <w:rFonts w:ascii="Cambria Math" w:hAnsi="Cambria Math" w:cs="Cambria Math"/>
              </w:rPr>
              <w:instrText>‐</w:instrText>
            </w:r>
            <w:r w:rsidR="00DC7F94">
              <w:rPr>
                <w:rFonts w:cs="Calibri"/>
              </w:rPr>
              <w:instrText>Trullas","given":"Susana","non-dropping-particle":"","parse-names":false,"suffix":""},{"dropping-particle":"","family":"Geange","given":"Sonya R.","non-dropping-particle":"","parse-names":false,"suffix":""},{"dropping-particle":"","family":"Guja","given":"Lydia K.","non-dropping-particle":"","parse-names":false,"suffix":""},{"dropping-particle":"","family":"Jiménez Robles","given":"Octavio","non-dropping-particle":"","parse-names":false,"suffix":""},{"dropping-particle":"","family":"Kefford","given":"Ben J.","non-dropping-particle":"","parse-names":false,"suffix":""},{"dropping-particle":"","family":"Kellermann","given":"Vanessa","non-dropping-particle":"","parse-names":false,"suffix":""},{"dropping-particle":"","family":"Leigh","given":"Andrea","non-dropping-particle":"","parse-names":false,"suffix":""},{"dropping-particle":"","family":"Marchin","given":"Renée M.","non-dropping-particle":"","parse-names":false,"suffix":""},{"dropping-particle":"","family":"Mokany","given":"Karel","non-dropping-particle":"","parse-names":false,"suffix":""},{"dropping-particle":"","family":"Bennett","given":"Joanne M.","non-dropping-particle":"","parse-names":false,"suffix":""}],"container-title":"Global Change Biology","id":"ITEM-2","issue":"7","issued":{"date-parts":[["2025"]]},"page":"e70315","title":"A Framework for Modelling Thermal Load Sensitivity Across Life","type":"article-journal","volume":"31"},"uris":["http://www.mendeley.com/documents/?uuid=32011739-ded5-4e79-a1d0-3a2601df8b1a"]}],"mendeley":{"formattedCitation":"(Arnold et al., 2025; Ørsted et al., 2022)","plainTextFormattedCitation":"(Arnold et al., 2025; Ørsted et al., 2022)","previouslyFormattedCitation":"(Arnold et al., 2025; Ørsted et al., 2022)"},"properties":{"noteIndex":0},"schema":"https://github.com/citation-style-language/schema/raw/master/csl-citation.json"}</w:instrText>
            </w:r>
            <w:r w:rsidR="000B57C0" w:rsidRPr="00475C67">
              <w:rPr>
                <w:rFonts w:cs="Calibri"/>
              </w:rPr>
              <w:fldChar w:fldCharType="separate"/>
            </w:r>
            <w:r w:rsidR="00DC7F94" w:rsidRPr="00DC7F94">
              <w:rPr>
                <w:rFonts w:cs="Calibri"/>
                <w:noProof/>
              </w:rPr>
              <w:t>(Arnold et al., 2025; Ørsted et al., 2022)</w:t>
            </w:r>
            <w:r w:rsidR="000B57C0" w:rsidRPr="00475C67">
              <w:rPr>
                <w:rFonts w:cs="Calibri"/>
              </w:rPr>
              <w:fldChar w:fldCharType="end"/>
            </w:r>
            <w:r w:rsidR="000B57C0" w:rsidRPr="00475C67">
              <w:rPr>
                <w:rFonts w:cs="Calibri"/>
              </w:rPr>
              <w:t xml:space="preserve">. </w:t>
            </w:r>
          </w:p>
          <w:p w14:paraId="796CD788" w14:textId="00A31A2D" w:rsidR="00EE2246" w:rsidRPr="00475C67" w:rsidRDefault="00EE2246" w:rsidP="00001A6A">
            <w:pPr>
              <w:jc w:val="both"/>
              <w:rPr>
                <w:rFonts w:cs="Calibri"/>
              </w:rPr>
            </w:pPr>
          </w:p>
        </w:tc>
      </w:tr>
    </w:tbl>
    <w:p w14:paraId="6574316C" w14:textId="77777777" w:rsidR="00994911" w:rsidRDefault="00994911"/>
    <w:p w14:paraId="629157CD" w14:textId="1706BCA8" w:rsidR="00DC7F94" w:rsidRDefault="00DC7F94">
      <w:pPr>
        <w:rPr>
          <w:b/>
          <w:bCs/>
          <w:sz w:val="24"/>
          <w:szCs w:val="24"/>
          <w:u w:val="single"/>
        </w:rPr>
      </w:pPr>
      <w:r>
        <w:rPr>
          <w:b/>
          <w:bCs/>
          <w:sz w:val="24"/>
          <w:szCs w:val="24"/>
          <w:u w:val="single"/>
        </w:rPr>
        <w:t xml:space="preserve">Reference: </w:t>
      </w:r>
    </w:p>
    <w:p w14:paraId="7234D866" w14:textId="31275663"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fldChar w:fldCharType="begin" w:fldLock="1"/>
      </w:r>
      <w:r>
        <w:instrText xml:space="preserve">ADDIN Mendeley Bibliography CSL_BIBLIOGRAPHY </w:instrText>
      </w:r>
      <w:r>
        <w:fldChar w:fldCharType="separate"/>
      </w:r>
      <w:r w:rsidRPr="00DC7F94">
        <w:rPr>
          <w:rFonts w:ascii="Aptos" w:hAnsi="Aptos" w:cs="Times New Roman"/>
          <w:noProof/>
          <w:kern w:val="0"/>
        </w:rPr>
        <w:t>Arnold, P. A., Noble, D. W. A., Nicotra, A. B., Kearney, M. R., Rezende, E. L., Andrew, S. C., Briceño, V. F., Buckley, L. B., Christian, K. A., Clusella</w:t>
      </w:r>
      <w:r w:rsidRPr="00DC7F94">
        <w:rPr>
          <w:rFonts w:ascii="Cambria Math" w:hAnsi="Cambria Math" w:cs="Cambria Math"/>
          <w:noProof/>
          <w:kern w:val="0"/>
        </w:rPr>
        <w:t>‐</w:t>
      </w:r>
      <w:r w:rsidRPr="00DC7F94">
        <w:rPr>
          <w:rFonts w:ascii="Aptos" w:hAnsi="Aptos" w:cs="Times New Roman"/>
          <w:noProof/>
          <w:kern w:val="0"/>
        </w:rPr>
        <w:t xml:space="preserve">Trullas, S., Geange, S. R., Guja, L. K., Jiménez Robles, O., Kefford, B. J., Kellermann, V., Leigh, A., Marchin, R. M., Mokany, K., &amp; Bennett, J. M. (2025). A Framework for Modelling Thermal Load Sensitivity Across Life. </w:t>
      </w:r>
      <w:r w:rsidRPr="00DC7F94">
        <w:rPr>
          <w:rFonts w:ascii="Aptos" w:hAnsi="Aptos" w:cs="Times New Roman"/>
          <w:i/>
          <w:iCs/>
          <w:noProof/>
          <w:kern w:val="0"/>
        </w:rPr>
        <w:t>Global Change Biology</w:t>
      </w:r>
      <w:r w:rsidRPr="00DC7F94">
        <w:rPr>
          <w:rFonts w:ascii="Aptos" w:hAnsi="Aptos" w:cs="Times New Roman"/>
          <w:noProof/>
          <w:kern w:val="0"/>
        </w:rPr>
        <w:t xml:space="preserve">, </w:t>
      </w:r>
      <w:r w:rsidRPr="00DC7F94">
        <w:rPr>
          <w:rFonts w:ascii="Aptos" w:hAnsi="Aptos" w:cs="Times New Roman"/>
          <w:i/>
          <w:iCs/>
          <w:noProof/>
          <w:kern w:val="0"/>
        </w:rPr>
        <w:t>31</w:t>
      </w:r>
      <w:r w:rsidRPr="00DC7F94">
        <w:rPr>
          <w:rFonts w:ascii="Aptos" w:hAnsi="Aptos" w:cs="Times New Roman"/>
          <w:noProof/>
          <w:kern w:val="0"/>
        </w:rPr>
        <w:t>(7), e70315. https://doi.org/10.1111/gcb.70315</w:t>
      </w:r>
    </w:p>
    <w:p w14:paraId="705EB4D1"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Audzijonyte, A., Richards, S. A., Stuart-Smith, R. D., Pecl, G., Edgar, G. J., Barrett, N. S., Payne, N., &amp; Blanchard, J. L. (2020). Fish body sizes change with temperature but not all species shrink with warming. </w:t>
      </w:r>
      <w:r w:rsidRPr="00DC7F94">
        <w:rPr>
          <w:rFonts w:ascii="Aptos" w:hAnsi="Aptos" w:cs="Times New Roman"/>
          <w:i/>
          <w:iCs/>
          <w:noProof/>
          <w:kern w:val="0"/>
        </w:rPr>
        <w:t>Nature Ecology and Evolution</w:t>
      </w:r>
      <w:r w:rsidRPr="00DC7F94">
        <w:rPr>
          <w:rFonts w:ascii="Aptos" w:hAnsi="Aptos" w:cs="Times New Roman"/>
          <w:noProof/>
          <w:kern w:val="0"/>
        </w:rPr>
        <w:t xml:space="preserve">, </w:t>
      </w:r>
      <w:r w:rsidRPr="00DC7F94">
        <w:rPr>
          <w:rFonts w:ascii="Aptos" w:hAnsi="Aptos" w:cs="Times New Roman"/>
          <w:i/>
          <w:iCs/>
          <w:noProof/>
          <w:kern w:val="0"/>
        </w:rPr>
        <w:t>4</w:t>
      </w:r>
      <w:r w:rsidRPr="00DC7F94">
        <w:rPr>
          <w:rFonts w:ascii="Aptos" w:hAnsi="Aptos" w:cs="Times New Roman"/>
          <w:noProof/>
          <w:kern w:val="0"/>
        </w:rPr>
        <w:t>(6), 809–814. https://doi.org/10.1038/s41559-020-1171-0</w:t>
      </w:r>
    </w:p>
    <w:p w14:paraId="7C4BA830"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Cheung, W. W. L., Sarmiento, J. L., Dunne, J., Frölicher, T. L., Lam, V. W. Y., Palomares, M. L. D., Watson, R., &amp; Pauly, D. (2013). Shrinking of fishes exacerbates impacts of global ocean changes on marine ecosystems. </w:t>
      </w:r>
      <w:r w:rsidRPr="00DC7F94">
        <w:rPr>
          <w:rFonts w:ascii="Aptos" w:hAnsi="Aptos" w:cs="Times New Roman"/>
          <w:i/>
          <w:iCs/>
          <w:noProof/>
          <w:kern w:val="0"/>
        </w:rPr>
        <w:t>Nature Climate Change</w:t>
      </w:r>
      <w:r w:rsidRPr="00DC7F94">
        <w:rPr>
          <w:rFonts w:ascii="Aptos" w:hAnsi="Aptos" w:cs="Times New Roman"/>
          <w:noProof/>
          <w:kern w:val="0"/>
        </w:rPr>
        <w:t xml:space="preserve">, </w:t>
      </w:r>
      <w:r w:rsidRPr="00DC7F94">
        <w:rPr>
          <w:rFonts w:ascii="Aptos" w:hAnsi="Aptos" w:cs="Times New Roman"/>
          <w:i/>
          <w:iCs/>
          <w:noProof/>
          <w:kern w:val="0"/>
        </w:rPr>
        <w:t>3</w:t>
      </w:r>
      <w:r w:rsidRPr="00DC7F94">
        <w:rPr>
          <w:rFonts w:ascii="Aptos" w:hAnsi="Aptos" w:cs="Times New Roman"/>
          <w:noProof/>
          <w:kern w:val="0"/>
        </w:rPr>
        <w:t>(3), 254–258. https://doi.org/10.1038/nclimate1691</w:t>
      </w:r>
    </w:p>
    <w:p w14:paraId="7D8039C9"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Desforges, J. E., Birnie-Gauvin, K., Jutfelt, F., Gilmour, K. M., Eliason, E. J., Dressler, T. L., McKenzie, D. J., Bates, A. E., Lawrence, M. J., Fangue, N., &amp; Cooke, S. J. (2023). The ecological relevance of critical thermal maxima methodology for fishes. </w:t>
      </w:r>
      <w:r w:rsidRPr="00DC7F94">
        <w:rPr>
          <w:rFonts w:ascii="Aptos" w:hAnsi="Aptos" w:cs="Times New Roman"/>
          <w:i/>
          <w:iCs/>
          <w:noProof/>
          <w:kern w:val="0"/>
        </w:rPr>
        <w:t>Journal of Fish Biology</w:t>
      </w:r>
      <w:r w:rsidRPr="00DC7F94">
        <w:rPr>
          <w:rFonts w:ascii="Aptos" w:hAnsi="Aptos" w:cs="Times New Roman"/>
          <w:noProof/>
          <w:kern w:val="0"/>
        </w:rPr>
        <w:t xml:space="preserve">, </w:t>
      </w:r>
      <w:r w:rsidRPr="00DC7F94">
        <w:rPr>
          <w:rFonts w:ascii="Aptos" w:hAnsi="Aptos" w:cs="Times New Roman"/>
          <w:i/>
          <w:iCs/>
          <w:noProof/>
          <w:kern w:val="0"/>
        </w:rPr>
        <w:t>February</w:t>
      </w:r>
      <w:r w:rsidRPr="00DC7F94">
        <w:rPr>
          <w:rFonts w:ascii="Aptos" w:hAnsi="Aptos" w:cs="Times New Roman"/>
          <w:noProof/>
          <w:kern w:val="0"/>
        </w:rPr>
        <w:t>, 1–17. https://doi.org/10.1111/jfb.15368</w:t>
      </w:r>
    </w:p>
    <w:p w14:paraId="3B35DA11"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Gardner, J. L., Peters, A., Kearney, M. R., Joseph, L., &amp; Heinsohn, R. (2011). Declining body size: A third universal response to warming? </w:t>
      </w:r>
      <w:r w:rsidRPr="00DC7F94">
        <w:rPr>
          <w:rFonts w:ascii="Aptos" w:hAnsi="Aptos" w:cs="Times New Roman"/>
          <w:i/>
          <w:iCs/>
          <w:noProof/>
          <w:kern w:val="0"/>
        </w:rPr>
        <w:t>Trends in Ecology and Evolution</w:t>
      </w:r>
      <w:r w:rsidRPr="00DC7F94">
        <w:rPr>
          <w:rFonts w:ascii="Aptos" w:hAnsi="Aptos" w:cs="Times New Roman"/>
          <w:noProof/>
          <w:kern w:val="0"/>
        </w:rPr>
        <w:t xml:space="preserve">, </w:t>
      </w:r>
      <w:r w:rsidRPr="00DC7F94">
        <w:rPr>
          <w:rFonts w:ascii="Aptos" w:hAnsi="Aptos" w:cs="Times New Roman"/>
          <w:i/>
          <w:iCs/>
          <w:noProof/>
          <w:kern w:val="0"/>
        </w:rPr>
        <w:t>26</w:t>
      </w:r>
      <w:r w:rsidRPr="00DC7F94">
        <w:rPr>
          <w:rFonts w:ascii="Aptos" w:hAnsi="Aptos" w:cs="Times New Roman"/>
          <w:noProof/>
          <w:kern w:val="0"/>
        </w:rPr>
        <w:t>(6), 285–291. https://doi.org/10.1016/j.tree.2011.03.005</w:t>
      </w:r>
    </w:p>
    <w:p w14:paraId="1BFB965E"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Illing, B., Downie, A. T., Beghin, M., &amp; Rummer, J. L. (2020). Critical thermal maxima of early life stages of three tropical fishes: Effects of rearing </w:t>
      </w:r>
      <w:r w:rsidRPr="00DC7F94">
        <w:rPr>
          <w:rFonts w:ascii="Aptos" w:hAnsi="Aptos" w:cs="Times New Roman"/>
          <w:noProof/>
          <w:kern w:val="0"/>
        </w:rPr>
        <w:lastRenderedPageBreak/>
        <w:t xml:space="preserve">temperature and experimental heating rate. </w:t>
      </w:r>
      <w:r w:rsidRPr="00DC7F94">
        <w:rPr>
          <w:rFonts w:ascii="Aptos" w:hAnsi="Aptos" w:cs="Times New Roman"/>
          <w:i/>
          <w:iCs/>
          <w:noProof/>
          <w:kern w:val="0"/>
        </w:rPr>
        <w:t>Journal of Thermal Biology</w:t>
      </w:r>
      <w:r w:rsidRPr="00DC7F94">
        <w:rPr>
          <w:rFonts w:ascii="Aptos" w:hAnsi="Aptos" w:cs="Times New Roman"/>
          <w:noProof/>
          <w:kern w:val="0"/>
        </w:rPr>
        <w:t xml:space="preserve">, </w:t>
      </w:r>
      <w:r w:rsidRPr="00DC7F94">
        <w:rPr>
          <w:rFonts w:ascii="Aptos" w:hAnsi="Aptos" w:cs="Times New Roman"/>
          <w:i/>
          <w:iCs/>
          <w:noProof/>
          <w:kern w:val="0"/>
        </w:rPr>
        <w:t>90</w:t>
      </w:r>
      <w:r w:rsidRPr="00DC7F94">
        <w:rPr>
          <w:rFonts w:ascii="Aptos" w:hAnsi="Aptos" w:cs="Times New Roman"/>
          <w:noProof/>
          <w:kern w:val="0"/>
        </w:rPr>
        <w:t>, 102582. https://doi.org/10.1016/j.jtherbio.2020.102582</w:t>
      </w:r>
    </w:p>
    <w:p w14:paraId="1DC465F9"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Jakob, E. M., Marshall, S. D., &amp; Uetz, G. W. (1996). Estimating Fitness</w:t>
      </w:r>
      <w:r w:rsidRPr="00DC7F94">
        <w:rPr>
          <w:rFonts w:ascii="Arial" w:hAnsi="Arial" w:cs="Arial"/>
          <w:noProof/>
          <w:kern w:val="0"/>
        </w:rPr>
        <w:t> </w:t>
      </w:r>
      <w:r w:rsidRPr="00DC7F94">
        <w:rPr>
          <w:rFonts w:ascii="Aptos" w:hAnsi="Aptos" w:cs="Times New Roman"/>
          <w:noProof/>
          <w:kern w:val="0"/>
        </w:rPr>
        <w:t xml:space="preserve">: A Comparison of Body Condition Indices. </w:t>
      </w:r>
      <w:r w:rsidRPr="00DC7F94">
        <w:rPr>
          <w:rFonts w:ascii="Aptos" w:hAnsi="Aptos" w:cs="Times New Roman"/>
          <w:i/>
          <w:iCs/>
          <w:noProof/>
          <w:kern w:val="0"/>
        </w:rPr>
        <w:t>Oikos</w:t>
      </w:r>
      <w:r w:rsidRPr="00DC7F94">
        <w:rPr>
          <w:rFonts w:ascii="Aptos" w:hAnsi="Aptos" w:cs="Times New Roman"/>
          <w:noProof/>
          <w:kern w:val="0"/>
        </w:rPr>
        <w:t xml:space="preserve">, </w:t>
      </w:r>
      <w:r w:rsidRPr="00DC7F94">
        <w:rPr>
          <w:rFonts w:ascii="Aptos" w:hAnsi="Aptos" w:cs="Times New Roman"/>
          <w:i/>
          <w:iCs/>
          <w:noProof/>
          <w:kern w:val="0"/>
        </w:rPr>
        <w:t>77</w:t>
      </w:r>
      <w:r w:rsidRPr="00DC7F94">
        <w:rPr>
          <w:rFonts w:ascii="Aptos" w:hAnsi="Aptos" w:cs="Times New Roman"/>
          <w:noProof/>
          <w:kern w:val="0"/>
        </w:rPr>
        <w:t>(1), 61–67.</w:t>
      </w:r>
    </w:p>
    <w:p w14:paraId="1288C26C"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Killen, S. S., Christensen, E. A. F., Cortese, D., Závorka, L., Norin, T., Cotgrove, L., Crespel, A., Munson, A., Nati, J. J. H., Papatheodoulou, M., &amp; McKenzie, D. J. (2021). Guidelines for reporting methods to estimate metabolic rates by aquatic intermittent-flow respirometry. </w:t>
      </w:r>
      <w:r w:rsidRPr="00DC7F94">
        <w:rPr>
          <w:rFonts w:ascii="Aptos" w:hAnsi="Aptos" w:cs="Times New Roman"/>
          <w:i/>
          <w:iCs/>
          <w:noProof/>
          <w:kern w:val="0"/>
        </w:rPr>
        <w:t>Journal of Experimental Biology</w:t>
      </w:r>
      <w:r w:rsidRPr="00DC7F94">
        <w:rPr>
          <w:rFonts w:ascii="Aptos" w:hAnsi="Aptos" w:cs="Times New Roman"/>
          <w:noProof/>
          <w:kern w:val="0"/>
        </w:rPr>
        <w:t xml:space="preserve">, </w:t>
      </w:r>
      <w:r w:rsidRPr="00DC7F94">
        <w:rPr>
          <w:rFonts w:ascii="Aptos" w:hAnsi="Aptos" w:cs="Times New Roman"/>
          <w:i/>
          <w:iCs/>
          <w:noProof/>
          <w:kern w:val="0"/>
        </w:rPr>
        <w:t>224</w:t>
      </w:r>
      <w:r w:rsidRPr="00DC7F94">
        <w:rPr>
          <w:rFonts w:ascii="Aptos" w:hAnsi="Aptos" w:cs="Times New Roman"/>
          <w:noProof/>
          <w:kern w:val="0"/>
        </w:rPr>
        <w:t>(18). https://doi.org/10.1242/jeb.242522</w:t>
      </w:r>
    </w:p>
    <w:p w14:paraId="23976F38"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Lefevre, S., Wang, T., &amp; McKenzie, D. J. (2021). The role of mechanistic physiology in investigating impacts of global warming on fishes. </w:t>
      </w:r>
      <w:r w:rsidRPr="00DC7F94">
        <w:rPr>
          <w:rFonts w:ascii="Aptos" w:hAnsi="Aptos" w:cs="Times New Roman"/>
          <w:i/>
          <w:iCs/>
          <w:noProof/>
          <w:kern w:val="0"/>
        </w:rPr>
        <w:t>Journal of Experimental Biology</w:t>
      </w:r>
      <w:r w:rsidRPr="00DC7F94">
        <w:rPr>
          <w:rFonts w:ascii="Aptos" w:hAnsi="Aptos" w:cs="Times New Roman"/>
          <w:noProof/>
          <w:kern w:val="0"/>
        </w:rPr>
        <w:t xml:space="preserve">, </w:t>
      </w:r>
      <w:r w:rsidRPr="00DC7F94">
        <w:rPr>
          <w:rFonts w:ascii="Aptos" w:hAnsi="Aptos" w:cs="Times New Roman"/>
          <w:i/>
          <w:iCs/>
          <w:noProof/>
          <w:kern w:val="0"/>
        </w:rPr>
        <w:t>224</w:t>
      </w:r>
      <w:r w:rsidRPr="00DC7F94">
        <w:rPr>
          <w:rFonts w:ascii="Aptos" w:hAnsi="Aptos" w:cs="Times New Roman"/>
          <w:noProof/>
          <w:kern w:val="0"/>
        </w:rPr>
        <w:t>. https://doi.org/10.1242/jeb.238840</w:t>
      </w:r>
    </w:p>
    <w:p w14:paraId="039283D9"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Ørsted, M., Jørgensen, L. B., &amp; Overgaard, J. (2022). Finding the right thermal limit: a framework to reconcile ecological, physiological and methodological aspects of CTmax in ectotherms. </w:t>
      </w:r>
      <w:r w:rsidRPr="00DC7F94">
        <w:rPr>
          <w:rFonts w:ascii="Aptos" w:hAnsi="Aptos" w:cs="Times New Roman"/>
          <w:i/>
          <w:iCs/>
          <w:noProof/>
          <w:kern w:val="0"/>
        </w:rPr>
        <w:t>Journal of Experimental Biology</w:t>
      </w:r>
      <w:r w:rsidRPr="00DC7F94">
        <w:rPr>
          <w:rFonts w:ascii="Aptos" w:hAnsi="Aptos" w:cs="Times New Roman"/>
          <w:noProof/>
          <w:kern w:val="0"/>
        </w:rPr>
        <w:t xml:space="preserve">, </w:t>
      </w:r>
      <w:r w:rsidRPr="00DC7F94">
        <w:rPr>
          <w:rFonts w:ascii="Aptos" w:hAnsi="Aptos" w:cs="Times New Roman"/>
          <w:i/>
          <w:iCs/>
          <w:noProof/>
          <w:kern w:val="0"/>
        </w:rPr>
        <w:t>225</w:t>
      </w:r>
      <w:r w:rsidRPr="00DC7F94">
        <w:rPr>
          <w:rFonts w:ascii="Aptos" w:hAnsi="Aptos" w:cs="Times New Roman"/>
          <w:noProof/>
          <w:kern w:val="0"/>
        </w:rPr>
        <w:t>(19). https://doi.org/10.1242/jeb.244514</w:t>
      </w:r>
    </w:p>
    <w:p w14:paraId="26D8E0C5"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Pörtner, H. O., Bock, C., &amp; Mark, F. C. (2017). Oxygen- &amp; capacity-limited thermal tolerance: Bridging ecology &amp; physiology. </w:t>
      </w:r>
      <w:r w:rsidRPr="00DC7F94">
        <w:rPr>
          <w:rFonts w:ascii="Aptos" w:hAnsi="Aptos" w:cs="Times New Roman"/>
          <w:i/>
          <w:iCs/>
          <w:noProof/>
          <w:kern w:val="0"/>
        </w:rPr>
        <w:t>Journal of Experimental Biology</w:t>
      </w:r>
      <w:r w:rsidRPr="00DC7F94">
        <w:rPr>
          <w:rFonts w:ascii="Aptos" w:hAnsi="Aptos" w:cs="Times New Roman"/>
          <w:noProof/>
          <w:kern w:val="0"/>
        </w:rPr>
        <w:t xml:space="preserve">, </w:t>
      </w:r>
      <w:r w:rsidRPr="00DC7F94">
        <w:rPr>
          <w:rFonts w:ascii="Aptos" w:hAnsi="Aptos" w:cs="Times New Roman"/>
          <w:i/>
          <w:iCs/>
          <w:noProof/>
          <w:kern w:val="0"/>
        </w:rPr>
        <w:t>220</w:t>
      </w:r>
      <w:r w:rsidRPr="00DC7F94">
        <w:rPr>
          <w:rFonts w:ascii="Aptos" w:hAnsi="Aptos" w:cs="Times New Roman"/>
          <w:noProof/>
          <w:kern w:val="0"/>
        </w:rPr>
        <w:t>(15), 2685–2696. https://doi.org/10.1242/jeb.134585</w:t>
      </w:r>
    </w:p>
    <w:p w14:paraId="69339D3C"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Pörtner, H. O., &amp; Farrell, A. P. (2008). Ecology: Physiology and climate change. </w:t>
      </w:r>
      <w:r w:rsidRPr="00DC7F94">
        <w:rPr>
          <w:rFonts w:ascii="Aptos" w:hAnsi="Aptos" w:cs="Times New Roman"/>
          <w:i/>
          <w:iCs/>
          <w:noProof/>
          <w:kern w:val="0"/>
        </w:rPr>
        <w:t>Science</w:t>
      </w:r>
      <w:r w:rsidRPr="00DC7F94">
        <w:rPr>
          <w:rFonts w:ascii="Aptos" w:hAnsi="Aptos" w:cs="Times New Roman"/>
          <w:noProof/>
          <w:kern w:val="0"/>
        </w:rPr>
        <w:t xml:space="preserve">, </w:t>
      </w:r>
      <w:r w:rsidRPr="00DC7F94">
        <w:rPr>
          <w:rFonts w:ascii="Aptos" w:hAnsi="Aptos" w:cs="Times New Roman"/>
          <w:i/>
          <w:iCs/>
          <w:noProof/>
          <w:kern w:val="0"/>
        </w:rPr>
        <w:t>322</w:t>
      </w:r>
      <w:r w:rsidRPr="00DC7F94">
        <w:rPr>
          <w:rFonts w:ascii="Aptos" w:hAnsi="Aptos" w:cs="Times New Roman"/>
          <w:noProof/>
          <w:kern w:val="0"/>
        </w:rPr>
        <w:t>(5902), 690–692. https://doi.org/10.1126/science.1163156</w:t>
      </w:r>
    </w:p>
    <w:p w14:paraId="7C24056C"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 xml:space="preserve">Rodgers, G. G., Donelson, J. M., McCormick, M. I., &amp; Munday, P. L. (2018). In hot water: sustained ocean warming reduces survival of a low-latitude coral reef fish. </w:t>
      </w:r>
      <w:r w:rsidRPr="00DC7F94">
        <w:rPr>
          <w:rFonts w:ascii="Aptos" w:hAnsi="Aptos" w:cs="Times New Roman"/>
          <w:i/>
          <w:iCs/>
          <w:noProof/>
          <w:kern w:val="0"/>
        </w:rPr>
        <w:t>Marine Biology</w:t>
      </w:r>
      <w:r w:rsidRPr="00DC7F94">
        <w:rPr>
          <w:rFonts w:ascii="Aptos" w:hAnsi="Aptos" w:cs="Times New Roman"/>
          <w:noProof/>
          <w:kern w:val="0"/>
        </w:rPr>
        <w:t xml:space="preserve">, </w:t>
      </w:r>
      <w:r w:rsidRPr="00DC7F94">
        <w:rPr>
          <w:rFonts w:ascii="Aptos" w:hAnsi="Aptos" w:cs="Times New Roman"/>
          <w:i/>
          <w:iCs/>
          <w:noProof/>
          <w:kern w:val="0"/>
        </w:rPr>
        <w:t>165</w:t>
      </w:r>
      <w:r w:rsidRPr="00DC7F94">
        <w:rPr>
          <w:rFonts w:ascii="Aptos" w:hAnsi="Aptos" w:cs="Times New Roman"/>
          <w:noProof/>
          <w:kern w:val="0"/>
        </w:rPr>
        <w:t>(4), 1–10. https://doi.org/10.1007/s00227-018-3333-z</w:t>
      </w:r>
    </w:p>
    <w:p w14:paraId="0CF0FF64" w14:textId="77777777" w:rsidR="00DC7F94" w:rsidRPr="00DC7F94" w:rsidRDefault="00DC7F94" w:rsidP="00DC7F94">
      <w:pPr>
        <w:widowControl w:val="0"/>
        <w:autoSpaceDE w:val="0"/>
        <w:autoSpaceDN w:val="0"/>
        <w:adjustRightInd w:val="0"/>
        <w:spacing w:line="240" w:lineRule="auto"/>
        <w:ind w:left="480" w:hanging="480"/>
        <w:rPr>
          <w:rFonts w:ascii="Aptos" w:hAnsi="Aptos" w:cs="Times New Roman"/>
          <w:noProof/>
          <w:kern w:val="0"/>
        </w:rPr>
      </w:pPr>
      <w:r w:rsidRPr="00DC7F94">
        <w:rPr>
          <w:rFonts w:ascii="Aptos" w:hAnsi="Aptos" w:cs="Times New Roman"/>
          <w:noProof/>
          <w:kern w:val="0"/>
        </w:rPr>
        <w:t>Schulte, P. M. (2015). The effects of temperature on aerobic metabolism</w:t>
      </w:r>
      <w:r w:rsidRPr="00DC7F94">
        <w:rPr>
          <w:rFonts w:ascii="Arial" w:hAnsi="Arial" w:cs="Arial"/>
          <w:noProof/>
          <w:kern w:val="0"/>
        </w:rPr>
        <w:t> </w:t>
      </w:r>
      <w:r w:rsidRPr="00DC7F94">
        <w:rPr>
          <w:rFonts w:ascii="Aptos" w:hAnsi="Aptos" w:cs="Times New Roman"/>
          <w:noProof/>
          <w:kern w:val="0"/>
        </w:rPr>
        <w:t xml:space="preserve">: towards a mechanistic understanding of the responses of ectotherms to a changing environment. </w:t>
      </w:r>
      <w:r w:rsidRPr="00DC7F94">
        <w:rPr>
          <w:rFonts w:ascii="Aptos" w:hAnsi="Aptos" w:cs="Times New Roman"/>
          <w:i/>
          <w:iCs/>
          <w:noProof/>
          <w:kern w:val="0"/>
        </w:rPr>
        <w:t>Journal of Experimental Biology</w:t>
      </w:r>
      <w:r w:rsidRPr="00DC7F94">
        <w:rPr>
          <w:rFonts w:ascii="Aptos" w:hAnsi="Aptos" w:cs="Times New Roman"/>
          <w:noProof/>
          <w:kern w:val="0"/>
        </w:rPr>
        <w:t xml:space="preserve">, </w:t>
      </w:r>
      <w:r w:rsidRPr="00DC7F94">
        <w:rPr>
          <w:rFonts w:ascii="Aptos" w:hAnsi="Aptos" w:cs="Times New Roman"/>
          <w:i/>
          <w:iCs/>
          <w:noProof/>
          <w:kern w:val="0"/>
        </w:rPr>
        <w:t>218</w:t>
      </w:r>
      <w:r w:rsidRPr="00DC7F94">
        <w:rPr>
          <w:rFonts w:ascii="Aptos" w:hAnsi="Aptos" w:cs="Times New Roman"/>
          <w:noProof/>
          <w:kern w:val="0"/>
        </w:rPr>
        <w:t>, 1856–1866. https://doi.org/10.1242/jeb.118851</w:t>
      </w:r>
    </w:p>
    <w:p w14:paraId="14825C3F" w14:textId="77777777" w:rsidR="00DC7F94" w:rsidRPr="00DC7F94" w:rsidRDefault="00DC7F94" w:rsidP="00DC7F94">
      <w:pPr>
        <w:widowControl w:val="0"/>
        <w:autoSpaceDE w:val="0"/>
        <w:autoSpaceDN w:val="0"/>
        <w:adjustRightInd w:val="0"/>
        <w:spacing w:line="240" w:lineRule="auto"/>
        <w:ind w:left="480" w:hanging="480"/>
        <w:rPr>
          <w:rFonts w:ascii="Aptos" w:hAnsi="Aptos"/>
          <w:noProof/>
        </w:rPr>
      </w:pPr>
      <w:r w:rsidRPr="00DC7F94">
        <w:rPr>
          <w:rFonts w:ascii="Aptos" w:hAnsi="Aptos" w:cs="Times New Roman"/>
          <w:noProof/>
          <w:kern w:val="0"/>
        </w:rPr>
        <w:t xml:space="preserve">Verberk, W. C. E. P., Atkinson, D., Hoefnagel, K. N., Hirst, A. G., Horne, C. R., &amp; Siepel, H. (2021). Shrinking body sizes in response to warming: explanations for the temperature–size rule with special emphasis on the role of oxygen. </w:t>
      </w:r>
      <w:r w:rsidRPr="00DC7F94">
        <w:rPr>
          <w:rFonts w:ascii="Aptos" w:hAnsi="Aptos" w:cs="Times New Roman"/>
          <w:i/>
          <w:iCs/>
          <w:noProof/>
          <w:kern w:val="0"/>
        </w:rPr>
        <w:t>Biological Reviews</w:t>
      </w:r>
      <w:r w:rsidRPr="00DC7F94">
        <w:rPr>
          <w:rFonts w:ascii="Aptos" w:hAnsi="Aptos" w:cs="Times New Roman"/>
          <w:noProof/>
          <w:kern w:val="0"/>
        </w:rPr>
        <w:t xml:space="preserve">, </w:t>
      </w:r>
      <w:r w:rsidRPr="00DC7F94">
        <w:rPr>
          <w:rFonts w:ascii="Aptos" w:hAnsi="Aptos" w:cs="Times New Roman"/>
          <w:i/>
          <w:iCs/>
          <w:noProof/>
          <w:kern w:val="0"/>
        </w:rPr>
        <w:t>96</w:t>
      </w:r>
      <w:r w:rsidRPr="00DC7F94">
        <w:rPr>
          <w:rFonts w:ascii="Aptos" w:hAnsi="Aptos" w:cs="Times New Roman"/>
          <w:noProof/>
          <w:kern w:val="0"/>
        </w:rPr>
        <w:t>(1), 247–268. https://doi.org/10.1111/brv.12653</w:t>
      </w:r>
    </w:p>
    <w:p w14:paraId="6C62B8EB" w14:textId="14C3432D" w:rsidR="00DC7F94" w:rsidRPr="00DC7F94" w:rsidRDefault="00DC7F94">
      <w:r>
        <w:fldChar w:fldCharType="end"/>
      </w:r>
    </w:p>
    <w:sectPr w:rsidR="00DC7F94" w:rsidRPr="00DC7F94" w:rsidSect="00E9662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26"/>
    <w:rsid w:val="00001A6A"/>
    <w:rsid w:val="00062520"/>
    <w:rsid w:val="0006614D"/>
    <w:rsid w:val="00095B40"/>
    <w:rsid w:val="000B57C0"/>
    <w:rsid w:val="000C2A9C"/>
    <w:rsid w:val="001227F8"/>
    <w:rsid w:val="00147EA9"/>
    <w:rsid w:val="00154AB0"/>
    <w:rsid w:val="00176292"/>
    <w:rsid w:val="00194FEB"/>
    <w:rsid w:val="001A2E2A"/>
    <w:rsid w:val="001C32FA"/>
    <w:rsid w:val="001E2EB1"/>
    <w:rsid w:val="00367DC7"/>
    <w:rsid w:val="003A53CD"/>
    <w:rsid w:val="003D5947"/>
    <w:rsid w:val="00452C06"/>
    <w:rsid w:val="00473BB9"/>
    <w:rsid w:val="00475C67"/>
    <w:rsid w:val="004C6ADD"/>
    <w:rsid w:val="00511FF6"/>
    <w:rsid w:val="00582EA4"/>
    <w:rsid w:val="005C13D3"/>
    <w:rsid w:val="005F47F0"/>
    <w:rsid w:val="00606A1A"/>
    <w:rsid w:val="00620080"/>
    <w:rsid w:val="006F5F4F"/>
    <w:rsid w:val="0070328E"/>
    <w:rsid w:val="00775780"/>
    <w:rsid w:val="00776A28"/>
    <w:rsid w:val="008504C1"/>
    <w:rsid w:val="008650C2"/>
    <w:rsid w:val="00866BCA"/>
    <w:rsid w:val="00871898"/>
    <w:rsid w:val="008A2F14"/>
    <w:rsid w:val="008D31B0"/>
    <w:rsid w:val="0094678E"/>
    <w:rsid w:val="00955497"/>
    <w:rsid w:val="0096056A"/>
    <w:rsid w:val="00994911"/>
    <w:rsid w:val="00996351"/>
    <w:rsid w:val="009D47C1"/>
    <w:rsid w:val="009E6643"/>
    <w:rsid w:val="00A7207C"/>
    <w:rsid w:val="00A90DE4"/>
    <w:rsid w:val="00B273FC"/>
    <w:rsid w:val="00B33CE9"/>
    <w:rsid w:val="00B43852"/>
    <w:rsid w:val="00B46A7F"/>
    <w:rsid w:val="00B66607"/>
    <w:rsid w:val="00BA0610"/>
    <w:rsid w:val="00BD041C"/>
    <w:rsid w:val="00BD39AD"/>
    <w:rsid w:val="00BD570B"/>
    <w:rsid w:val="00C027D3"/>
    <w:rsid w:val="00C2759F"/>
    <w:rsid w:val="00CD0546"/>
    <w:rsid w:val="00D8434C"/>
    <w:rsid w:val="00DA05B9"/>
    <w:rsid w:val="00DC7F94"/>
    <w:rsid w:val="00E049DB"/>
    <w:rsid w:val="00E76901"/>
    <w:rsid w:val="00E96626"/>
    <w:rsid w:val="00EA6DFE"/>
    <w:rsid w:val="00ED27CD"/>
    <w:rsid w:val="00EE2246"/>
    <w:rsid w:val="00F02BB3"/>
    <w:rsid w:val="00F1478B"/>
    <w:rsid w:val="00F64533"/>
    <w:rsid w:val="00FA71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250DF"/>
  <w15:chartTrackingRefBased/>
  <w15:docId w15:val="{5E01C4E3-FF90-4AFA-AF89-5BD3E6612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96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62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9662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9662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9662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9662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9662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9662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9662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9662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96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62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96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62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96626"/>
    <w:pPr>
      <w:spacing w:before="160"/>
      <w:jc w:val="center"/>
    </w:pPr>
    <w:rPr>
      <w:i/>
      <w:iCs/>
      <w:color w:val="404040" w:themeColor="text1" w:themeTint="BF"/>
    </w:rPr>
  </w:style>
  <w:style w:type="character" w:customStyle="1" w:styleId="QuoteChar">
    <w:name w:val="Quote Char"/>
    <w:basedOn w:val="DefaultParagraphFont"/>
    <w:link w:val="Quote"/>
    <w:uiPriority w:val="29"/>
    <w:rsid w:val="00E96626"/>
    <w:rPr>
      <w:i/>
      <w:iCs/>
      <w:color w:val="404040" w:themeColor="text1" w:themeTint="BF"/>
      <w:lang w:val="en-GB"/>
    </w:rPr>
  </w:style>
  <w:style w:type="paragraph" w:styleId="ListParagraph">
    <w:name w:val="List Paragraph"/>
    <w:basedOn w:val="Normal"/>
    <w:uiPriority w:val="34"/>
    <w:qFormat/>
    <w:rsid w:val="00E96626"/>
    <w:pPr>
      <w:ind w:left="720"/>
      <w:contextualSpacing/>
    </w:pPr>
  </w:style>
  <w:style w:type="character" w:styleId="IntenseEmphasis">
    <w:name w:val="Intense Emphasis"/>
    <w:basedOn w:val="DefaultParagraphFont"/>
    <w:uiPriority w:val="21"/>
    <w:qFormat/>
    <w:rsid w:val="00E96626"/>
    <w:rPr>
      <w:i/>
      <w:iCs/>
      <w:color w:val="0F4761" w:themeColor="accent1" w:themeShade="BF"/>
    </w:rPr>
  </w:style>
  <w:style w:type="paragraph" w:styleId="IntenseQuote">
    <w:name w:val="Intense Quote"/>
    <w:basedOn w:val="Normal"/>
    <w:next w:val="Normal"/>
    <w:link w:val="IntenseQuoteChar"/>
    <w:uiPriority w:val="30"/>
    <w:qFormat/>
    <w:rsid w:val="00E96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626"/>
    <w:rPr>
      <w:i/>
      <w:iCs/>
      <w:color w:val="0F4761" w:themeColor="accent1" w:themeShade="BF"/>
      <w:lang w:val="en-GB"/>
    </w:rPr>
  </w:style>
  <w:style w:type="character" w:styleId="IntenseReference">
    <w:name w:val="Intense Reference"/>
    <w:basedOn w:val="DefaultParagraphFont"/>
    <w:uiPriority w:val="32"/>
    <w:qFormat/>
    <w:rsid w:val="00E96626"/>
    <w:rPr>
      <w:b/>
      <w:bCs/>
      <w:smallCaps/>
      <w:color w:val="0F4761" w:themeColor="accent1" w:themeShade="BF"/>
      <w:spacing w:val="5"/>
    </w:rPr>
  </w:style>
  <w:style w:type="table" w:styleId="TableGrid">
    <w:name w:val="Table Grid"/>
    <w:basedOn w:val="TableNormal"/>
    <w:uiPriority w:val="39"/>
    <w:rsid w:val="00E96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B5E5E-AFE2-42B5-A48E-8191E2C8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10524</Words>
  <Characters>59990</Characters>
  <Application>Microsoft Office Word</Application>
  <DocSecurity>0</DocSecurity>
  <Lines>499</Lines>
  <Paragraphs>140</Paragraphs>
  <ScaleCrop>false</ScaleCrop>
  <Company>James Cook University</Company>
  <LinksUpToDate>false</LinksUpToDate>
  <CharactersWithSpaces>70374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Schmidt</dc:creator>
  <cp:keywords/>
  <dc:description/>
  <cp:lastModifiedBy>Elliott Schmidt</cp:lastModifiedBy>
  <cp:revision>7</cp:revision>
  <cp:lastPrinted>2025-08-15T12:09:00Z</cp:lastPrinted>
  <dcterms:created xsi:type="dcterms:W3CDTF">2025-08-15T12:07:00Z</dcterms:created>
  <dcterms:modified xsi:type="dcterms:W3CDTF">2025-08-27T23:27:00Z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http://www.zotero.org/styles/chicago-author-date</vt:lpwstr>
  </property>
  <property fmtid="{D5CDD505-2E9C-101B-9397-08002B2CF9AE}" pid="3" name="Mendeley Recent Style Name 0_1">
    <vt:lpwstr>Chicago Manual of Style 17th edition (author-date)</vt:lpwstr>
  </property>
  <property fmtid="{D5CDD505-2E9C-101B-9397-08002B2CF9AE}" pid="4" name="Mendeley Recent Style Id 1_1">
    <vt:lpwstr>http://www.zotero.org/styles/harvard-cite-them-right</vt:lpwstr>
  </property>
  <property fmtid="{D5CDD505-2E9C-101B-9397-08002B2CF9AE}" pid="5" name="Mendeley Recent Style Name 1_1">
    <vt:lpwstr>Cite Them Right 10th edition - Harvard</vt:lpwstr>
  </property>
  <property fmtid="{D5CDD505-2E9C-101B-9397-08002B2CF9AE}" pid="6" name="Mendeley Recent Style Id 2_1">
    <vt:lpwstr>http://www.zotero.org/styles/conservation-biology</vt:lpwstr>
  </property>
  <property fmtid="{D5CDD505-2E9C-101B-9397-08002B2CF9AE}" pid="7" name="Mendeley Recent Style Name 2_1">
    <vt:lpwstr>Conservation Biology</vt:lpwstr>
  </property>
  <property fmtid="{D5CDD505-2E9C-101B-9397-08002B2CF9AE}" pid="8" name="Mendeley Recent Style Id 3_1">
    <vt:lpwstr>http://csl.mendeley.com/styles/25263071/coral-reefs-3</vt:lpwstr>
  </property>
  <property fmtid="{D5CDD505-2E9C-101B-9397-08002B2CF9AE}" pid="9" name="Mendeley Recent Style Name 3_1">
    <vt:lpwstr>Coral Reefs - Elliott Schmidt</vt:lpwstr>
  </property>
  <property fmtid="{D5CDD505-2E9C-101B-9397-08002B2CF9AE}" pid="10" name="Mendeley Recent Style Id 4_1">
    <vt:lpwstr>http://www.zotero.org/styles/ecosphere</vt:lpwstr>
  </property>
  <property fmtid="{D5CDD505-2E9C-101B-9397-08002B2CF9AE}" pid="11" name="Mendeley Recent Style Name 4_1">
    <vt:lpwstr>Ecosphere</vt:lpwstr>
  </property>
  <property fmtid="{D5CDD505-2E9C-101B-9397-08002B2CF9AE}" pid="12" name="Mendeley Recent Style Id 5_1">
    <vt:lpwstr>http://www.zotero.org/styles/global-change-biology</vt:lpwstr>
  </property>
  <property fmtid="{D5CDD505-2E9C-101B-9397-08002B2CF9AE}" pid="13" name="Mendeley Recent Style Name 5_1">
    <vt:lpwstr>Global Change Biology</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d8221839-87f5-377c-8d30-2635909f4e41</vt:lpwstr>
  </property>
  <property fmtid="{D5CDD505-2E9C-101B-9397-08002B2CF9AE}" pid="24" name="Mendeley Citation Style_1">
    <vt:lpwstr>http://www.zotero.org/styles/global-change-biology</vt:lpwstr>
  </property>
</Properties>
</file>