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CD34+CD38– Cell Isolation Kit Protocol</w:t>
      </w:r>
    </w:p>
    <w:p>
      <w:pPr>
        <w:pStyle w:val="Heading2"/>
      </w:pPr>
      <w:r>
        <w:t>Objective</w:t>
      </w:r>
    </w:p>
    <w:p>
      <w:r>
        <w:t>Isolate the primitive CD38– subset of CD34+ hematopoietic stem and progenitor cells from human samples using magnetic labeling and separation techniques.</w:t>
      </w:r>
    </w:p>
    <w:p>
      <w:pPr>
        <w:pStyle w:val="Heading2"/>
      </w:pPr>
      <w:r>
        <w:t>Materials</w:t>
      </w:r>
    </w:p>
    <w:p>
      <w:pPr>
        <w:pStyle w:val="ListBullet"/>
      </w:pPr>
      <w:r>
        <w:t>CD34 MultiSort MicroBeads, human (2 mL)</w:t>
      </w:r>
    </w:p>
    <w:p>
      <w:pPr>
        <w:pStyle w:val="ListBullet"/>
      </w:pPr>
      <w:r>
        <w:t>CD38 MicroBeads, human (1 mL)</w:t>
      </w:r>
    </w:p>
    <w:p>
      <w:pPr>
        <w:pStyle w:val="ListBullet"/>
      </w:pPr>
      <w:r>
        <w:t>MultiSort Release Reagent (2 × 1 mL)</w:t>
      </w:r>
    </w:p>
    <w:p>
      <w:pPr>
        <w:pStyle w:val="ListBullet"/>
      </w:pPr>
      <w:r>
        <w:t>MultiSort Stop Reagent (2 mL)</w:t>
      </w:r>
    </w:p>
    <w:p>
      <w:pPr>
        <w:pStyle w:val="ListBullet"/>
      </w:pPr>
      <w:r>
        <w:t>FcR Blocking Reagent, human (2 mL)</w:t>
      </w:r>
    </w:p>
    <w:p>
      <w:pPr>
        <w:pStyle w:val="ListBullet"/>
      </w:pPr>
      <w:r>
        <w:t>Phosphate-buffered saline (PBS), pH 7.2</w:t>
      </w:r>
    </w:p>
    <w:p>
      <w:pPr>
        <w:pStyle w:val="ListBullet"/>
      </w:pPr>
      <w:r>
        <w:t>Bovine serum albumin (BSA) 0.5%</w:t>
      </w:r>
    </w:p>
    <w:p>
      <w:pPr>
        <w:pStyle w:val="ListBullet"/>
      </w:pPr>
      <w:r>
        <w:t>EDTA 2 mM (alternatively ACD-A or CPD anticoagulants)</w:t>
      </w:r>
    </w:p>
    <w:p>
      <w:pPr>
        <w:pStyle w:val="ListBullet"/>
      </w:pPr>
      <w:r>
        <w:t>autoMACS® Rinsing Solution</w:t>
      </w:r>
    </w:p>
    <w:p>
      <w:pPr>
        <w:pStyle w:val="ListBullet"/>
      </w:pPr>
      <w:r>
        <w:t>MACS Columns (LS Columns)</w:t>
      </w:r>
    </w:p>
    <w:p>
      <w:pPr>
        <w:pStyle w:val="ListBullet"/>
      </w:pPr>
      <w:r>
        <w:t>MACS Separators (MidiMACS, QuadroMACS, VarioMACS, SuperMACS II)</w:t>
      </w:r>
    </w:p>
    <w:p>
      <w:pPr>
        <w:pStyle w:val="ListBullet"/>
      </w:pPr>
      <w:r>
        <w:t>Optional: Pre-Separation Filters (30 µm nylon mesh)</w:t>
      </w:r>
    </w:p>
    <w:p>
      <w:pPr>
        <w:pStyle w:val="ListBullet"/>
      </w:pPr>
      <w:r>
        <w:t>Optional: Fluorochrome-conjugated antibodies (e.g., CD45-VioBlue®, CD34-FITC, CD38-APC)</w:t>
      </w:r>
    </w:p>
    <w:p>
      <w:pPr>
        <w:pStyle w:val="ListBullet"/>
      </w:pPr>
      <w:r>
        <w:t>Optional: Labeling Check Reagent-APC</w:t>
      </w:r>
    </w:p>
    <w:p>
      <w:pPr>
        <w:pStyle w:val="ListBullet"/>
      </w:pPr>
      <w:r>
        <w:t>Optional: Propidium Iodide Solution or 7-AAD Staining Solution</w:t>
      </w:r>
    </w:p>
    <w:p>
      <w:pPr>
        <w:pStyle w:val="ListBullet"/>
      </w:pPr>
      <w:r>
        <w:t>Optional: Dead Cell Removal Kit</w:t>
      </w:r>
    </w:p>
    <w:p>
      <w:pPr>
        <w:pStyle w:val="ListBullet"/>
      </w:pPr>
      <w:r>
        <w:t>Centrifuge capable of 300×g and 200×g</w:t>
      </w:r>
    </w:p>
    <w:p>
      <w:pPr>
        <w:pStyle w:val="ListBullet"/>
      </w:pPr>
      <w:r>
        <w:t>Collection tubes</w:t>
      </w:r>
    </w:p>
    <w:p>
      <w:pPr>
        <w:pStyle w:val="Heading2"/>
      </w:pPr>
      <w:r>
        <w:t>Procedure</w:t>
      </w:r>
    </w:p>
    <w:p>
      <w:pPr>
        <w:pStyle w:val="Heading3"/>
      </w:pPr>
      <w:r>
        <w:t>2.1 Sample preparation</w:t>
      </w:r>
    </w:p>
    <w:p>
      <w:pPr>
        <w:pStyle w:val="ListNumber"/>
      </w:pPr>
      <w:r>
        <w:t>Isolate mononuclear cells (MNCs) from cord blood or bone marrow by density gradient centrifugation (e.g., using Ficoll-Paque™).</w:t>
      </w:r>
    </w:p>
    <w:p>
      <w:pPr>
        <w:pStyle w:val="ListNumber"/>
      </w:pPr>
      <w:r>
        <w:t>Remove platelets by resuspending the cell pellet in buffer and centrifuging at 200×g for 10−15 minutes at 20 °C. Carefully aspirate supernatant. Repeat washing step.</w:t>
      </w:r>
    </w:p>
    <w:p>
      <w:pPr>
        <w:pStyle w:val="ListNumber"/>
      </w:pPr>
      <w:r>
        <w:t>Remove dead cells using density gradient centrifugation or the Dead Cell Removal Kit if necessary.</w:t>
      </w:r>
    </w:p>
    <w:p>
      <w:pPr>
        <w:pStyle w:val="ListNumber"/>
      </w:pPr>
      <w:r>
        <w:t>For leukapheresis material, filter apheresis harvest through a 30 μm nylon mesh and wash cells once with buffer.</w:t>
      </w:r>
    </w:p>
    <w:p>
      <w:pPr>
        <w:pStyle w:val="ListNumber"/>
      </w:pPr>
      <w:r>
        <w:t>Resuspend cells in a final volume of 300 μL of buffer per 10⁸ cells.</w:t>
      </w:r>
    </w:p>
    <w:p>
      <w:pPr>
        <w:pStyle w:val="Heading3"/>
      </w:pPr>
      <w:r>
        <w:t>2.2 First magnetic labeling</w:t>
      </w:r>
    </w:p>
    <w:p>
      <w:pPr>
        <w:pStyle w:val="ListNumber"/>
      </w:pPr>
      <w:r>
        <w:t>Determine cell number.</w:t>
      </w:r>
    </w:p>
    <w:p>
      <w:pPr>
        <w:pStyle w:val="ListNumber"/>
      </w:pPr>
      <w:r>
        <w:t>Centrifuge cell suspension at 300×g for 10 minutes. Aspirate supernatant completely.</w:t>
      </w:r>
    </w:p>
    <w:p>
      <w:pPr>
        <w:pStyle w:val="ListNumber"/>
      </w:pPr>
      <w:r>
        <w:t>Resuspend cell pellet in 300 µL of buffer per 10⁸ total cells.</w:t>
      </w:r>
    </w:p>
    <w:p>
      <w:pPr>
        <w:pStyle w:val="ListNumber"/>
      </w:pPr>
      <w:r>
        <w:t>Add 100 μL of FcR Blocking Reagent per 10⁸ total cells.</w:t>
      </w:r>
    </w:p>
    <w:p>
      <w:pPr>
        <w:pStyle w:val="ListNumber"/>
      </w:pPr>
      <w:r>
        <w:t>Add 100 μL of CD34 MultiSort MicroBeads per 10⁸ total cells.</w:t>
      </w:r>
    </w:p>
    <w:p>
      <w:pPr>
        <w:pStyle w:val="ListNumber"/>
      </w:pPr>
      <w:r>
        <w:t>Mix well and incubate for 30 minutes at 2−8 °C (refrigerator).</w:t>
      </w:r>
    </w:p>
    <w:p>
      <w:pPr>
        <w:pStyle w:val="ListNumber"/>
      </w:pPr>
      <w:r>
        <w:t>Wash cells by adding 5−10 mL of buffer per 10⁸ cells and centrifuge at 300×g for 10 minutes. Aspirate supernatant completely.</w:t>
      </w:r>
    </w:p>
    <w:p>
      <w:pPr>
        <w:pStyle w:val="ListNumber"/>
      </w:pPr>
      <w:r>
        <w:t>Resuspend up to 10⁸ cells in 500 µL of buffer.</w:t>
      </w:r>
    </w:p>
    <w:p>
      <w:pPr>
        <w:pStyle w:val="ListNumber"/>
      </w:pPr>
      <w:r>
        <w:t>Proceed to first magnetic separation.</w:t>
      </w:r>
    </w:p>
    <w:p>
      <w:pPr>
        <w:pStyle w:val="Heading3"/>
      </w:pPr>
      <w:r>
        <w:t>2.3 First magnetic separation</w:t>
      </w:r>
    </w:p>
    <w:p>
      <w:pPr>
        <w:pStyle w:val="ListNumber"/>
      </w:pPr>
      <w:r>
        <w:t>Place LS Column in the magnetic field of a suitable MACS Separator.</w:t>
      </w:r>
    </w:p>
    <w:p>
      <w:pPr>
        <w:pStyle w:val="ListNumber"/>
      </w:pPr>
      <w:r>
        <w:t>Prepare column by rinsing with 3 mL of buffer.</w:t>
      </w:r>
    </w:p>
    <w:p>
      <w:pPr>
        <w:pStyle w:val="ListNumber"/>
      </w:pPr>
      <w:r>
        <w:t>Apply cell suspension onto the column and collect flow-through containing unlabeled cells.</w:t>
      </w:r>
    </w:p>
    <w:p>
      <w:pPr>
        <w:pStyle w:val="ListNumber"/>
      </w:pPr>
      <w:r>
        <w:t>Wash the column with 3 × 3 mL of buffer. Collect unlabeled cells that pass through and combine with flow-through from step 3.</w:t>
      </w:r>
    </w:p>
    <w:p>
      <w:pPr>
        <w:pStyle w:val="ListNumber"/>
      </w:pPr>
      <w:r>
        <w:t>Remove column from separator and place it on a collection tube.</w:t>
      </w:r>
    </w:p>
    <w:p>
      <w:pPr>
        <w:pStyle w:val="ListNumber"/>
      </w:pPr>
      <w:r>
        <w:t>Add 5 mL of buffer onto the column and immediately flush out magnetically labeled cells by firmly pushing the plunger into the column.</w:t>
      </w:r>
    </w:p>
    <w:p>
      <w:pPr>
        <w:pStyle w:val="ListNumber"/>
      </w:pPr>
      <w:r>
        <w:t>To increase purity, repeat steps 1 to 6 using a second new LS Column with the eluted fraction.</w:t>
      </w:r>
    </w:p>
    <w:p>
      <w:pPr>
        <w:pStyle w:val="ListNumber"/>
      </w:pPr>
      <w:r>
        <w:t>Proceed to removal of MultiSort MicroBeads and second magnetic labeling.</w:t>
      </w:r>
    </w:p>
    <w:p>
      <w:pPr>
        <w:pStyle w:val="Heading3"/>
      </w:pPr>
      <w:r>
        <w:t>2.4 Removal of MultiSort MicroBeads and second magnetic labeling</w:t>
      </w:r>
    </w:p>
    <w:p>
      <w:pPr>
        <w:pStyle w:val="ListNumber"/>
      </w:pPr>
      <w:r>
        <w:t>Optionally, remove a sample for flow cytometry analysis and continue with remaining magnetically labeled fraction.</w:t>
      </w:r>
    </w:p>
    <w:p>
      <w:pPr>
        <w:pStyle w:val="ListNumber"/>
      </w:pPr>
      <w:r>
        <w:t>Add 20 μL of MultiSort Release Reagent per 1 mL of cell suspension.</w:t>
      </w:r>
    </w:p>
    <w:p>
      <w:pPr>
        <w:pStyle w:val="ListNumber"/>
      </w:pPr>
      <w:r>
        <w:t>Mix well and incubate for 10 minutes at room temperature.</w:t>
      </w:r>
    </w:p>
    <w:p>
      <w:pPr>
        <w:pStyle w:val="ListNumber"/>
      </w:pPr>
      <w:r>
        <w:t>Centrifuge cell suspension at 300×g for 10 minutes. Aspirate supernatant completely.</w:t>
      </w:r>
    </w:p>
    <w:p>
      <w:pPr>
        <w:pStyle w:val="ListNumber"/>
      </w:pPr>
      <w:r>
        <w:t>Resuspend cells in 80 µL of buffer per 10⁸ initial total cells (from step 2.2).</w:t>
      </w:r>
    </w:p>
    <w:p>
      <w:pPr>
        <w:pStyle w:val="ListNumber"/>
      </w:pPr>
      <w:r>
        <w:t>Add 80 μL of MultiSort Stop Reagent per 10⁸ initial total cells and mix well.</w:t>
      </w:r>
    </w:p>
    <w:p>
      <w:pPr>
        <w:pStyle w:val="ListNumber"/>
      </w:pPr>
      <w:r>
        <w:t>Add 40 µL of CD38 MicroBeads per 10⁸ initial total cells.</w:t>
      </w:r>
    </w:p>
    <w:p>
      <w:pPr>
        <w:pStyle w:val="ListNumber"/>
      </w:pPr>
      <w:r>
        <w:t>Mix well and incubate for 15 minutes at 2–8 °C.</w:t>
      </w:r>
    </w:p>
    <w:p>
      <w:pPr>
        <w:pStyle w:val="ListNumber"/>
      </w:pPr>
      <w:r>
        <w:t>Wash cells by adding 5−10 mL of buffer per 10⁸ initial total cells and centrifuge at 300×g for 10 minutes. Aspirate supernatant completely.</w:t>
      </w:r>
    </w:p>
    <w:p>
      <w:pPr>
        <w:pStyle w:val="ListNumber"/>
      </w:pPr>
      <w:r>
        <w:t>Resuspend cells in 1 mL of buffer per 10⁸ initial total cells.</w:t>
      </w:r>
    </w:p>
    <w:p>
      <w:pPr>
        <w:pStyle w:val="ListNumber"/>
      </w:pPr>
      <w:r>
        <w:t>Optionally, remove a sample for flow cytometry analysis.</w:t>
      </w:r>
    </w:p>
    <w:p>
      <w:pPr>
        <w:pStyle w:val="ListNumber"/>
      </w:pPr>
      <w:r>
        <w:t>Proceed to second magnetic separation.</w:t>
      </w:r>
    </w:p>
    <w:p>
      <w:pPr>
        <w:pStyle w:val="Heading3"/>
      </w:pPr>
      <w:r>
        <w:t>2.5 Second magnetic separation with LS Columns</w:t>
      </w:r>
    </w:p>
    <w:p>
      <w:pPr>
        <w:pStyle w:val="ListNumber"/>
      </w:pPr>
      <w:r>
        <w:t>Place LS Column in the magnetic field of a suitable MACS Separator.</w:t>
      </w:r>
    </w:p>
    <w:p>
      <w:pPr>
        <w:pStyle w:val="ListNumber"/>
      </w:pPr>
      <w:r>
        <w:t>Prepare column by rinsing with 3 mL of buffer.</w:t>
      </w:r>
    </w:p>
    <w:p>
      <w:pPr>
        <w:pStyle w:val="ListNumber"/>
      </w:pPr>
      <w:r>
        <w:t>Apply cell suspension onto the column and collect flow-through containing unlabeled CD34+CD38– cells (target cells).</w:t>
      </w:r>
    </w:p>
    <w:p>
      <w:pPr>
        <w:pStyle w:val="ListNumber"/>
      </w:pPr>
      <w:r>
        <w:t>Wash column with 3 × 3 mL of buffer. Collect unlabeled cells that pass through and combine with flow-through from step 3.</w:t>
      </w:r>
    </w:p>
    <w:p>
      <w:pPr>
        <w:pStyle w:val="ListNumber"/>
      </w:pPr>
      <w:r>
        <w:t>Remove column from separator and place on a collection tube.</w:t>
      </w:r>
    </w:p>
    <w:p>
      <w:pPr>
        <w:pStyle w:val="ListNumber"/>
      </w:pPr>
      <w:r>
        <w:t>Add 5 mL of buffer onto the column and immediately flush out magnetically labeled CD34+CD38+ cells by firmly pushing the plunger into the column. The magnetically labeled fraction contains CD34+CD38+ cells.</w:t>
      </w:r>
    </w:p>
    <w:p>
      <w:pPr>
        <w:pStyle w:val="Heading2"/>
      </w:pPr>
      <w:r>
        <w:t>Notes</w:t>
      </w:r>
    </w:p>
    <w:p>
      <w:pPr>
        <w:pStyle w:val="ListBullet"/>
      </w:pPr>
      <w:r>
        <w:t>All steps involving cells should be performed quickly using cold (2–8 °C) pre-cooled solutions to prevent non-specific labeling.</w:t>
      </w:r>
    </w:p>
    <w:p>
      <w:pPr>
        <w:pStyle w:val="ListBullet"/>
      </w:pPr>
      <w:r>
        <w:t>For higher cell numbers, scale reagent and buffer volumes proportionally.</w:t>
      </w:r>
    </w:p>
    <w:p>
      <w:pPr>
        <w:pStyle w:val="ListBullet"/>
      </w:pPr>
      <w:r>
        <w:t>Use freshly prepared buffer degassed to avoid air bubbles that could block columns.</w:t>
      </w:r>
    </w:p>
    <w:p>
      <w:pPr>
        <w:pStyle w:val="ListBullet"/>
      </w:pPr>
      <w:r>
        <w:t>Avoid buffers or media containing Ca2+ or Mg2+.</w:t>
      </w:r>
    </w:p>
    <w:p>
      <w:pPr>
        <w:pStyle w:val="ListBullet"/>
      </w:pPr>
      <w:r>
        <w:t>EDTA can be substituted by ACD-A or CPD as anticoagulants.</w:t>
      </w:r>
    </w:p>
    <w:p>
      <w:pPr>
        <w:pStyle w:val="ListBullet"/>
      </w:pPr>
      <w:r>
        <w:t>Filtering cells through 30 μm nylon mesh is recommended to obtain single-cell suspensions and prevent column clogging.</w:t>
      </w:r>
    </w:p>
    <w:p>
      <w:pPr>
        <w:pStyle w:val="ListBullet"/>
      </w:pPr>
      <w:r>
        <w:t>Dead cells may non-specifically bind MicroBeads; removing dead cells improves purity.</w:t>
      </w:r>
    </w:p>
    <w:p>
      <w:pPr>
        <w:pStyle w:val="ListBullet"/>
      </w:pPr>
      <w:r>
        <w:t>Always wait until column reservoirs are empty before adding the next buffer aliquot during washing.</w:t>
      </w:r>
    </w:p>
    <w:p>
      <w:pPr>
        <w:pStyle w:val="ListBullet"/>
      </w:pPr>
      <w:r>
        <w:t>Sodium azide-containing reagents must be handled carefully; dispose with running water to prevent formation of hydrazoic acid.</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Incubation temperatures: 2–8 °C (refrigerator), room temperature for 10 min incubation</w:t>
      </w:r>
    </w:p>
    <w:p>
      <w:pPr>
        <w:pStyle w:val="ListBullet"/>
      </w:pPr>
      <w:r>
        <w:t>Incubation times:</w:t>
      </w:r>
    </w:p>
    <w:p>
      <w:pPr>
        <w:pStyle w:val="ListBullet"/>
      </w:pPr>
      <w:r>
        <w:t>30 min (first magnetic labeling)</w:t>
      </w:r>
    </w:p>
    <w:p>
      <w:pPr>
        <w:pStyle w:val="ListBullet"/>
      </w:pPr>
      <w:r>
        <w:t>10 min (MultiSort Release Reagent incubation)</w:t>
      </w:r>
    </w:p>
    <w:p>
      <w:pPr>
        <w:pStyle w:val="ListBullet"/>
      </w:pPr>
      <w:r>
        <w:t>15 min (second magnetic labeling)</w:t>
      </w:r>
    </w:p>
    <w:p>
      <w:pPr>
        <w:pStyle w:val="ListBullet"/>
      </w:pPr>
      <w:r>
        <w:t>Centrifugation:</w:t>
      </w:r>
    </w:p>
    <w:p>
      <w:pPr>
        <w:pStyle w:val="ListBullet"/>
      </w:pPr>
      <w:r>
        <w:t>300×g for 10 minutes (multiple steps)</w:t>
      </w:r>
    </w:p>
    <w:p>
      <w:pPr>
        <w:pStyle w:val="ListBullet"/>
      </w:pPr>
      <w:r>
        <w:t>200×g for 10–15 minutes at 20 °C (platelet removal)</w:t>
      </w:r>
    </w:p>
    <w:p>
      <w:pPr>
        <w:pStyle w:val="ListBullet"/>
      </w:pPr>
      <w:r>
        <w:t>Volumes per 10⁸ cells:</w:t>
      </w:r>
    </w:p>
    <w:p>
      <w:pPr>
        <w:pStyle w:val="ListBullet"/>
      </w:pPr>
      <w:r>
        <w:t>Buffer for resuspension: 300 µL (labeling), 500 µL (post first wash), 80 µL (post-release reagent), 1 mL (after washes)</w:t>
      </w:r>
    </w:p>
    <w:p>
      <w:pPr>
        <w:pStyle w:val="ListBullet"/>
      </w:pPr>
      <w:r>
        <w:t>FcR Blocking Reagent: 100 µL</w:t>
      </w:r>
    </w:p>
    <w:p>
      <w:pPr>
        <w:pStyle w:val="ListBullet"/>
      </w:pPr>
      <w:r>
        <w:t>CD34 MultiSort MicroBeads: 100 µL</w:t>
      </w:r>
    </w:p>
    <w:p>
      <w:pPr>
        <w:pStyle w:val="ListBullet"/>
      </w:pPr>
      <w:r>
        <w:t>MultiSort Release Reagent: 20 µL per 1 mL suspension</w:t>
      </w:r>
    </w:p>
    <w:p>
      <w:pPr>
        <w:pStyle w:val="ListBullet"/>
      </w:pPr>
      <w:r>
        <w:t>MultiSort Stop Reagent: 80 µL</w:t>
      </w:r>
    </w:p>
    <w:p>
      <w:pPr>
        <w:pStyle w:val="ListBullet"/>
      </w:pPr>
      <w:r>
        <w:t>CD38 MicroBeads: 40 µL</w:t>
      </w:r>
    </w:p>
    <w:p>
      <w:pPr>
        <w:pStyle w:val="ListBullet"/>
      </w:pPr>
      <w:r>
        <w:t>Column rinsing buffer: 3 mL per rinse; 3×3 mL washes during separation steps</w:t>
      </w:r>
    </w:p>
    <w:p>
      <w:pPr>
        <w:pStyle w:val="ListBullet"/>
      </w:pPr>
      <w:r>
        <w:t>Buffer to flush cells from column: 5 mL</w:t>
      </w:r>
    </w:p>
    <w:p>
      <w:pPr>
        <w:pStyle w:val="ListBullet"/>
      </w:pPr>
      <w:r>
        <w:t>Buffer composition: PBS pH 7.2, 0.5% BSA, 2 mM EDTA (or alternatives ACD-A or CPD)</w:t>
      </w:r>
    </w:p>
    <w:p>
      <w:pPr>
        <w:pStyle w:val="ListBullet"/>
      </w:pPr>
      <w:r>
        <w:t>Temperature notes: Keep solutions and cells cold during labeling</w:t>
      </w:r>
    </w:p>
    <w:p>
      <w:pPr>
        <w:pStyle w:val="ListBullet"/>
      </w:pPr>
      <w:r>
        <w:t>Cell suspension volume for magnetic labeling: scaled according to cell number</w:t>
      </w:r>
    </w:p>
    <w:p>
      <w:pPr>
        <w:pStyle w:val="Heading2"/>
      </w:pPr>
      <w:r>
        <w:t>Potential Missing Parameters (compare to source)</w:t>
      </w:r>
    </w:p>
    <w:p>
      <w:pPr>
        <w:pStyle w:val="ListBullet"/>
      </w:pPr>
      <w:r>
        <w:t>Specific mention of degassing buffer before use to avoid air bubbles (present in source, absent in protocol)</w:t>
      </w:r>
    </w:p>
    <w:p>
      <w:pPr>
        <w:pStyle w:val="ListBullet"/>
      </w:pPr>
      <w:r>
        <w:t>Warning on avoiding buffers/media containing Ca2+ or Mg2+ (not explicitly emphasized)</w:t>
      </w:r>
    </w:p>
    <w:p>
      <w:pPr>
        <w:pStyle w:val="ListBullet"/>
      </w:pPr>
      <w:r>
        <w:t>Note about using freshly prepared buffer (not emphasized)</w:t>
      </w:r>
    </w:p>
    <w:p>
      <w:pPr>
        <w:pStyle w:val="ListBullet"/>
      </w:pPr>
      <w:r>
        <w:t>Instruction to moisten nylon mesh filters before use (missing)</w:t>
      </w:r>
    </w:p>
    <w:p>
      <w:pPr>
        <w:pStyle w:val="ListBullet"/>
      </w:pPr>
      <w:r>
        <w:t>Detailed centrifuge temperature for 300×g spins (source implies 20 °C for platelet removal, other spins not specified)</w:t>
      </w:r>
    </w:p>
    <w:p>
      <w:pPr>
        <w:pStyle w:val="ListBullet"/>
      </w:pPr>
      <w:r>
        <w:t>Explicit caution to always wait until column reservoir is empty before adding next buffer aliquot during washing (not highlighted in procedure steps)</w:t>
      </w:r>
    </w:p>
    <w:p>
      <w:pPr>
        <w:pStyle w:val="ListBullet"/>
      </w:pPr>
      <w:r>
        <w:t>Step to aspirate supernatant completely after each centrifugation (mentioned generally, but some steps lack explicit aspiration instruction)</w:t>
      </w:r>
    </w:p>
    <w:p>
      <w:pPr>
        <w:pStyle w:val="ListBullet"/>
      </w:pPr>
      <w:r>
        <w:t>Optional use of Labeling Check Reagent for CD38+ detection after separation (omitted)</w:t>
      </w:r>
    </w:p>
    <w:p>
      <w:pPr>
        <w:pStyle w:val="ListBullet"/>
      </w:pPr>
      <w:r>
        <w:t>Note on handling sodium azide-containing reagents safely (present only in notes, not protocol steps)</w:t>
      </w:r>
    </w:p>
    <w:p>
      <w:pPr>
        <w:pStyle w:val="Heading2"/>
      </w:pPr>
      <w:r>
        <w:t>Possible Unsupported Claims</w:t>
      </w:r>
    </w:p>
    <w:p>
      <w:pPr>
        <w:pStyle w:val="ListBullet"/>
      </w:pPr>
      <w:r>
        <w:t>None detected. All claims and procedural steps in the protocol match with source text.</w:t>
      </w:r>
    </w:p>
    <w:p>
      <w:pPr>
        <w:pStyle w:val="Heading2"/>
      </w:pPr>
      <w:r>
        <w:t>Step Order / Omission Risks</w:t>
      </w:r>
    </w:p>
    <w:p>
      <w:pPr>
        <w:pStyle w:val="ListBullet"/>
      </w:pPr>
      <w:r>
        <w:t>None detected. The protocol steps follow the order of the source text closely without omissions or reorderings.</w:t>
      </w:r>
    </w:p>
    <w:p>
      <w:r>
        <w:t>---</w:t>
      </w:r>
    </w:p>
    <w:p>
      <w:r>
        <w:t>Summary:</w:t>
      </w:r>
    </w:p>
    <w:p>
      <w:r>
        <w:t>The generated protocol accurately captures the critical numeric parameters and step order from the source but misses specific cautionary points and practical details such as degassing buffer, moistening filters, waiting for column reservoir emptying, and handling of sodium azide waste. These omissions could present risks in practice if not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