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Role of Staphylococcus aureus Nitric Oxide Synthase in Aerobic Respiratory Metabolism and Cell Physiology</w:t>
      </w:r>
    </w:p>
    <w:p>
      <w:pPr>
        <w:pStyle w:val="Heading2"/>
      </w:pPr>
      <w:r>
        <w:t>Objective</w:t>
      </w:r>
    </w:p>
    <w:p>
      <w:r>
        <w:t>To investigate the contribution of Staphylococcus aureus nitric oxide synthase (saNOS) to aerobic physiology and metabolism, focusing on its role in modulating aerobic respiration, endogenous reactive oxygen species (ROS) levels, and metabolic adaptations in the absence of exogenous stress.</w:t>
      </w:r>
    </w:p>
    <w:p>
      <w:pPr>
        <w:pStyle w:val="Heading2"/>
      </w:pPr>
      <w:r>
        <w:t>Materials</w:t>
      </w:r>
    </w:p>
    <w:p>
      <w:pPr>
        <w:pStyle w:val="ListBullet"/>
      </w:pPr>
      <w:r>
        <w:t>S. aureus strains: UAMS-1 wild-type, nos mutant, and complement strains; LAC-13C wild-type and nos mutant strains</w:t>
      </w:r>
    </w:p>
    <w:p>
      <w:pPr>
        <w:pStyle w:val="ListBullet"/>
      </w:pPr>
      <w:r>
        <w:t>Culture media:</w:t>
      </w:r>
    </w:p>
    <w:p>
      <w:pPr>
        <w:pStyle w:val="ListBullet"/>
      </w:pPr>
      <w:r>
        <w:t>Tryptic soy broth (TSB) containing 14 mM glucose (TSB+G)</w:t>
      </w:r>
    </w:p>
    <w:p>
      <w:pPr>
        <w:pStyle w:val="ListBullet"/>
      </w:pPr>
      <w:r>
        <w:t>TSB lacking glucose (TSB-G)</w:t>
      </w:r>
    </w:p>
    <w:p>
      <w:pPr>
        <w:pStyle w:val="ListBullet"/>
      </w:pPr>
      <w:r>
        <w:t>Luria Broth (LB) lacking glucose [data not shown]</w:t>
      </w:r>
    </w:p>
    <w:p>
      <w:pPr>
        <w:pStyle w:val="ListBullet"/>
      </w:pPr>
      <w:r>
        <w:t>Antibiotics for selection as appropriate</w:t>
      </w:r>
    </w:p>
    <w:p>
      <w:pPr>
        <w:pStyle w:val="ListBullet"/>
      </w:pPr>
      <w:r>
        <w:t>DPTA NONOate (NO donor), stock: 150 mM in 0.01 M NaOH, stored at −80 °C</w:t>
      </w:r>
    </w:p>
    <w:p>
      <w:pPr>
        <w:pStyle w:val="ListBullet"/>
      </w:pPr>
      <w:r>
        <w:t>Carboxy-2′,7′-dichlorofluorescein diacetate (CM-H2DCFDA)</w:t>
      </w:r>
    </w:p>
    <w:p>
      <w:pPr>
        <w:pStyle w:val="ListBullet"/>
      </w:pPr>
      <w:r>
        <w:t>MitoSOX Red</w:t>
      </w:r>
    </w:p>
    <w:p>
      <w:pPr>
        <w:pStyle w:val="ListBullet"/>
      </w:pPr>
      <w:r>
        <w:t>Amplex Red catalase activity kit (Life Technologies)</w:t>
      </w:r>
    </w:p>
    <w:p>
      <w:pPr>
        <w:pStyle w:val="ListBullet"/>
      </w:pPr>
      <w:r>
        <w:t>3,3′-diethyloxacarbocyanine iodide (DiOC2(3))</w:t>
      </w:r>
    </w:p>
    <w:p>
      <w:pPr>
        <w:pStyle w:val="ListBullet"/>
      </w:pPr>
      <w:r>
        <w:t>5-cyano-2,3-ditolyl tetrazolium chloride (CTC)</w:t>
      </w:r>
    </w:p>
    <w:p>
      <w:pPr>
        <w:pStyle w:val="ListBullet"/>
      </w:pPr>
      <w:r>
        <w:t>Thioridizine HCl (NADH dehydrogenase inhibitor)</w:t>
      </w:r>
    </w:p>
    <w:p>
      <w:pPr>
        <w:pStyle w:val="ListBullet"/>
      </w:pPr>
      <w:r>
        <w:t>Lysostaphin</w:t>
      </w:r>
    </w:p>
    <w:p>
      <w:pPr>
        <w:pStyle w:val="ListBullet"/>
      </w:pPr>
      <w:r>
        <w:t>DNase I</w:t>
      </w:r>
    </w:p>
    <w:p>
      <w:pPr>
        <w:pStyle w:val="ListBullet"/>
      </w:pPr>
      <w:r>
        <w:t>Reagents for RNA isolation and sequencing: RNeasy kit (Qiagen), Turbo DNA-free DNase (Ambion), RiboZero Magnetic Kit (Epicentre), MicrobExpress Bacterial mRNA Enrichment Kit (Life Technologies), IonTorrent PGM platform reagents</w:t>
      </w:r>
    </w:p>
    <w:p>
      <w:pPr>
        <w:pStyle w:val="ListBullet"/>
      </w:pPr>
      <w:r>
        <w:t>Scanning electron microscopy (SEM) reagents: Trumps fixative, Na-cacodylate buffer, osmium tetroxide, ethanol series, gold/palladium sputter coating materials</w:t>
      </w:r>
    </w:p>
    <w:p>
      <w:pPr>
        <w:pStyle w:val="ListBullet"/>
      </w:pPr>
      <w:r>
        <w:t>Metabolomics reagents: acetonitrile, formic acid, O-benzylhydroxylamine, 1-ethyl-3-(3-dimethylaminopropyl) carbodiimide, methanol, NaOH, perchloric acid, ammonium formate, internal isotope-labeled standards for organic acids, amino acids, pyridine nucleotides, and adenosine phosphates</w:t>
      </w:r>
    </w:p>
    <w:p>
      <w:pPr>
        <w:pStyle w:val="ListBullet"/>
      </w:pPr>
      <w:r>
        <w:t>Instrumentation: flow cytometer (FACSort), Synergy HT fluorescent plate reader (Biotek), Clark-type oxygen electrode, TEM and SEM microscopes, Precellys bead-beater, LC/MS/MS systems</w:t>
      </w:r>
    </w:p>
    <w:p>
      <w:pPr>
        <w:pStyle w:val="Heading2"/>
      </w:pPr>
      <w:r>
        <w:t>Procedure</w:t>
      </w:r>
    </w:p>
    <w:p>
      <w:pPr>
        <w:pStyle w:val="Heading3"/>
      </w:pPr>
      <w:r>
        <w:t>Bacterial Culture and Growth Conditions</w:t>
      </w:r>
    </w:p>
    <w:p>
      <w:pPr>
        <w:pStyle w:val="ListNumber"/>
      </w:pPr>
      <w:r>
        <w:t>Streak S. aureus strains from −80°C stocks onto tryptic soy agar (TSA) plates with appropriate antibiotics and incubate for 24 hours at 37°C.</w:t>
      </w:r>
    </w:p>
    <w:p>
      <w:pPr>
        <w:pStyle w:val="ListNumber"/>
      </w:pPr>
      <w:r>
        <w:t>Inoculate a single colony into 5 ml tryptic soy broth (TSB) containing 14 mM glucose (TSB+G) with antibiotics, and incubate overnight (~15 hours) at 37°C, 250 rpm.</w:t>
      </w:r>
    </w:p>
    <w:p>
      <w:pPr>
        <w:pStyle w:val="ListNumber"/>
      </w:pPr>
      <w:r>
        <w:t>Inoculate 40 ml of TSB+G or TSB lacking glucose (TSB-G) in a 500 ml Erlenmeyer flask (1:12.5 volume:flask ratio) with overnight culture to an OD600 of 0.05.</w:t>
      </w:r>
    </w:p>
    <w:p>
      <w:pPr>
        <w:pStyle w:val="ListNumber"/>
      </w:pPr>
      <w:r>
        <w:t>Incubate aerobic cultures at 37 °C with shaking at 250 rpm.</w:t>
      </w:r>
    </w:p>
    <w:p>
      <w:pPr>
        <w:pStyle w:val="ListNumber"/>
      </w:pPr>
      <w:r>
        <w:t>For chemical complementation, add DPTA NONOate to cultures at the time of inoculation to a final concentration of 100 µM.</w:t>
      </w:r>
    </w:p>
    <w:p>
      <w:pPr>
        <w:pStyle w:val="Heading3"/>
      </w:pPr>
      <w:r>
        <w:t>Growth Curve Analysis</w:t>
      </w:r>
    </w:p>
    <w:p>
      <w:pPr>
        <w:pStyle w:val="ListNumber"/>
      </w:pPr>
      <w:r>
        <w:t>Grow S. aureus strains aerobically in TSB-G or TSB+G for 24 hours (8 hours for NO complementation experiments).</w:t>
      </w:r>
    </w:p>
    <w:p>
      <w:pPr>
        <w:pStyle w:val="ListNumber"/>
      </w:pPr>
      <w:r>
        <w:t>Withdraw 1 ml samples every 2 hours and determine OD600.</w:t>
      </w:r>
    </w:p>
    <w:p>
      <w:pPr>
        <w:pStyle w:val="ListNumber"/>
      </w:pPr>
      <w:r>
        <w:t>Serially dilute samples for CFU enumeration by track plating.</w:t>
      </w:r>
    </w:p>
    <w:p>
      <w:pPr>
        <w:pStyle w:val="Heading3"/>
      </w:pPr>
      <w:r>
        <w:t>Scanning Electron Microscopy (SEM)</w:t>
      </w:r>
    </w:p>
    <w:p>
      <w:pPr>
        <w:pStyle w:val="ListNumber"/>
      </w:pPr>
      <w:r>
        <w:t>Grow bacteria aerobically in TSB-G for 6 hours.</w:t>
      </w:r>
    </w:p>
    <w:p>
      <w:pPr>
        <w:pStyle w:val="ListNumber"/>
      </w:pPr>
      <w:r>
        <w:t>Harvest 10 ml of culture by centrifugation at 3901 × g for 3 minutes at room temperature.</w:t>
      </w:r>
    </w:p>
    <w:p>
      <w:pPr>
        <w:pStyle w:val="ListNumber"/>
      </w:pPr>
      <w:r>
        <w:t>Wash pellets in 10 ml sterile 1× PBS and resuspend in 1.2 ml Trumps fixative (4% formalin, 2% glutaraldehyde in 0.2 M sodium cacodylate buffer); incubate 15 minutes at room temperature.</w:t>
      </w:r>
    </w:p>
    <w:p>
      <w:pPr>
        <w:pStyle w:val="ListNumber"/>
      </w:pPr>
      <w:r>
        <w:t>Store at 4 °C until processing.</w:t>
      </w:r>
    </w:p>
    <w:p>
      <w:pPr>
        <w:pStyle w:val="ListNumber"/>
      </w:pPr>
      <w:r>
        <w:t>Process fixed cells using microwave-assisted methodology: wash, post-fix with 2% osmium tetroxide, dehydrate in graded ethanol series (25%, 50%, 60%, 75%, 95%, 100%), and perform critical point drying.</w:t>
      </w:r>
    </w:p>
    <w:p>
      <w:pPr>
        <w:pStyle w:val="ListNumber"/>
      </w:pPr>
      <w:r>
        <w:t>Mount cells on aluminum stubs, sputter coat with gold/palladium, and image using SEM at 50,000× magnification.</w:t>
      </w:r>
    </w:p>
    <w:p>
      <w:pPr>
        <w:pStyle w:val="ListNumber"/>
      </w:pPr>
      <w:r>
        <w:t>Measure cell length using ImageJ software from 12–14 fields of view per strain.</w:t>
      </w:r>
    </w:p>
    <w:p>
      <w:pPr>
        <w:pStyle w:val="Heading3"/>
      </w:pPr>
      <w:r>
        <w:t>RNA Isolation and RNAseq Analysis</w:t>
      </w:r>
    </w:p>
    <w:p>
      <w:pPr>
        <w:pStyle w:val="ListNumber"/>
      </w:pPr>
      <w:r>
        <w:t>Grow wild-type and nos mutant strains aerobically in TSB-G to late exponential phase (4 hours).</w:t>
      </w:r>
    </w:p>
    <w:p>
      <w:pPr>
        <w:pStyle w:val="ListNumber"/>
      </w:pPr>
      <w:r>
        <w:t>Harvest cultures and isolate total RNA using RNeasy kit; DNase treat to remove genomic DNA.</w:t>
      </w:r>
    </w:p>
    <w:p>
      <w:pPr>
        <w:pStyle w:val="ListNumber"/>
      </w:pPr>
      <w:r>
        <w:t>Confirm RNA integrity (RIN ~9.9).</w:t>
      </w:r>
    </w:p>
    <w:p>
      <w:pPr>
        <w:pStyle w:val="ListNumber"/>
      </w:pPr>
      <w:r>
        <w:t>Deplete rRNA using RiboZero Magnetic Kit and MicrobExpress Bacterial mRNA enrichment kit.</w:t>
      </w:r>
    </w:p>
    <w:p>
      <w:pPr>
        <w:pStyle w:val="ListNumber"/>
      </w:pPr>
      <w:r>
        <w:t>Pool RNA from three independent preparations per strain.</w:t>
      </w:r>
    </w:p>
    <w:p>
      <w:pPr>
        <w:pStyle w:val="ListNumber"/>
      </w:pPr>
      <w:r>
        <w:t>Construct RNAseq libraries using Ion Total RNAseq v2 kit.</w:t>
      </w:r>
    </w:p>
    <w:p>
      <w:pPr>
        <w:pStyle w:val="ListNumber"/>
      </w:pPr>
      <w:r>
        <w:t>Sequence on IonTorrent PGM platform.</w:t>
      </w:r>
    </w:p>
    <w:p>
      <w:pPr>
        <w:pStyle w:val="ListNumber"/>
      </w:pPr>
      <w:r>
        <w:t>Align reads to S. aureus MRSA252 genome (NC_002952.2).</w:t>
      </w:r>
    </w:p>
    <w:p>
      <w:pPr>
        <w:pStyle w:val="ListNumber"/>
      </w:pPr>
      <w:r>
        <w:t>Normalize data by quantile normalization.</w:t>
      </w:r>
    </w:p>
    <w:p>
      <w:pPr>
        <w:pStyle w:val="ListNumber"/>
      </w:pPr>
      <w:r>
        <w:t>Identify differentially expressed genes with expression ≥ 50 RPKM in at least one condition, ≥ 80% unique mapping, and fold-change ≥ 2.</w:t>
      </w:r>
    </w:p>
    <w:p>
      <w:pPr>
        <w:pStyle w:val="Heading3"/>
      </w:pPr>
      <w:r>
        <w:t>Quantitative Real-Time PCR (qRT-PCR)</w:t>
      </w:r>
    </w:p>
    <w:p>
      <w:pPr>
        <w:pStyle w:val="ListNumber"/>
      </w:pPr>
      <w:r>
        <w:t>Perform qRT-PCR on selected genes from independent RNA samples as confirmation.</w:t>
      </w:r>
    </w:p>
    <w:p>
      <w:pPr>
        <w:pStyle w:val="Heading3"/>
      </w:pPr>
      <w:r>
        <w:t>Measurement of Intracellular ROS and Superoxide</w:t>
      </w:r>
    </w:p>
    <w:p>
      <w:pPr>
        <w:pStyle w:val="ListNumber"/>
      </w:pPr>
      <w:r>
        <w:t>Grow cultures aerobically in TSB+G or TSB-G for 3 hours.</w:t>
      </w:r>
    </w:p>
    <w:p>
      <w:pPr>
        <w:pStyle w:val="ListNumber"/>
      </w:pPr>
      <w:r>
        <w:t>Harvest 19 ml for ROS detection or 10 ml for superoxide detection.</w:t>
      </w:r>
    </w:p>
    <w:p>
      <w:pPr>
        <w:pStyle w:val="ListNumber"/>
      </w:pPr>
      <w:r>
        <w:t>For ROS detection, pellet cells, wash in HBSS, and resuspend in HBSS containing 10 µM CM-H2DCFDA; incubate 60 minutes at 37 °C.</w:t>
      </w:r>
    </w:p>
    <w:p>
      <w:pPr>
        <w:pStyle w:val="ListNumber"/>
      </w:pPr>
      <w:r>
        <w:t>Wash cells, resuspend in HBSS, and transfer triplicate 200 µl aliquots to 96-well black plates.</w:t>
      </w:r>
    </w:p>
    <w:p>
      <w:pPr>
        <w:pStyle w:val="ListNumber"/>
      </w:pPr>
      <w:r>
        <w:t>Measure fluorescence (Ex: 485 ± 20 nm; Em: 516 ± 20 nm) and OD600; normalize fluorescence to OD600.</w:t>
      </w:r>
    </w:p>
    <w:p>
      <w:pPr>
        <w:pStyle w:val="ListNumber"/>
      </w:pPr>
      <w:r>
        <w:t>For superoxide detection, resuspend pellets in MitoSOX Red at 5 µM in PBS; incubate 10 minutes at 37 °C; wash once with PBS.</w:t>
      </w:r>
    </w:p>
    <w:p>
      <w:pPr>
        <w:pStyle w:val="ListNumber"/>
      </w:pPr>
      <w:r>
        <w:t>Transfer triplicate 200 µl aliquots to 96-well plate and immediately measure fluorescence (Ex: 500 ± 27 nm; Em: 600 ± 40 nm); normalize to OD600.</w:t>
      </w:r>
    </w:p>
    <w:p>
      <w:pPr>
        <w:pStyle w:val="Heading3"/>
      </w:pPr>
      <w:r>
        <w:t>Catalase Activity Assay</w:t>
      </w:r>
    </w:p>
    <w:p>
      <w:pPr>
        <w:pStyle w:val="ListNumber"/>
      </w:pPr>
      <w:r>
        <w:t>Harvest 5 ml cultures at 3 hours, pellet, flash freeze pellets at −80°C.</w:t>
      </w:r>
    </w:p>
    <w:p>
      <w:pPr>
        <w:pStyle w:val="ListNumber"/>
      </w:pPr>
      <w:r>
        <w:t>Thaw and lyse pellets in 1 ml 0.1 M Tris-HCl pH 7.0 by mechanical disruption.</w:t>
      </w:r>
    </w:p>
    <w:p>
      <w:pPr>
        <w:pStyle w:val="ListNumber"/>
      </w:pPr>
      <w:r>
        <w:t>Centrifuge to remove debris; determine protein concentration.</w:t>
      </w:r>
    </w:p>
    <w:p>
      <w:pPr>
        <w:pStyle w:val="ListNumber"/>
      </w:pPr>
      <w:r>
        <w:t>Dilute protein 1:1000 and measure catalase activity using Amplex Red catalase kit by quantifying remaining H2O2 after reaction with horseradish peroxidase.</w:t>
      </w:r>
    </w:p>
    <w:p>
      <w:pPr>
        <w:pStyle w:val="ListNumber"/>
      </w:pPr>
      <w:r>
        <w:t>Normalize activity to total protein.</w:t>
      </w:r>
    </w:p>
    <w:p>
      <w:pPr>
        <w:pStyle w:val="Heading3"/>
      </w:pPr>
      <w:r>
        <w:t>Membrane Potential Measurement</w:t>
      </w:r>
    </w:p>
    <w:p>
      <w:pPr>
        <w:pStyle w:val="ListNumber"/>
      </w:pPr>
      <w:r>
        <w:t>Grow cultures aerobically in TSB+G or TSB-G for 3 hours.</w:t>
      </w:r>
    </w:p>
    <w:p>
      <w:pPr>
        <w:pStyle w:val="ListNumber"/>
      </w:pPr>
      <w:r>
        <w:t>Harvest 1 ml culture, wash pellet with PBS, and resuspend in 2 ml PBS containing 30 µM DiOC2(3).</w:t>
      </w:r>
    </w:p>
    <w:p>
      <w:pPr>
        <w:pStyle w:val="ListNumber"/>
      </w:pPr>
      <w:r>
        <w:t>Include 5 µM CCCP-treated sample as depolarization control.</w:t>
      </w:r>
    </w:p>
    <w:p>
      <w:pPr>
        <w:pStyle w:val="ListNumber"/>
      </w:pPr>
      <w:r>
        <w:t>Incubate staining in dark as per protocol, analyze 50,000 events per sample by flow cytometry.</w:t>
      </w:r>
    </w:p>
    <w:p>
      <w:pPr>
        <w:pStyle w:val="ListNumber"/>
      </w:pPr>
      <w:r>
        <w:t>Calculate red-to-green fluorescence ratio as measure of membrane potential.</w:t>
      </w:r>
    </w:p>
    <w:p>
      <w:pPr>
        <w:pStyle w:val="ListNumber"/>
      </w:pPr>
      <w:r>
        <w:t>For NO complementation, add 100 µM DPTA NONOate at inoculation.</w:t>
      </w:r>
    </w:p>
    <w:p>
      <w:pPr>
        <w:pStyle w:val="Heading3"/>
      </w:pPr>
      <w:r>
        <w:t>Respiratory Dehydrogenase Activity by CTC Staining</w:t>
      </w:r>
    </w:p>
    <w:p>
      <w:pPr>
        <w:pStyle w:val="ListNumber"/>
      </w:pPr>
      <w:r>
        <w:t>Harvest 2 ml culture at 3 hours, wash pellet, resuspend in PBS containing 4.5 mM CTC.</w:t>
      </w:r>
    </w:p>
    <w:p>
      <w:pPr>
        <w:pStyle w:val="ListNumber"/>
      </w:pPr>
      <w:r>
        <w:t>Incubate staining at 37 °C; measure fluorescence every 10 minutes for 120 minutes (Ex: 485 ± 20 nm; Em: 645 ± 40 nm).</w:t>
      </w:r>
    </w:p>
    <w:p>
      <w:pPr>
        <w:pStyle w:val="ListNumber"/>
      </w:pPr>
      <w:r>
        <w:t>Normalize fluorescence at 70 minutes to initial OD600.</w:t>
      </w:r>
    </w:p>
    <w:p>
      <w:pPr>
        <w:pStyle w:val="Heading3"/>
      </w:pPr>
      <w:r>
        <w:t>Oxygen Consumption Rate</w:t>
      </w:r>
    </w:p>
    <w:p>
      <w:pPr>
        <w:pStyle w:val="ListNumber"/>
      </w:pPr>
      <w:r>
        <w:t>Harvest 25 ml cultures at 3 hours, pellet, and resuspend pellets in 1 ml aerated PBS prewarmed to 37 °C.</w:t>
      </w:r>
    </w:p>
    <w:p>
      <w:pPr>
        <w:pStyle w:val="ListNumber"/>
      </w:pPr>
      <w:r>
        <w:t>Measure oxygen consumption using Clark-type electrode; determine linear slope (~2 minutes).</w:t>
      </w:r>
    </w:p>
    <w:p>
      <w:pPr>
        <w:pStyle w:val="ListNumber"/>
      </w:pPr>
      <w:r>
        <w:t>Normalize oxygen consumption to cell counts (CFU/ml).</w:t>
      </w:r>
    </w:p>
    <w:p>
      <w:pPr>
        <w:pStyle w:val="Heading3"/>
      </w:pPr>
      <w:r>
        <w:t>NADH Dehydrogenase Inhibition Experiment</w:t>
      </w:r>
    </w:p>
    <w:p>
      <w:pPr>
        <w:pStyle w:val="ListNumber"/>
      </w:pPr>
      <w:r>
        <w:t>Add 15 µM thioridizine HCl (TZ) at inoculation to cultures grown in TSB-G.</w:t>
      </w:r>
    </w:p>
    <w:p>
      <w:pPr>
        <w:pStyle w:val="ListNumber"/>
      </w:pPr>
      <w:r>
        <w:t>At 3 hours, measure intracellular ROS by CM-H2DCFDA staining as described.</w:t>
      </w:r>
    </w:p>
    <w:p>
      <w:pPr>
        <w:pStyle w:val="ListNumber"/>
      </w:pPr>
      <w:r>
        <w:t>Determine aconitase activity from lysed cells using Aconitase Assay Kit.</w:t>
      </w:r>
    </w:p>
    <w:p>
      <w:pPr>
        <w:pStyle w:val="Heading3"/>
      </w:pPr>
      <w:r>
        <w:t>Aconitase Activity Assay</w:t>
      </w:r>
    </w:p>
    <w:p>
      <w:pPr>
        <w:pStyle w:val="ListNumber"/>
      </w:pPr>
      <w:r>
        <w:t>Harvest 18 ml cultures at 3 hours; pellet and wash with PBS.</w:t>
      </w:r>
    </w:p>
    <w:p>
      <w:pPr>
        <w:pStyle w:val="ListNumber"/>
      </w:pPr>
      <w:r>
        <w:t>Resuspend in aconitase assay buffer with 100 µg/ml lysostaphin and 27.3 Kunitz units DNase I; incubate 30 minutes at 37 °C.</w:t>
      </w:r>
    </w:p>
    <w:p>
      <w:pPr>
        <w:pStyle w:val="ListNumber"/>
      </w:pPr>
      <w:r>
        <w:t>Centrifuge lysates; quantify protein concentration.</w:t>
      </w:r>
    </w:p>
    <w:p>
      <w:pPr>
        <w:pStyle w:val="ListNumber"/>
      </w:pPr>
      <w:r>
        <w:t>Perform aconitase enzymatic activity assay by measuring NADPH production spectrophotometrically at 340 nm.</w:t>
      </w:r>
    </w:p>
    <w:p>
      <w:pPr>
        <w:pStyle w:val="ListNumber"/>
      </w:pPr>
      <w:r>
        <w:t>Normalize activity to total protein.</w:t>
      </w:r>
    </w:p>
    <w:p>
      <w:pPr>
        <w:pStyle w:val="Heading3"/>
      </w:pPr>
      <w:r>
        <w:t>Metabolite Collection and Preparation for LC/MS/MS</w:t>
      </w:r>
    </w:p>
    <w:p>
      <w:pPr>
        <w:pStyle w:val="ListNumber"/>
      </w:pPr>
      <w:r>
        <w:t>Harvest 40 ml cultures at 4 hours aerobic growth in TSB-G; centrifuge at 3901 × g for 10 minutes at 4 °C.</w:t>
      </w:r>
    </w:p>
    <w:p>
      <w:pPr>
        <w:pStyle w:val="ListNumber"/>
      </w:pPr>
      <w:r>
        <w:t>Collect 2 × 1 ml aliquots of supernatant (extracellular media, EXM), flash freeze in liquid nitrogen, store at −80 °C.</w:t>
      </w:r>
    </w:p>
    <w:p>
      <w:pPr>
        <w:pStyle w:val="ListNumber"/>
      </w:pPr>
      <w:r>
        <w:t>Wash pellets twice with 2 ml cold PBS, centrifuge, and flash freeze at −80 °C.</w:t>
      </w:r>
    </w:p>
    <w:p>
      <w:pPr>
        <w:pStyle w:val="ListNumber"/>
      </w:pPr>
      <w:r>
        <w:t>Lyophilize lyophilized cell pellets and EXM overnight.</w:t>
      </w:r>
    </w:p>
    <w:p>
      <w:pPr>
        <w:pStyle w:val="ListNumber"/>
      </w:pPr>
      <w:r>
        <w:t>Homogenize lyophilized cell pellets in 400 µl 50:50 acetonitrile/0.3% formic acid on bead-beating system at 4 °C.</w:t>
      </w:r>
    </w:p>
    <w:p>
      <w:pPr>
        <w:pStyle w:val="ListNumber"/>
      </w:pPr>
      <w:r>
        <w:t>Reconstitute lyophilized EXM in 400 µl 50:50 acetonitrile/0.3% formic acid.</w:t>
      </w:r>
    </w:p>
    <w:p>
      <w:pPr>
        <w:pStyle w:val="ListNumber"/>
      </w:pPr>
      <w:r>
        <w:t>For pyridine nucleotides and adenosine phosphates, homogenize in presence of 18O-labeled NADH internal standards.</w:t>
      </w:r>
    </w:p>
    <w:p>
      <w:pPr>
        <w:pStyle w:val="ListNumber"/>
      </w:pPr>
      <w:r>
        <w:t>Store samples at −80 °C until analysis.</w:t>
      </w:r>
    </w:p>
    <w:p>
      <w:pPr>
        <w:pStyle w:val="Heading3"/>
      </w:pPr>
      <w:r>
        <w:t>Targeted Metabolomics Analysis by LC/MS/MS</w:t>
      </w:r>
    </w:p>
    <w:p>
      <w:pPr>
        <w:pStyle w:val="ListBullet"/>
      </w:pPr>
      <w:r>
        <w:t>Organic acids</w:t>
      </w:r>
    </w:p>
    <w:p>
      <w:pPr>
        <w:pStyle w:val="ListNumber"/>
      </w:pPr>
      <w:r>
        <w:t>Spike 50 µl aliquots of homogenate or EXM with isotope-labeled organic acid standards.</w:t>
      </w:r>
    </w:p>
    <w:p>
      <w:pPr>
        <w:pStyle w:val="ListNumber"/>
      </w:pPr>
      <w:r>
        <w:t>Add 0.4 M O-benzylhydroxylamine and 2 M 1-ethyl-3-(3-dimethylaminopropyl) carbodiimide; derivatize 10 minutes at room temperature.</w:t>
      </w:r>
    </w:p>
    <w:p>
      <w:pPr>
        <w:pStyle w:val="ListNumber"/>
      </w:pPr>
      <w:r>
        <w:t>Extract organic acids by liquid-liquid extraction with 600 µl ethyl acetate.</w:t>
      </w:r>
    </w:p>
    <w:p>
      <w:pPr>
        <w:pStyle w:val="ListNumber"/>
      </w:pPr>
      <w:r>
        <w:t>Dry organic phase, reconstitute in 1 ml 50:50 methanol/water.</w:t>
      </w:r>
    </w:p>
    <w:p>
      <w:pPr>
        <w:pStyle w:val="ListNumber"/>
      </w:pPr>
      <w:r>
        <w:t>Separate on Waters Acquity UPLC BEH C18 column at 45 °C using 7.5-minute gradient; quantify by multiple reaction monitoring.</w:t>
      </w:r>
    </w:p>
    <w:p>
      <w:pPr>
        <w:pStyle w:val="ListBullet"/>
      </w:pPr>
      <w:r>
        <w:t>Amino acids</w:t>
      </w:r>
    </w:p>
    <w:p>
      <w:pPr>
        <w:pStyle w:val="ListNumber"/>
      </w:pPr>
      <w:r>
        <w:t>Spike 100 µl aliquots of cell homogenate or EXM with isotope-labeled amino acid standards.</w:t>
      </w:r>
    </w:p>
    <w:p>
      <w:pPr>
        <w:pStyle w:val="ListNumber"/>
      </w:pPr>
      <w:r>
        <w:t>Precipitate proteins with 800 µl ice-cold methanol; centrifuge at 18,000 × g for 5 min, 10 °C.</w:t>
      </w:r>
    </w:p>
    <w:p>
      <w:pPr>
        <w:pStyle w:val="ListNumber"/>
      </w:pPr>
      <w:r>
        <w:t>Dry extracts, derivatize with MassTrak AAA reagents at 55°C for 10 minutes.</w:t>
      </w:r>
    </w:p>
    <w:p>
      <w:pPr>
        <w:pStyle w:val="ListNumber"/>
      </w:pPr>
      <w:r>
        <w:t>Separate on Waters AccQ•Tag column at 55 °C using 9.55-minute gradient; quantify by multiple reaction monitoring.</w:t>
      </w:r>
    </w:p>
    <w:p>
      <w:pPr>
        <w:pStyle w:val="ListBullet"/>
      </w:pPr>
      <w:r>
        <w:t>Pyridine nucleotides and adenosine phosphates</w:t>
      </w:r>
    </w:p>
    <w:p>
      <w:pPr>
        <w:pStyle w:val="ListNumber"/>
      </w:pPr>
      <w:r>
        <w:t>Spike 100 µl aliquots of homogenate with isotope-labeled NMN, NAD+, NADP+, AMP, and ADP internal standards; adjust pH to ~4 with ammonium formate.</w:t>
      </w:r>
    </w:p>
    <w:p>
      <w:pPr>
        <w:pStyle w:val="ListNumber"/>
      </w:pPr>
      <w:r>
        <w:t>Centrifuge and filter homogenate prior to LC/MS/MS analysis.</w:t>
      </w:r>
    </w:p>
    <w:p>
      <w:pPr>
        <w:pStyle w:val="ListNumber"/>
      </w:pPr>
      <w:r>
        <w:t>Separate NMN, NAD+, NADP+, and adenosine phosphates on Thermo Hypercarb column at 30 °C using 2.1-minute gradient; quantify by multiple reaction monitoring.</w:t>
      </w:r>
    </w:p>
    <w:p>
      <w:pPr>
        <w:pStyle w:val="ListNumber"/>
      </w:pPr>
      <w:r>
        <w:t>Separate NADH and NADPH on Waters HSS T3 column at 40 °C using 2.2-minute gradient; quantify by multiple reaction monitoring.</w:t>
      </w:r>
    </w:p>
    <w:p>
      <w:pPr>
        <w:pStyle w:val="Heading3"/>
      </w:pPr>
      <w:r>
        <w:t>Statistical Analysis</w:t>
      </w:r>
    </w:p>
    <w:p>
      <w:pPr>
        <w:pStyle w:val="ListNumber"/>
      </w:pPr>
      <w:r>
        <w:t>Analyze all data using SigmaPlot (version 13).</w:t>
      </w:r>
    </w:p>
    <w:p>
      <w:pPr>
        <w:pStyle w:val="ListNumber"/>
      </w:pPr>
      <w:r>
        <w:t>Test for normality and equal variance prior to selecting parametric or non-parametric tests.</w:t>
      </w:r>
    </w:p>
    <w:p>
      <w:pPr>
        <w:pStyle w:val="ListNumber"/>
      </w:pPr>
      <w:r>
        <w:t>Use appropriate statistical tests (Tukey, Holm-Sidak, Student-Newman-Keuls, paired t-test) as specified.</w:t>
      </w:r>
    </w:p>
    <w:p>
      <w:pPr>
        <w:pStyle w:val="Heading2"/>
      </w:pPr>
      <w:r>
        <w:t>Notes</w:t>
      </w:r>
    </w:p>
    <w:p>
      <w:pPr>
        <w:pStyle w:val="ListBullet"/>
      </w:pPr>
      <w:r>
        <w:t>The nos mutant displays decreased OD600 during mid-late exponential aerobic growth without glucose but not in the presence of glucose.</w:t>
      </w:r>
    </w:p>
    <w:p>
      <w:pPr>
        <w:pStyle w:val="ListBullet"/>
      </w:pPr>
      <w:r>
        <w:t>Addition of exogenous NO donor complements the OD600 and membrane potential phenotypes of the nos mutant.</w:t>
      </w:r>
    </w:p>
    <w:p>
      <w:pPr>
        <w:pStyle w:val="ListBullet"/>
      </w:pPr>
      <w:r>
        <w:t>Catalase activity is increased, not decreased, in the nos mutant, suggesting increased endogenous ROS are not due to decreased catalase.</w:t>
      </w:r>
    </w:p>
    <w:p>
      <w:pPr>
        <w:pStyle w:val="ListBullet"/>
      </w:pPr>
      <w:r>
        <w:t>Elevated endogenous ROS/superoxide levels, membrane potential, and respiratory dehydrogenase activity in the nos mutant are partially normalized by NADH dehydrogenase inhibition.</w:t>
      </w:r>
    </w:p>
    <w:p>
      <w:pPr>
        <w:pStyle w:val="ListBullet"/>
      </w:pPr>
      <w:r>
        <w:t>Metabolomics data indicate decreased cellular lactate, citrate, α-ketoglutarate, glutamate, branched-chain amino acids, NADH, and increased intracellular fumarate, malate, citrulline, and histidine in the nos mutant.</w:t>
      </w:r>
    </w:p>
    <w:p>
      <w:pPr>
        <w:pStyle w:val="ListBullet"/>
      </w:pPr>
      <w:r>
        <w:t>Aconitase activity is decreased in the nos mutant, not restored by NADH dehydrogenase inhibition.</w:t>
      </w:r>
    </w:p>
    <w:p>
      <w:pPr>
        <w:pStyle w:val="ListBullet"/>
      </w:pPr>
      <w:r>
        <w:t>RNAseq data show increased expression of oxidative stress genes, anaerobic metabolism genes, and decreased expression of purine and pyrimidine biosynthesis genes in the nos mutant.</w:t>
      </w:r>
    </w:p>
    <w:p>
      <w:pPr>
        <w:pStyle w:val="Heading2"/>
      </w:pPr>
      <w:r>
        <w:t>Review Checklist</w:t>
      </w:r>
    </w:p>
    <w:p>
      <w:pPr>
        <w:pStyle w:val="ListBullet"/>
      </w:pPr>
      <w:r>
        <w:t>[ ] Growth conditions verified (temperature 37 °C, aerobic, shaking 250 rpm, incubation times per assay)</w:t>
      </w:r>
    </w:p>
    <w:p>
      <w:pPr>
        <w:pStyle w:val="ListBullet"/>
      </w:pPr>
      <w:r>
        <w:t>[ ] Media composition and volumes verified (TSB+G 14 mM glucose; TSB-G glucose-free; culture volume:flask ratio 1:12.5)</w:t>
      </w:r>
    </w:p>
    <w:p>
      <w:pPr>
        <w:pStyle w:val="ListBullet"/>
      </w:pPr>
      <w:r>
        <w:t>[ ] Mixing parameters verified (250 rpm shaking for cultures)</w:t>
      </w:r>
    </w:p>
    <w:p>
      <w:pPr>
        <w:pStyle w:val="ListBullet"/>
      </w:pPr>
      <w:r>
        <w:t>[ ] Incubation times verified (3 hours for ROS assays, 4 hours for RNAseq and metabolomics, 6 hours for SEM)</w:t>
      </w:r>
    </w:p>
    <w:p>
      <w:pPr>
        <w:pStyle w:val="ListBullet"/>
      </w:pPr>
      <w:r>
        <w:t>[ ] Centrifugation settings verified (e.g., 3901 × g for 3–10 min, 13,000 × g for protein prep)</w:t>
      </w:r>
    </w:p>
    <w:p>
      <w:pPr>
        <w:pStyle w:val="ListBullet"/>
      </w:pPr>
      <w:r>
        <w:t>[ ] Step order confirmed against source</w:t>
      </w:r>
    </w:p>
    <w:p>
      <w:pPr>
        <w:pStyle w:val="ListBullet"/>
      </w:pPr>
      <w:r>
        <w:t>[ ] Any ambiguous values flagged with [CHECK]</w:t>
      </w:r>
    </w:p>
    <w:p>
      <w:pPr>
        <w:pStyle w:val="Heading2"/>
      </w:pPr>
      <w:r>
        <w:t>Review Flags</w:t>
      </w:r>
    </w:p>
    <w:p>
      <w:pPr>
        <w:pStyle w:val="Heading1"/>
      </w:pPr>
      <w:r>
        <w:t>Scientific QA Review Report</w:t>
      </w:r>
    </w:p>
    <w:p>
      <w:pPr>
        <w:pStyle w:val="Heading2"/>
      </w:pPr>
      <w:r>
        <w:t>Critical Parameters Checklist (from the protocol)</w:t>
      </w:r>
    </w:p>
    <w:p>
      <w:pPr>
        <w:pStyle w:val="ListBullet"/>
      </w:pPr>
      <w:r>
        <w:t>Temperature: 37 °C (growth and enzymatic assays)</w:t>
      </w:r>
    </w:p>
    <w:p>
      <w:pPr>
        <w:pStyle w:val="ListBullet"/>
      </w:pPr>
      <w:r>
        <w:t>Shaking speed: 250 rpm (aerobic cultures)</w:t>
      </w:r>
    </w:p>
    <w:p>
      <w:pPr>
        <w:pStyle w:val="ListBullet"/>
      </w:pPr>
      <w:r>
        <w:t>Culture volumes: 40 ml in 500 ml flask (1:12.5 volume:flask ratio)</w:t>
      </w:r>
    </w:p>
    <w:p>
      <w:pPr>
        <w:pStyle w:val="ListBullet"/>
      </w:pPr>
      <w:r>
        <w:t>Media: TSB + 14 mM glucose (TSB+G); TSB glucose-free (TSB-G)</w:t>
      </w:r>
    </w:p>
    <w:p>
      <w:pPr>
        <w:pStyle w:val="ListBullet"/>
      </w:pPr>
      <w:r>
        <w:t>OD600 inoculum starting point: 0.05</w:t>
      </w:r>
    </w:p>
    <w:p>
      <w:pPr>
        <w:pStyle w:val="ListBullet"/>
      </w:pPr>
      <w:r>
        <w:t>DPTA NONOate (NO donor) concentration: 100 µM final, 150 mM stock in 0.01 M NaOH, stored −80 °C</w:t>
      </w:r>
    </w:p>
    <w:p>
      <w:pPr>
        <w:pStyle w:val="ListBullet"/>
      </w:pPr>
      <w:r>
        <w:t>Incubation times per assay:</w:t>
      </w:r>
    </w:p>
    <w:p>
      <w:pPr>
        <w:pStyle w:val="ListBullet"/>
      </w:pPr>
      <w:r>
        <w:t>Growth curves: up to 24 h (8 h for NO complement)</w:t>
      </w:r>
    </w:p>
    <w:p>
      <w:pPr>
        <w:pStyle w:val="ListBullet"/>
      </w:pPr>
      <w:r>
        <w:t>SEM sample collection: 6 h culture</w:t>
      </w:r>
    </w:p>
    <w:p>
      <w:pPr>
        <w:pStyle w:val="ListBullet"/>
      </w:pPr>
      <w:r>
        <w:t>RNAseq and metabolomics harvest: 4 h culture</w:t>
      </w:r>
    </w:p>
    <w:p>
      <w:pPr>
        <w:pStyle w:val="ListBullet"/>
      </w:pPr>
      <w:r>
        <w:t>ROS and membrane potential assays: 3 h culture</w:t>
      </w:r>
    </w:p>
    <w:p>
      <w:pPr>
        <w:pStyle w:val="ListBullet"/>
      </w:pPr>
      <w:r>
        <w:t>Centrifugation:</w:t>
      </w:r>
    </w:p>
    <w:p>
      <w:pPr>
        <w:pStyle w:val="ListBullet"/>
      </w:pPr>
      <w:r>
        <w:t>3901 × g for 3–10 min (pelleting bacteria)</w:t>
      </w:r>
    </w:p>
    <w:p>
      <w:pPr>
        <w:pStyle w:val="ListBullet"/>
      </w:pPr>
      <w:r>
        <w:t>13,000 × g for 3–5 min (protein prep, homogenates)</w:t>
      </w:r>
    </w:p>
    <w:p>
      <w:pPr>
        <w:pStyle w:val="ListBullet"/>
      </w:pPr>
      <w:r>
        <w:t>CM-H2DCFDA concentration: 10 µM, 60 min incubation at 37 °C</w:t>
      </w:r>
    </w:p>
    <w:p>
      <w:pPr>
        <w:pStyle w:val="ListBullet"/>
      </w:pPr>
      <w:r>
        <w:t>MitoSOX Red concentration: 5 µM, 10 min incubation at 37 °C</w:t>
      </w:r>
    </w:p>
    <w:p>
      <w:pPr>
        <w:pStyle w:val="ListBullet"/>
      </w:pPr>
      <w:r>
        <w:t>DiOC2(3) concentration: 30 µM, with 5 µM CCCP control</w:t>
      </w:r>
    </w:p>
    <w:p>
      <w:pPr>
        <w:pStyle w:val="ListBullet"/>
      </w:pPr>
      <w:r>
        <w:t>CTC staining concentration: 4.5 mM, measured up to 120 min with 10 min intervals</w:t>
      </w:r>
    </w:p>
    <w:p>
      <w:pPr>
        <w:pStyle w:val="ListBullet"/>
      </w:pPr>
      <w:r>
        <w:t>Thioridizine HCl (TZ) NADH dehydrogenase inhibitor: 15 µM final, added at inoculation</w:t>
      </w:r>
    </w:p>
    <w:p>
      <w:pPr>
        <w:pStyle w:val="ListBullet"/>
      </w:pPr>
      <w:r>
        <w:t>Lysostaphin: 100 µg/ml for lysate prep</w:t>
      </w:r>
    </w:p>
    <w:p>
      <w:pPr>
        <w:pStyle w:val="ListBullet"/>
      </w:pPr>
      <w:r>
        <w:t>DNase I: 27.3 Kunitz units for lysate prep</w:t>
      </w:r>
    </w:p>
    <w:p>
      <w:pPr>
        <w:pStyle w:val="ListBullet"/>
      </w:pPr>
      <w:r>
        <w:t>RNAseq criteria: gene expression ≥ 50 RPKM, ≥ 80% unique mapping, fold change ≥ 2</w:t>
      </w:r>
    </w:p>
    <w:p>
      <w:pPr>
        <w:pStyle w:val="ListBullet"/>
      </w:pPr>
      <w:r>
        <w:t>Metabolomics:</w:t>
      </w:r>
    </w:p>
    <w:p>
      <w:pPr>
        <w:pStyle w:val="ListBullet"/>
      </w:pPr>
      <w:r>
        <w:t>Extraction solvents: 50:50 acetonitrile/0.3% formic acid</w:t>
      </w:r>
    </w:p>
    <w:p>
      <w:pPr>
        <w:pStyle w:val="ListBullet"/>
      </w:pPr>
      <w:r>
        <w:t>Derivatization reagents: O-benzylhydroxylamine (0.4M), EDC (2 M)</w:t>
      </w:r>
    </w:p>
    <w:p>
      <w:pPr>
        <w:pStyle w:val="ListBullet"/>
      </w:pPr>
      <w:r>
        <w:t>LC/MS/MS temperatures: 30–55 °C depending on assay</w:t>
      </w:r>
    </w:p>
    <w:p>
      <w:pPr>
        <w:pStyle w:val="ListBullet"/>
      </w:pPr>
      <w:r>
        <w:t>Statistical tests: Tukey, Holm-Sidak, Student-Newman-Keuls, paired t-test as appropriate</w:t>
      </w:r>
    </w:p>
    <w:p>
      <w:pPr>
        <w:pStyle w:val="Heading2"/>
      </w:pPr>
      <w:r>
        <w:t>Potential Missing Parameters (compare to source)</w:t>
      </w:r>
    </w:p>
    <w:p>
      <w:pPr>
        <w:pStyle w:val="ListBullet"/>
      </w:pPr>
      <w:r>
        <w:t>Growth times for NO complementation growth curves (8 hours) stated; shorter than 24 h in other growth curves, consistent.</w:t>
      </w:r>
    </w:p>
    <w:p>
      <w:pPr>
        <w:pStyle w:val="ListBullet"/>
      </w:pPr>
      <w:r>
        <w:t>For SEM, fixation times and microwave processing are mentioned but microwave power settings and times for each step are missing. Source mentions microwave-assisted method but provides no specifics; could be [CHECK].</w:t>
      </w:r>
    </w:p>
    <w:p>
      <w:pPr>
        <w:pStyle w:val="ListBullet"/>
      </w:pPr>
      <w:r>
        <w:t>For CM-H2DCFDA staining, source specifies incubation for 60 min at 37 °C, which matches protocol.</w:t>
      </w:r>
    </w:p>
    <w:p>
      <w:pPr>
        <w:pStyle w:val="ListBullet"/>
      </w:pPr>
      <w:r>
        <w:t>RNA isolation RNA pooling method is included; however, amount of RNA used for library prep is not specified [CHECK].</w:t>
      </w:r>
    </w:p>
    <w:p>
      <w:pPr>
        <w:pStyle w:val="ListBullet"/>
      </w:pPr>
      <w:r>
        <w:t>Oxygen consumption measurement details: linear portion (~2 min) selection is mentioned; electrode calibration prior to use is specified; no detail in protocol on stir rate or precise sample volume used for electrode beyond 1 ml resuspension [CHECK].</w:t>
      </w:r>
    </w:p>
    <w:p>
      <w:pPr>
        <w:pStyle w:val="ListBullet"/>
      </w:pPr>
      <w:r>
        <w:t>Metabolomics:</w:t>
      </w:r>
    </w:p>
    <w:p>
      <w:pPr>
        <w:pStyle w:val="ListBullet"/>
      </w:pPr>
      <w:r>
        <w:t>Storage duration and temperature of samples before prep not specified.</w:t>
      </w:r>
    </w:p>
    <w:p>
      <w:pPr>
        <w:pStyle w:val="ListBullet"/>
      </w:pPr>
      <w:r>
        <w:t>Exact flow rates and solvent gradient compositions for LC/MS/MS are not detailed, though identified in source as 7.5 min gradients for organic acids, 9.55 min for amino acids, ~2 min for nucleotides; protocol states these generally but lacks explicit gradients or flow rates [CHECK].</w:t>
      </w:r>
    </w:p>
    <w:p>
      <w:pPr>
        <w:pStyle w:val="ListBullet"/>
      </w:pPr>
      <w:r>
        <w:t>No detailed protocols for qRT-PCR cycling conditions or cDNA synthesis in protocol [likely elsewhere; minor].</w:t>
      </w:r>
    </w:p>
    <w:p>
      <w:pPr>
        <w:pStyle w:val="ListBullet"/>
      </w:pPr>
      <w:r>
        <w:t>Measurement of aconitase activity timepoints (optical density readings every 1 min for 60 min) given, but specifics on concentrations or volumes per reaction missing [CHECK].</w:t>
      </w:r>
    </w:p>
    <w:p>
      <w:pPr>
        <w:pStyle w:val="ListBullet"/>
      </w:pPr>
      <w:r>
        <w:t>For catalase assay, protein dilution 1:1000 and Amplex Red concentrations given, but reaction times beyond 1 h fluorescence measurement not expressed in granular detail (e.g., time course) [minor].</w:t>
      </w:r>
    </w:p>
    <w:p>
      <w:pPr>
        <w:pStyle w:val="Heading2"/>
      </w:pPr>
      <w:r>
        <w:t>Possible Unsupported Claims</w:t>
      </w:r>
    </w:p>
    <w:p>
      <w:pPr>
        <w:pStyle w:val="ListBullet"/>
      </w:pPr>
      <w:r>
        <w:t>None detected. All listed experimental descriptions in protocol correspond clearly with source text details.</w:t>
      </w:r>
    </w:p>
    <w:p>
      <w:pPr>
        <w:pStyle w:val="Heading2"/>
      </w:pPr>
      <w:r>
        <w:t>Step Order / Omission Risks</w:t>
      </w:r>
    </w:p>
    <w:p>
      <w:pPr>
        <w:pStyle w:val="ListBullet"/>
      </w:pPr>
      <w:r>
        <w:t>None detected. Protocol steps follow logical experimental order matching source descriptions.</w:t>
      </w:r>
    </w:p>
    <w:p>
      <w:pPr>
        <w:pStyle w:val="ListBullet"/>
      </w:pPr>
      <w:r>
        <w:t>Pooling of RNA samples prior to library prep is explicit and consistent.</w:t>
      </w:r>
    </w:p>
    <w:p>
      <w:pPr>
        <w:pStyle w:val="ListBullet"/>
      </w:pPr>
      <w:r>
        <w:t>NADH dehydrogenase inhibition with TZ added at inoculation is consistent.</w:t>
      </w:r>
    </w:p>
    <w:p>
      <w:pPr>
        <w:pStyle w:val="ListBullet"/>
      </w:pPr>
      <w:r>
        <w:t>ROS and superoxide assays performed after 3 h aerobic growth matching source.</w:t>
      </w:r>
    </w:p>
    <w:p>
      <w:pPr>
        <w:pStyle w:val="ListBullet"/>
      </w:pPr>
      <w:r>
        <w:t>SEM fixation and processing steps present and consistent though more actual microwave processing details would strengthen reproducibility.</w:t>
      </w:r>
    </w:p>
    <w:p>
      <w:pPr>
        <w:pStyle w:val="ListBullet"/>
      </w:pPr>
      <w:r>
        <w:t>No indications of missing crucial steps or reversal of experimental order.</w:t>
      </w:r>
    </w:p>
    <w:p>
      <w:r>
        <w:t>---</w:t>
      </w:r>
    </w:p>
    <w:p>
      <w:pPr>
        <w:pStyle w:val="Heading1"/>
      </w:pPr>
      <w:r>
        <w:t>Summary:</w:t>
      </w:r>
    </w:p>
    <w:p>
      <w:r>
        <w:t>The generated protocol comprehensively captures the essential experimental parameters and procedures detailed in the source text. Numeric values, incubation times, reagent concentrations, and key procedural steps are consistent and well represented.</w:t>
      </w:r>
    </w:p>
    <w:p>
      <w:r>
        <w:t>Minor potential gaps or ambiguities that warrant caution include:</w:t>
      </w:r>
    </w:p>
    <w:p>
      <w:pPr>
        <w:pStyle w:val="ListBullet"/>
      </w:pPr>
      <w:r>
        <w:t>Microwave-assisted processing parameters for SEM.</w:t>
      </w:r>
    </w:p>
    <w:p>
      <w:pPr>
        <w:pStyle w:val="ListBullet"/>
      </w:pPr>
      <w:r>
        <w:t>LC/MS/MS chromatographic gradients and flow rates for metabolomics.</w:t>
      </w:r>
    </w:p>
    <w:p>
      <w:pPr>
        <w:pStyle w:val="ListBullet"/>
      </w:pPr>
      <w:r>
        <w:t>Volumes and RNA input for library construction.</w:t>
      </w:r>
    </w:p>
    <w:p>
      <w:pPr>
        <w:pStyle w:val="ListBullet"/>
      </w:pPr>
      <w:r>
        <w:t>Detailed enzyme assay conditions (buffer composition, volumes).</w:t>
      </w:r>
    </w:p>
    <w:p>
      <w:r>
        <w:t>These points are marked as [CHECK] due to insufficient explicit source detail but do not constitute critical safety or methodological risks.</w:t>
      </w:r>
    </w:p>
    <w:p>
      <w:r>
        <w:t>No unsupported claims or step-order problems are evident.</w:t>
      </w:r>
    </w:p>
    <w:p>
      <w:r>
        <w:t>Overall, the protocol is supportive of reproducibility with close adherence to source parameters and no critical omissions.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