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Contribution of the nos-pdt Operon to Virulence Phenotypes in Methicillin-Sensitive Staphylococcus aureus</w:t>
      </w:r>
    </w:p>
    <w:p>
      <w:pPr>
        <w:pStyle w:val="Heading2"/>
      </w:pPr>
      <w:r>
        <w:t>Objective</w:t>
      </w:r>
    </w:p>
    <w:p>
      <w:r>
        <w:t>To analyze the transcriptional regulation and functional contribution of the nos-pdt operon, encoding nitric oxide synthase (saNOS) and prephenate dehydratase (PDT), respectively, to the physiology, stress resistance, and virulence of methicillin-sensitive Staphylococcus aureus (MSSA).</w:t>
      </w:r>
    </w:p>
    <w:p>
      <w:pPr>
        <w:pStyle w:val="Heading2"/>
      </w:pPr>
      <w:r>
        <w:t>Materials</w:t>
      </w:r>
    </w:p>
    <w:p>
      <w:pPr>
        <w:pStyle w:val="ListBullet"/>
      </w:pPr>
      <w:r>
        <w:t>Staphylococcus aureus strains: UAMS-1 (wild-type), KR1010 (nos::erm insertion mutant), KR1013 (Δpdt deletion mutant)</w:t>
      </w:r>
    </w:p>
    <w:p>
      <w:pPr>
        <w:pStyle w:val="ListBullet"/>
      </w:pPr>
      <w:r>
        <w:t>Escherichia coli strains: DH5α, RN4220</w:t>
      </w:r>
    </w:p>
    <w:p>
      <w:pPr>
        <w:pStyle w:val="ListBullet"/>
      </w:pPr>
      <w:r>
        <w:t>Plasmids: pTR27 (nos::erm allele replacement), pKR13 (Δpdt allele replacement), pMKnos (nos complementation plasmid), pMKpdt (pdt complementation plasmid), pMK4 (shuttle vector control)</w:t>
      </w:r>
    </w:p>
    <w:p>
      <w:pPr>
        <w:pStyle w:val="ListBullet"/>
      </w:pPr>
      <w:r>
        <w:t>Media and reagents:</w:t>
      </w:r>
    </w:p>
    <w:p>
      <w:pPr>
        <w:pStyle w:val="ListBullet"/>
      </w:pPr>
      <w:r>
        <w:t>Tryptic Soy Agar (TSA)</w:t>
      </w:r>
    </w:p>
    <w:p>
      <w:pPr>
        <w:pStyle w:val="ListBullet"/>
      </w:pPr>
      <w:r>
        <w:t>Tryptic Soy Broth (TSB)</w:t>
      </w:r>
    </w:p>
    <w:p>
      <w:pPr>
        <w:pStyle w:val="ListBullet"/>
      </w:pPr>
      <w:r>
        <w:t>Chemically Defined Media (CDM): composition as described in reference [33]</w:t>
      </w:r>
    </w:p>
    <w:p>
      <w:pPr>
        <w:pStyle w:val="ListBullet"/>
      </w:pPr>
      <w:r>
        <w:t>Antibiotics:</w:t>
      </w:r>
    </w:p>
    <w:p>
      <w:pPr>
        <w:pStyle w:val="ListBullet"/>
      </w:pPr>
      <w:r>
        <w:t>Chloramphenicol: 5 mg/mL or 10 mg/mL (agar and broth)</w:t>
      </w:r>
    </w:p>
    <w:p>
      <w:pPr>
        <w:pStyle w:val="ListBullet"/>
      </w:pPr>
      <w:r>
        <w:t>Erythromycin: 2 mg/mL or 10 mg/mL (agar and broth)</w:t>
      </w:r>
    </w:p>
    <w:p>
      <w:pPr>
        <w:pStyle w:val="ListBullet"/>
      </w:pPr>
      <w:r>
        <w:t>Ampicillin: 50 mg/mL (E. coli)</w:t>
      </w:r>
    </w:p>
    <w:p>
      <w:pPr>
        <w:pStyle w:val="ListBullet"/>
      </w:pPr>
      <w:r>
        <w:t>Kanamycin: 50 mg/mL (E. coli)</w:t>
      </w:r>
    </w:p>
    <w:p>
      <w:pPr>
        <w:pStyle w:val="ListBullet"/>
      </w:pPr>
      <w:r>
        <w:t>DAF-FM diacetate (4-Amino-5-Methylamino-2’,7’-Difluorofluorescein diacetate)</w:t>
      </w:r>
    </w:p>
    <w:p>
      <w:pPr>
        <w:pStyle w:val="ListBullet"/>
      </w:pPr>
      <w:r>
        <w:t>DEA (Diethylamine) and DEA/NO</w:t>
      </w:r>
    </w:p>
    <w:p>
      <w:pPr>
        <w:pStyle w:val="ListBullet"/>
      </w:pPr>
      <w:r>
        <w:t>cPTIO (2-(4-carboxyphenyl)-4,5-dihydro-4,4,5,5-tetramethyl-1H-imidazolyl-1-oxy-3-oxide, monopotassium salt)</w:t>
      </w:r>
    </w:p>
    <w:p>
      <w:pPr>
        <w:pStyle w:val="ListBullet"/>
      </w:pPr>
      <w:r>
        <w:t>Hydrogen peroxide solution (250 mM final concentration for assays)</w:t>
      </w:r>
    </w:p>
    <w:p>
      <w:pPr>
        <w:pStyle w:val="ListBullet"/>
      </w:pPr>
      <w:r>
        <w:t>Methanol</w:t>
      </w:r>
    </w:p>
    <w:p>
      <w:pPr>
        <w:pStyle w:val="ListBullet"/>
      </w:pPr>
      <w:r>
        <w:t>Essential equipment:</w:t>
      </w:r>
    </w:p>
    <w:p>
      <w:pPr>
        <w:pStyle w:val="ListBullet"/>
      </w:pPr>
      <w:r>
        <w:t>Electroporation device</w:t>
      </w:r>
    </w:p>
    <w:p>
      <w:pPr>
        <w:pStyle w:val="ListBullet"/>
      </w:pPr>
      <w:r>
        <w:t>Microplate reader capable of fluorescence and absorbance measurements</w:t>
      </w:r>
    </w:p>
    <w:p>
      <w:pPr>
        <w:pStyle w:val="ListBullet"/>
      </w:pPr>
      <w:r>
        <w:t>PCR thermocycler</w:t>
      </w:r>
    </w:p>
    <w:p>
      <w:pPr>
        <w:pStyle w:val="ListBullet"/>
      </w:pPr>
      <w:r>
        <w:t>Ultracentrifuge for plating CFU enumeration</w:t>
      </w:r>
    </w:p>
    <w:p>
      <w:pPr>
        <w:pStyle w:val="ListBullet"/>
      </w:pPr>
      <w:r>
        <w:t>Fluorescence plate reader (e.g., Biotek Synergy HT)</w:t>
      </w:r>
    </w:p>
    <w:p>
      <w:pPr>
        <w:pStyle w:val="ListBullet"/>
      </w:pPr>
      <w:r>
        <w:t>Animals:</w:t>
      </w:r>
    </w:p>
    <w:p>
      <w:pPr>
        <w:pStyle w:val="ListBullet"/>
      </w:pPr>
      <w:r>
        <w:t>Female CD-1 Swiss mice, 6 weeks old</w:t>
      </w:r>
    </w:p>
    <w:p>
      <w:pPr>
        <w:pStyle w:val="Heading2"/>
      </w:pPr>
      <w:r>
        <w:t>Procedure</w:t>
      </w:r>
    </w:p>
    <w:p>
      <w:pPr>
        <w:pStyle w:val="Heading3"/>
      </w:pPr>
      <w:r>
        <w:t>Bacterial Growth and Strain Construction</w:t>
      </w:r>
    </w:p>
    <w:p>
      <w:pPr>
        <w:pStyle w:val="ListNumber"/>
      </w:pPr>
      <w:r>
        <w:t>Streak S. aureus strains freshly from frozen stocks onto TSA plates and incubate for 24 hours at 37°C.</w:t>
      </w:r>
    </w:p>
    <w:p>
      <w:pPr>
        <w:pStyle w:val="ListNumber"/>
      </w:pPr>
      <w:r>
        <w:t>Grow overnight cultures aerobically in TSB at 37°C with shaking (250 RPM) before experimental use.</w:t>
      </w:r>
    </w:p>
    <w:p>
      <w:pPr>
        <w:pStyle w:val="ListNumber"/>
      </w:pPr>
      <w:r>
        <w:t>For low-oxygen growth, culture in TSB using a 7:10 volume to flask ratio without shaking (0 RPM), as specified.</w:t>
      </w:r>
    </w:p>
    <w:p>
      <w:pPr>
        <w:pStyle w:val="ListNumber"/>
      </w:pPr>
      <w:r>
        <w:t>Include appropriate antibiotics in plates and broth as follows: chloramphenicol 5–10 mg/mL, erythromycin 2–10 mg/mL for S. aureus; ampicillin 50 mg/mL or kanamycin 50 mg/mL for E. coli.</w:t>
      </w:r>
    </w:p>
    <w:p>
      <w:pPr>
        <w:pStyle w:val="ListNumber"/>
      </w:pPr>
      <w:r>
        <w:t>Create nos::erm insertion mutant (KR1010):</w:t>
      </w:r>
    </w:p>
    <w:p>
      <w:pPr>
        <w:pStyle w:val="ListBullet"/>
      </w:pPr>
      <w:r>
        <w:t>Amplify the nos gene by PCR and introduce internal BglII site.</w:t>
      </w:r>
    </w:p>
    <w:p>
      <w:pPr>
        <w:pStyle w:val="ListBullet"/>
      </w:pPr>
      <w:r>
        <w:t>Clone the modified nos fragment into pBluescriptSK (pBSK).</w:t>
      </w:r>
    </w:p>
    <w:p>
      <w:pPr>
        <w:pStyle w:val="ListBullet"/>
      </w:pPr>
      <w:r>
        <w:t>Insert erm resistance cassette into BglII site.</w:t>
      </w:r>
    </w:p>
    <w:p>
      <w:pPr>
        <w:pStyle w:val="ListBullet"/>
      </w:pPr>
      <w:r>
        <w:t>Clone modified nos::erm allele into EcoRI site of temperature-sensitive shuttle vector pBT2 to generate pTR27.</w:t>
      </w:r>
    </w:p>
    <w:p>
      <w:pPr>
        <w:pStyle w:val="ListBullet"/>
      </w:pPr>
      <w:r>
        <w:t>Transform pTR27 into S. aureus RN4220 by electroporation, then transduce into UAMS-1.</w:t>
      </w:r>
    </w:p>
    <w:p>
      <w:pPr>
        <w:pStyle w:val="ListBullet"/>
      </w:pPr>
      <w:r>
        <w:t>Integrate plasmid into chromosome by growth at non-permissive temperature (43°C) on TSA + 10 mg/mL Erm.</w:t>
      </w:r>
    </w:p>
    <w:p>
      <w:pPr>
        <w:pStyle w:val="ListBullet"/>
      </w:pPr>
      <w:r>
        <w:t>Passage culture without antibiotics to select for second recombination event.</w:t>
      </w:r>
    </w:p>
    <w:p>
      <w:pPr>
        <w:pStyle w:val="ListBullet"/>
      </w:pPr>
      <w:r>
        <w:t>Screen colonies for Erm resistance and Cm sensitivity by patching on TSA + Erm and TSA + Cm.</w:t>
      </w:r>
    </w:p>
    <w:p>
      <w:pPr>
        <w:pStyle w:val="ListBullet"/>
      </w:pPr>
      <w:r>
        <w:t>Confirm chromosomal insertion by PCR and Southern blot.</w:t>
      </w:r>
    </w:p>
    <w:p>
      <w:pPr>
        <w:pStyle w:val="ListNumber"/>
      </w:pPr>
      <w:r>
        <w:t>Create Δpdt deletion mutant (KR1013):</w:t>
      </w:r>
    </w:p>
    <w:p>
      <w:pPr>
        <w:pStyle w:val="ListBullet"/>
      </w:pPr>
      <w:r>
        <w:t>Amplify 1.2 kb upstream and 1.0 kb downstream regions flanking pdt ORF using PCR.</w:t>
      </w:r>
    </w:p>
    <w:p>
      <w:pPr>
        <w:pStyle w:val="ListBullet"/>
      </w:pPr>
      <w:r>
        <w:t>Clone PCR products into pCRBlunt vector.</w:t>
      </w:r>
    </w:p>
    <w:p>
      <w:pPr>
        <w:pStyle w:val="ListBullet"/>
      </w:pPr>
      <w:r>
        <w:t>Verify sequences by Sanger sequencing.</w:t>
      </w:r>
    </w:p>
    <w:p>
      <w:pPr>
        <w:pStyle w:val="ListBullet"/>
      </w:pPr>
      <w:r>
        <w:t>Excise inserts and clone into pKR13 by triple ligation.</w:t>
      </w:r>
    </w:p>
    <w:p>
      <w:pPr>
        <w:pStyle w:val="ListBullet"/>
      </w:pPr>
      <w:r>
        <w:t>Transform pKR13 into E. coli DH5α, then into S. aureus RN4220 by electroporation and subsequently transduce into UAMS-1.</w:t>
      </w:r>
    </w:p>
    <w:p>
      <w:pPr>
        <w:pStyle w:val="ListBullet"/>
      </w:pPr>
      <w:r>
        <w:t>Select for double crossover recombinants by antibiotic sensitivity screening (TSA with and without Cm).</w:t>
      </w:r>
    </w:p>
    <w:p>
      <w:pPr>
        <w:pStyle w:val="ListBullet"/>
      </w:pPr>
      <w:r>
        <w:t>Confirm deletion of 521 bp of pdt by PCR.</w:t>
      </w:r>
    </w:p>
    <w:p>
      <w:pPr>
        <w:pStyle w:val="ListNumber"/>
      </w:pPr>
      <w:r>
        <w:t>Create complementation plasmids:</w:t>
      </w:r>
    </w:p>
    <w:p>
      <w:pPr>
        <w:pStyle w:val="ListBullet"/>
      </w:pPr>
      <w:r>
        <w:t>For pMKnos: PCR amplify a 1.6 kb fragment containing 564 bp upstream and entire nos ORF from UAMS-1 genomic DNA; clone into pCRBlunt.</w:t>
      </w:r>
    </w:p>
    <w:p>
      <w:pPr>
        <w:pStyle w:val="ListBullet"/>
      </w:pPr>
      <w:r>
        <w:t>Excise and ligate fragment into pMK4 shuttle vector using BamHI and EcoRI.</w:t>
      </w:r>
    </w:p>
    <w:p>
      <w:pPr>
        <w:pStyle w:val="ListBullet"/>
      </w:pPr>
      <w:r>
        <w:t>For pMKpdt: PCR amplify 0.97 kb pdt ORF and 564 bp upstream nos promoter region; clone into pCRBlunt, then into pMK4 with BamHI and SmaI/EcoRI digestion.</w:t>
      </w:r>
    </w:p>
    <w:p>
      <w:pPr>
        <w:pStyle w:val="ListBullet"/>
      </w:pPr>
      <w:r>
        <w:t>Move plasmids into RN4220 and then into mutant strains by electroporation and phage transduction as described above.</w:t>
      </w:r>
    </w:p>
    <w:p>
      <w:pPr>
        <w:pStyle w:val="Heading3"/>
      </w:pPr>
      <w:r>
        <w:t>Growth-Phase Dependent Expression Analysis</w:t>
      </w:r>
    </w:p>
    <w:p>
      <w:pPr>
        <w:pStyle w:val="ListNumber"/>
      </w:pPr>
      <w:r>
        <w:t>Inoculate overnight UAMS-1 cultures in TSB to OD600 = 0.05.</w:t>
      </w:r>
    </w:p>
    <w:p>
      <w:pPr>
        <w:pStyle w:val="ListNumber"/>
      </w:pPr>
      <w:r>
        <w:t>Grow under aerobic (1:10 volume to flask ratio, 250 RPM) and low-oxygen (7:10 ratio, 0 RPM) conditions at 37°C.</w:t>
      </w:r>
    </w:p>
    <w:p>
      <w:pPr>
        <w:pStyle w:val="ListNumber"/>
      </w:pPr>
      <w:r>
        <w:t>Harvest 3 mL culture samples at 2, 6, and 12 hours post-inoculation.</w:t>
      </w:r>
    </w:p>
    <w:p>
      <w:pPr>
        <w:pStyle w:val="ListNumber"/>
      </w:pPr>
      <w:r>
        <w:t>Extract total RNA using Lysing Matrix B with FastPrep and Qiagen RNeasy Mini Kit.</w:t>
      </w:r>
    </w:p>
    <w:p>
      <w:pPr>
        <w:pStyle w:val="ListNumber"/>
      </w:pPr>
      <w:r>
        <w:t>Treat RNA with Turbo DNase to remove DNA contamination.</w:t>
      </w:r>
    </w:p>
    <w:p>
      <w:pPr>
        <w:pStyle w:val="ListNumber"/>
      </w:pPr>
      <w:r>
        <w:t>Convert 0.75 µg RNA to cDNA using Bio-Rad iScript Reverse Transcriptase kit.</w:t>
      </w:r>
    </w:p>
    <w:p>
      <w:pPr>
        <w:pStyle w:val="ListNumber"/>
      </w:pPr>
      <w:r>
        <w:t>Perform quantitative real-time PCR (qRT-PCR) using primers specific for nos, pdt, and housekeeping gene sigA for normalization.</w:t>
      </w:r>
    </w:p>
    <w:p>
      <w:pPr>
        <w:pStyle w:val="ListNumber"/>
      </w:pPr>
      <w:r>
        <w:t>Calculate relative gene expression using the Livak 2^−ΔΔCt method.</w:t>
      </w:r>
    </w:p>
    <w:p>
      <w:pPr>
        <w:pStyle w:val="ListNumber"/>
      </w:pPr>
      <w:r>
        <w:t>Compare fold changes between aerobic and low-oxygen conditions and across time points.</w:t>
      </w:r>
    </w:p>
    <w:p>
      <w:pPr>
        <w:pStyle w:val="Heading3"/>
      </w:pPr>
      <w:r>
        <w:t>Co-transcription PCR Analysis</w:t>
      </w:r>
    </w:p>
    <w:p>
      <w:pPr>
        <w:pStyle w:val="ListNumber"/>
      </w:pPr>
      <w:r>
        <w:t>Prepare cDNA from 6-hour low-oxygen cultures using pdt-specific reverse primer.</w:t>
      </w:r>
    </w:p>
    <w:p>
      <w:pPr>
        <w:pStyle w:val="ListNumber"/>
      </w:pPr>
      <w:r>
        <w:t>Perform PCR with primers spanning the intergenic region between nos and pdt to amplify ~1.9 kb product.</w:t>
      </w:r>
    </w:p>
    <w:p>
      <w:pPr>
        <w:pStyle w:val="ListNumber"/>
      </w:pPr>
      <w:r>
        <w:t>Include controls without reverse transcriptase and with genomic DNA template.</w:t>
      </w:r>
    </w:p>
    <w:p>
      <w:pPr>
        <w:pStyle w:val="ListNumber"/>
      </w:pPr>
      <w:r>
        <w:t>Visualize PCR products by agarose gel electrophoresis stained with ethidium bromide.</w:t>
      </w:r>
    </w:p>
    <w:p>
      <w:pPr>
        <w:pStyle w:val="Heading3"/>
      </w:pPr>
      <w:r>
        <w:t>Assessment of Growth in Chemically Defined Media</w:t>
      </w:r>
    </w:p>
    <w:p>
      <w:pPr>
        <w:pStyle w:val="ListNumber"/>
      </w:pPr>
      <w:r>
        <w:t>Grow overnight cultures of wild-type, nos mutant, pdt mutant, and their complement strains in TSB + 5 mg/mL Cm.</w:t>
      </w:r>
    </w:p>
    <w:p>
      <w:pPr>
        <w:pStyle w:val="ListNumber"/>
      </w:pPr>
      <w:r>
        <w:t>Harvest cells by centrifugation and wash once with CDM containing no phenylalanine.</w:t>
      </w:r>
    </w:p>
    <w:p>
      <w:pPr>
        <w:pStyle w:val="ListNumber"/>
      </w:pPr>
      <w:r>
        <w:t>Resuspend cells in CDM with or without phenylalanine to an OD600 = 0.02.</w:t>
      </w:r>
    </w:p>
    <w:p>
      <w:pPr>
        <w:pStyle w:val="ListNumber"/>
      </w:pPr>
      <w:r>
        <w:t>Inoculate 1 mL aliquots into 96-well plates in triplicate.</w:t>
      </w:r>
    </w:p>
    <w:p>
      <w:pPr>
        <w:pStyle w:val="ListNumber"/>
      </w:pPr>
      <w:r>
        <w:t>Incubate statically at 37°C for 24 hours.</w:t>
      </w:r>
    </w:p>
    <w:p>
      <w:pPr>
        <w:pStyle w:val="ListNumber"/>
      </w:pPr>
      <w:r>
        <w:t>Measure OD600 every 2 hours using a microplate reader.</w:t>
      </w:r>
    </w:p>
    <w:p>
      <w:pPr>
        <w:pStyle w:val="ListNumber"/>
      </w:pPr>
      <w:r>
        <w:t>Compare growth kinetics and endpoint OD600 values to assess phenylalanine auxotrophy.</w:t>
      </w:r>
    </w:p>
    <w:p>
      <w:pPr>
        <w:pStyle w:val="Heading3"/>
      </w:pPr>
      <w:r>
        <w:t>Hydrogen Peroxide Sensitivity Assays</w:t>
      </w:r>
    </w:p>
    <w:p>
      <w:pPr>
        <w:pStyle w:val="ListNumber"/>
      </w:pPr>
      <w:r>
        <w:t>Inoculate wild-type, nos mutant, pdt mutant, and complemented strains in LB broth and grow overnight at 37°C with shaking (250 RPM).</w:t>
      </w:r>
    </w:p>
    <w:p>
      <w:pPr>
        <w:pStyle w:val="ListNumber"/>
      </w:pPr>
      <w:r>
        <w:t>Dilute cultures to OD600 = 0.05 in LB without antibiotics in 250 mL Erlenmeyer flasks.</w:t>
      </w:r>
    </w:p>
    <w:p>
      <w:pPr>
        <w:pStyle w:val="ListNumber"/>
      </w:pPr>
      <w:r>
        <w:t>Grow for 4.75–5 hours to mid-exponential phase (OD600 ≈ 0.02).</w:t>
      </w:r>
    </w:p>
    <w:p>
      <w:pPr>
        <w:pStyle w:val="ListNumber"/>
      </w:pPr>
      <w:r>
        <w:t>Remove 1 mL aliquots for serial dilution and plating to determine pre-treatment CFU.</w:t>
      </w:r>
    </w:p>
    <w:p>
      <w:pPr>
        <w:pStyle w:val="ListNumber"/>
      </w:pPr>
      <w:r>
        <w:t>Add freshly prepared hydrogen peroxide to cultures to reach a final concentration of 250 mM.</w:t>
      </w:r>
    </w:p>
    <w:p>
      <w:pPr>
        <w:pStyle w:val="ListNumber"/>
      </w:pPr>
      <w:r>
        <w:t>Incubate cultures for 2 hours at 37°C with shaking.</w:t>
      </w:r>
    </w:p>
    <w:p>
      <w:pPr>
        <w:pStyle w:val="ListNumber"/>
      </w:pPr>
      <w:r>
        <w:t>Remove 1 mL aliquots for serial dilution and plating to determine post-treatment CFU.</w:t>
      </w:r>
    </w:p>
    <w:p>
      <w:pPr>
        <w:pStyle w:val="ListNumber"/>
      </w:pPr>
      <w:r>
        <w:t>Calculate survival and compare sensitivity to oxidative stress.</w:t>
      </w:r>
    </w:p>
    <w:p>
      <w:pPr>
        <w:pStyle w:val="Heading3"/>
      </w:pPr>
      <w:r>
        <w:t>Carotenoid Pigment Quantification</w:t>
      </w:r>
    </w:p>
    <w:p>
      <w:pPr>
        <w:pStyle w:val="ListNumber"/>
      </w:pPr>
      <w:r>
        <w:t>Grow S. aureus (wild-type, nos mutant, complementation strains) on TSA + 5 mg/mL Cm plates for 48 hours at 37°C.</w:t>
      </w:r>
    </w:p>
    <w:p>
      <w:pPr>
        <w:pStyle w:val="ListNumber"/>
      </w:pPr>
      <w:r>
        <w:t>Scrape cells from plates and suspend in 1 mL sterile distilled water.</w:t>
      </w:r>
    </w:p>
    <w:p>
      <w:pPr>
        <w:pStyle w:val="ListNumber"/>
      </w:pPr>
      <w:r>
        <w:t>Centrifuge suspension for 3 minutes at 13,000 RPM, discard supernatant, and wash pellet once with distilled water.</w:t>
      </w:r>
    </w:p>
    <w:p>
      <w:pPr>
        <w:pStyle w:val="ListNumber"/>
      </w:pPr>
      <w:r>
        <w:t>Resuspend pellet in 420 µL methanol, vortex for 10 seconds.</w:t>
      </w:r>
    </w:p>
    <w:p>
      <w:pPr>
        <w:pStyle w:val="ListNumber"/>
      </w:pPr>
      <w:r>
        <w:t>Withdraw 20 µL for OD600 measurement (cell density correction).</w:t>
      </w:r>
    </w:p>
    <w:p>
      <w:pPr>
        <w:pStyle w:val="ListNumber"/>
      </w:pPr>
      <w:r>
        <w:t>Incubate remaining 400 µL at 60°C for 5 minutes.</w:t>
      </w:r>
    </w:p>
    <w:p>
      <w:pPr>
        <w:pStyle w:val="ListNumber"/>
      </w:pPr>
      <w:r>
        <w:t>Centrifuge for 2 minutes at 13,000 RPM.</w:t>
      </w:r>
    </w:p>
    <w:p>
      <w:pPr>
        <w:pStyle w:val="ListNumber"/>
      </w:pPr>
      <w:r>
        <w:t>Transfer 350 µL supernatant containing extracted carotenoids to cuvette.</w:t>
      </w:r>
    </w:p>
    <w:p>
      <w:pPr>
        <w:pStyle w:val="ListNumber"/>
      </w:pPr>
      <w:r>
        <w:t>Measure absorbance at 465 nm.</w:t>
      </w:r>
    </w:p>
    <w:p>
      <w:pPr>
        <w:pStyle w:val="ListNumber"/>
      </w:pPr>
      <w:r>
        <w:t>Normalize absorbance by OD600 to adjust for variation in cell density.</w:t>
      </w:r>
    </w:p>
    <w:p>
      <w:pPr>
        <w:pStyle w:val="ListNumber"/>
      </w:pPr>
      <w:r>
        <w:t>Repeat for at least three independent experiments.</w:t>
      </w:r>
    </w:p>
    <w:p>
      <w:pPr>
        <w:pStyle w:val="Heading3"/>
      </w:pPr>
      <w:r>
        <w:t>Quantitative PCR of Carotenoid Biosynthesis and Related Genes</w:t>
      </w:r>
    </w:p>
    <w:p>
      <w:pPr>
        <w:pStyle w:val="ListNumber"/>
      </w:pPr>
      <w:r>
        <w:t>Isolate RNA from 28-hour TSA plate cultures of wild-type, nos mutant, and complement strains.</w:t>
      </w:r>
    </w:p>
    <w:p>
      <w:pPr>
        <w:pStyle w:val="ListNumber"/>
      </w:pPr>
      <w:r>
        <w:t>Treat RNA with DNase and convert to cDNA as described above.</w:t>
      </w:r>
    </w:p>
    <w:p>
      <w:pPr>
        <w:pStyle w:val="ListNumber"/>
      </w:pPr>
      <w:r>
        <w:t>Perform qRT-PCR for crtN (carotenoid biosynthetic gene), asp23 (alkaline shock protein regulated by Sigma factor B), and purH (purine biosynthesis gene).</w:t>
      </w:r>
    </w:p>
    <w:p>
      <w:pPr>
        <w:pStyle w:val="ListNumber"/>
      </w:pPr>
      <w:r>
        <w:t>Use sigA expression for normalization and Livak 2^−ΔΔCt method to calculate relative expression.</w:t>
      </w:r>
    </w:p>
    <w:p>
      <w:pPr>
        <w:pStyle w:val="Heading3"/>
      </w:pPr>
      <w:r>
        <w:t>Fluorescent Detection of Intracellular NO/RNS Using DAF-FM Diacetate</w:t>
      </w:r>
    </w:p>
    <w:p>
      <w:pPr>
        <w:pStyle w:val="ListNumber"/>
      </w:pPr>
      <w:r>
        <w:t>Grow bacterial biofilms in 24-well plates coated with 20% human plasma at 4°C overnight.</w:t>
      </w:r>
    </w:p>
    <w:p>
      <w:pPr>
        <w:pStyle w:val="ListNumber"/>
      </w:pPr>
      <w:r>
        <w:t>Dilute overnight biofilms to OD600=0.05 in TSB supplemented with 3% NaCl and 0.5% glucose.</w:t>
      </w:r>
    </w:p>
    <w:p>
      <w:pPr>
        <w:pStyle w:val="ListNumber"/>
      </w:pPr>
      <w:r>
        <w:t>Incubate static biofilms at 37°C for 7 hours.</w:t>
      </w:r>
    </w:p>
    <w:p>
      <w:pPr>
        <w:pStyle w:val="ListNumber"/>
      </w:pPr>
      <w:r>
        <w:t>Harvest total biofilm and supernatant cells by centrifugation.</w:t>
      </w:r>
    </w:p>
    <w:p>
      <w:pPr>
        <w:pStyle w:val="ListNumber"/>
      </w:pPr>
      <w:r>
        <w:t>Resuspend cells in HBSS buffer containing 5 mM DAF-FM diacetate.</w:t>
      </w:r>
    </w:p>
    <w:p>
      <w:pPr>
        <w:pStyle w:val="ListNumber"/>
      </w:pPr>
      <w:r>
        <w:t>Incubate for 1 hour at 37°C.</w:t>
      </w:r>
    </w:p>
    <w:p>
      <w:pPr>
        <w:pStyle w:val="ListNumber"/>
      </w:pPr>
      <w:r>
        <w:t>Collect cells by centrifugation, wash once with HBSS.</w:t>
      </w:r>
    </w:p>
    <w:p>
      <w:pPr>
        <w:pStyle w:val="ListNumber"/>
      </w:pPr>
      <w:r>
        <w:t>Resuspend in HBSS alone or supplemented with:</w:t>
      </w:r>
    </w:p>
    <w:p>
      <w:pPr>
        <w:pStyle w:val="ListBullet"/>
      </w:pPr>
      <w:r>
        <w:t>100 mM DEA (NO donor control)</w:t>
      </w:r>
    </w:p>
    <w:p>
      <w:pPr>
        <w:pStyle w:val="ListBullet"/>
      </w:pPr>
      <w:r>
        <w:t>100 mM DEA/NO (NO donor)</w:t>
      </w:r>
    </w:p>
    <w:p>
      <w:pPr>
        <w:pStyle w:val="ListBullet"/>
      </w:pPr>
      <w:r>
        <w:t>150 mM cPTIO (NO scavenger; added during staining step if indicated)</w:t>
      </w:r>
    </w:p>
    <w:p>
      <w:pPr>
        <w:pStyle w:val="ListNumber"/>
      </w:pPr>
      <w:r>
        <w:t>Transfer 200 µL aliquots in triplicate to black 96-well fluorescence plates.</w:t>
      </w:r>
    </w:p>
    <w:p>
      <w:pPr>
        <w:pStyle w:val="ListNumber"/>
      </w:pPr>
      <w:r>
        <w:t>Incubate at 37°C for 30 minutes.</w:t>
      </w:r>
    </w:p>
    <w:p>
      <w:pPr>
        <w:pStyle w:val="ListNumber"/>
      </w:pPr>
      <w:r>
        <w:t>Record fluorescence intensity (EX 485±10 nm, EM 516±10 nm) and OD600 concurrently using a fluorescence plate reader.</w:t>
      </w:r>
    </w:p>
    <w:p>
      <w:pPr>
        <w:pStyle w:val="ListNumber"/>
      </w:pPr>
      <w:r>
        <w:t>Calculate relative fluorescent units normalized to OD600.</w:t>
      </w:r>
    </w:p>
    <w:p>
      <w:pPr>
        <w:pStyle w:val="ListNumber"/>
      </w:pPr>
      <w:r>
        <w:t>For experiments with TSA plate-grown cells, culture strains on TSA + 5 mg/mL Cm for 26 hours at 37°C.</w:t>
      </w:r>
    </w:p>
    <w:p>
      <w:pPr>
        <w:pStyle w:val="ListNumber"/>
      </w:pPr>
      <w:r>
        <w:t>Harvest and prepare cells as above for DAF-FM diacetate staining and fluorescence measurement.</w:t>
      </w:r>
    </w:p>
    <w:p>
      <w:pPr>
        <w:pStyle w:val="Heading3"/>
      </w:pPr>
      <w:r>
        <w:t>Murine Model of Sepsis for Virulence Assessment</w:t>
      </w:r>
    </w:p>
    <w:p>
      <w:pPr>
        <w:pStyle w:val="ListNumber"/>
      </w:pPr>
      <w:r>
        <w:t>Grow overnight cultures of UAMS-1 and KR1010 (nos mutant).</w:t>
      </w:r>
    </w:p>
    <w:p>
      <w:pPr>
        <w:pStyle w:val="ListNumber"/>
      </w:pPr>
      <w:r>
        <w:t>Wash bacteria twice in sterile PBS.</w:t>
      </w:r>
    </w:p>
    <w:p>
      <w:pPr>
        <w:pStyle w:val="ListNumber"/>
      </w:pPr>
      <w:r>
        <w:t>Dilute to 1 × 10^9 CFU/mL in PBS.</w:t>
      </w:r>
    </w:p>
    <w:p>
      <w:pPr>
        <w:pStyle w:val="ListNumber"/>
      </w:pPr>
      <w:r>
        <w:t>Randomly assign female CD-1 Swiss mice (6 weeks old) into two groups (n=9 per group).</w:t>
      </w:r>
    </w:p>
    <w:p>
      <w:pPr>
        <w:pStyle w:val="ListNumber"/>
      </w:pPr>
      <w:r>
        <w:t>Inject 100 µL bacterial suspension (1 × 10^8 CFU) into tail vein of each mouse.</w:t>
      </w:r>
    </w:p>
    <w:p>
      <w:pPr>
        <w:pStyle w:val="ListNumber"/>
      </w:pPr>
      <w:r>
        <w:t>Monitor mice throughout 7-day infection period or until moribund.</w:t>
      </w:r>
    </w:p>
    <w:p>
      <w:pPr>
        <w:pStyle w:val="ListNumber"/>
      </w:pPr>
      <w:r>
        <w:t>Record mortality, using defined humane endpoints (hunched posture, labored breathing, decreased activity, inability to eat or drink, ruffled fur).</w:t>
      </w:r>
    </w:p>
    <w:p>
      <w:pPr>
        <w:pStyle w:val="ListNumber"/>
      </w:pPr>
      <w:r>
        <w:t>Upon euthanasia or at day 7, harvest liver, kidneys, heart, and lungs.</w:t>
      </w:r>
    </w:p>
    <w:p>
      <w:pPr>
        <w:pStyle w:val="ListNumber"/>
      </w:pPr>
      <w:r>
        <w:t>Store organs at -80°C until processing.</w:t>
      </w:r>
    </w:p>
    <w:p>
      <w:pPr>
        <w:pStyle w:val="ListNumber"/>
      </w:pPr>
      <w:r>
        <w:t>Homogenize organs in sterile PBS and perform serial dilution plating for CFU enumeration.</w:t>
      </w:r>
    </w:p>
    <w:p>
      <w:pPr>
        <w:pStyle w:val="Heading3"/>
      </w:pPr>
      <w:r>
        <w:t>Data Analysis and Statistical Testing</w:t>
      </w:r>
    </w:p>
    <w:p>
      <w:pPr>
        <w:pStyle w:val="ListNumber"/>
      </w:pPr>
      <w:r>
        <w:t>Perform all in vivo statistical analyses in SAS software (version 9.2).</w:t>
      </w:r>
    </w:p>
    <w:p>
      <w:pPr>
        <w:pStyle w:val="ListNumber"/>
      </w:pPr>
      <w:r>
        <w:t>Evaluate data distribution by tests for normality (SAS proc univariate) and equality of variance (SAS procttest).</w:t>
      </w:r>
    </w:p>
    <w:p>
      <w:pPr>
        <w:pStyle w:val="ListNumber"/>
      </w:pPr>
      <w:r>
        <w:t>Assess bacterial recovery using Mann-Whitney test.</w:t>
      </w:r>
    </w:p>
    <w:p>
      <w:pPr>
        <w:pStyle w:val="ListNumber"/>
      </w:pPr>
      <w:r>
        <w:t>Analyze mortality data using Log Rank and Chi-square test with 1 degree of freedom; set significance at α=0.05.</w:t>
      </w:r>
    </w:p>
    <w:p>
      <w:pPr>
        <w:pStyle w:val="ListNumber"/>
      </w:pPr>
      <w:r>
        <w:t>Analyze in vitro data using SigmaPlot version 12.5 for normality and variance followed by parametric or non-parametric one-way ANOVA and multiple comparison tests as appropriate.</w:t>
      </w:r>
    </w:p>
    <w:p>
      <w:pPr>
        <w:pStyle w:val="ListNumber"/>
      </w:pPr>
      <w:r>
        <w:t>Mark significant differences according to p-values with appropriate annotation.</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Temperature:</w:t>
      </w:r>
    </w:p>
    <w:p>
      <w:pPr>
        <w:pStyle w:val="ListBullet"/>
      </w:pPr>
      <w:r>
        <w:t>Incubation: 37°C</w:t>
      </w:r>
    </w:p>
    <w:p>
      <w:pPr>
        <w:pStyle w:val="ListBullet"/>
      </w:pPr>
      <w:r>
        <w:t>Heat step for pigment extraction: 60°C for 5 min</w:t>
      </w:r>
    </w:p>
    <w:p>
      <w:pPr>
        <w:pStyle w:val="ListBullet"/>
      </w:pPr>
      <w:r>
        <w:t>Plasmid integration step: 43°C (non-permissive temperature)</w:t>
      </w:r>
    </w:p>
    <w:p>
      <w:pPr>
        <w:pStyle w:val="ListBullet"/>
      </w:pPr>
      <w:r>
        <w:t>Times:</w:t>
      </w:r>
    </w:p>
    <w:p>
      <w:pPr>
        <w:pStyle w:val="ListBullet"/>
      </w:pPr>
      <w:r>
        <w:t>TSA plate streak incubation: 24 h</w:t>
      </w:r>
    </w:p>
    <w:p>
      <w:pPr>
        <w:pStyle w:val="ListBullet"/>
      </w:pPr>
      <w:r>
        <w:t>Overnight bacterial cultures: ~16 h (implied)</w:t>
      </w:r>
    </w:p>
    <w:p>
      <w:pPr>
        <w:pStyle w:val="ListBullet"/>
      </w:pPr>
      <w:r>
        <w:t>Low oxygen culture: up to 12 h (sampling at 2, 6, 12 h)</w:t>
      </w:r>
    </w:p>
    <w:p>
      <w:pPr>
        <w:pStyle w:val="ListBullet"/>
      </w:pPr>
      <w:r>
        <w:t>PCR cycles: 30 cycles</w:t>
      </w:r>
    </w:p>
    <w:p>
      <w:pPr>
        <w:pStyle w:val="ListBullet"/>
      </w:pPr>
      <w:r>
        <w:t>RNA treatment with DNase: as per kit, unspecified</w:t>
      </w:r>
    </w:p>
    <w:p>
      <w:pPr>
        <w:pStyle w:val="ListBullet"/>
      </w:pPr>
      <w:r>
        <w:t>DAF-FM staining: 1 h incubation with dye, plus 30 min fluorescence reading</w:t>
      </w:r>
    </w:p>
    <w:p>
      <w:pPr>
        <w:pStyle w:val="ListBullet"/>
      </w:pPr>
      <w:r>
        <w:t>Hydrogen peroxide treatment: 2 h incubation</w:t>
      </w:r>
    </w:p>
    <w:p>
      <w:pPr>
        <w:pStyle w:val="ListBullet"/>
      </w:pPr>
      <w:r>
        <w:t>Growth in CDM: 24 h, static</w:t>
      </w:r>
    </w:p>
    <w:p>
      <w:pPr>
        <w:pStyle w:val="ListBullet"/>
      </w:pPr>
      <w:r>
        <w:t>Murine infection monitoring: up to 7 days</w:t>
      </w:r>
    </w:p>
    <w:p>
      <w:pPr>
        <w:pStyle w:val="ListBullet"/>
      </w:pPr>
      <w:r>
        <w:t>Media composition:</w:t>
      </w:r>
    </w:p>
    <w:p>
      <w:pPr>
        <w:pStyle w:val="ListBullet"/>
      </w:pPr>
      <w:r>
        <w:t>TSA and TSB with volumes and ratios:</w:t>
      </w:r>
    </w:p>
    <w:p>
      <w:pPr>
        <w:pStyle w:val="ListBullet"/>
      </w:pPr>
      <w:r>
        <w:t>Aerobic: 1:10 volume-to-flask ratio, 250 RPM</w:t>
      </w:r>
    </w:p>
    <w:p>
      <w:pPr>
        <w:pStyle w:val="ListBullet"/>
      </w:pPr>
      <w:r>
        <w:t>Low oxygen: 7:10 volume-to-flask ratio, 0 RPM</w:t>
      </w:r>
    </w:p>
    <w:p>
      <w:pPr>
        <w:pStyle w:val="ListBullet"/>
      </w:pPr>
      <w:r>
        <w:t>CDM: composition per reference [33] (MISSING exact composition)</w:t>
      </w:r>
    </w:p>
    <w:p>
      <w:pPr>
        <w:pStyle w:val="ListBullet"/>
      </w:pPr>
      <w:r>
        <w:t>Antibiotic concentrations:</w:t>
      </w:r>
    </w:p>
    <w:p>
      <w:pPr>
        <w:pStyle w:val="ListBullet"/>
      </w:pPr>
      <w:r>
        <w:t>Chloramphenicol: 5 or 10 mg/mL (S. aureus), 5 mg/mL specifically for selection on plates/broth</w:t>
      </w:r>
    </w:p>
    <w:p>
      <w:pPr>
        <w:pStyle w:val="ListBullet"/>
      </w:pPr>
      <w:r>
        <w:t>Erythromycin: 2 or 10 mg/mL (S. aureus)</w:t>
      </w:r>
    </w:p>
    <w:p>
      <w:pPr>
        <w:pStyle w:val="ListBullet"/>
      </w:pPr>
      <w:r>
        <w:t>Ampicillin: 50 mg/mL (E. coli)</w:t>
      </w:r>
    </w:p>
    <w:p>
      <w:pPr>
        <w:pStyle w:val="ListBullet"/>
      </w:pPr>
      <w:r>
        <w:t>Kanamycin: 50 mg/mL (E. coli)</w:t>
      </w:r>
    </w:p>
    <w:p>
      <w:pPr>
        <w:pStyle w:val="ListBullet"/>
      </w:pPr>
      <w:r>
        <w:t>Centrifugation:</w:t>
      </w:r>
    </w:p>
    <w:p>
      <w:pPr>
        <w:pStyle w:val="ListBullet"/>
      </w:pPr>
      <w:r>
        <w:t>13,000 RPM for 2–3 min (pellet harvest and pigment extraction)</w:t>
      </w:r>
    </w:p>
    <w:p>
      <w:pPr>
        <w:pStyle w:val="ListBullet"/>
      </w:pPr>
      <w:r>
        <w:t>Fluorescence:</w:t>
      </w:r>
    </w:p>
    <w:p>
      <w:pPr>
        <w:pStyle w:val="ListBullet"/>
      </w:pPr>
      <w:r>
        <w:t>DAF-FM excitation/emission: 485±10 nm / 516±10 nm</w:t>
      </w:r>
    </w:p>
    <w:p>
      <w:pPr>
        <w:pStyle w:val="ListBullet"/>
      </w:pPr>
      <w:r>
        <w:t>Volumes:</w:t>
      </w:r>
    </w:p>
    <w:p>
      <w:pPr>
        <w:pStyle w:val="ListBullet"/>
      </w:pPr>
      <w:r>
        <w:t>RNA conversion: 0.75 µg RNA per cDNA reaction</w:t>
      </w:r>
    </w:p>
    <w:p>
      <w:pPr>
        <w:pStyle w:val="ListBullet"/>
      </w:pPr>
      <w:r>
        <w:t>DAF-FM staining: 5 mM final concentration, 1 mL cell suspensions typically</w:t>
      </w:r>
    </w:p>
    <w:p>
      <w:pPr>
        <w:pStyle w:val="ListBullet"/>
      </w:pPr>
      <w:r>
        <w:t>Hydrogen peroxide assay: 250 mM final concentration H2O2</w:t>
      </w:r>
    </w:p>
    <w:p>
      <w:pPr>
        <w:pStyle w:val="ListBullet"/>
      </w:pPr>
      <w:r>
        <w:t>Pigment extraction: 420 µL methanol per sample</w:t>
      </w:r>
    </w:p>
    <w:p>
      <w:pPr>
        <w:pStyle w:val="ListBullet"/>
      </w:pPr>
      <w:r>
        <w:t>Mouse infection:</w:t>
      </w:r>
    </w:p>
    <w:p>
      <w:pPr>
        <w:pStyle w:val="ListBullet"/>
      </w:pPr>
      <w:r>
        <w:t>Dose: 1 × 10^8 CFU in 100 µL PBS per mouse intravenously</w:t>
      </w:r>
    </w:p>
    <w:p>
      <w:pPr>
        <w:pStyle w:val="ListBullet"/>
      </w:pPr>
      <w:r>
        <w:t>Number of mice per group: 9</w:t>
      </w:r>
    </w:p>
    <w:p>
      <w:pPr>
        <w:pStyle w:val="Heading2"/>
      </w:pPr>
      <w:r>
        <w:t>Potential Missing Parameters (compare to source)</w:t>
      </w:r>
    </w:p>
    <w:p>
      <w:pPr>
        <w:pStyle w:val="ListBullet"/>
      </w:pPr>
      <w:r>
        <w:t>Exact composition of Chemically Defined Media (CDM) is referenced but not detailed (source ref [33]); protocol notes composition per reference but does not detail it.</w:t>
      </w:r>
    </w:p>
    <w:p>
      <w:pPr>
        <w:pStyle w:val="ListBullet"/>
      </w:pPr>
      <w:r>
        <w:t>Centrifugation temperature for pellets (e.g., pigment extraction centrifugation) is not explicitly stated [source states 13,000 RPM but no temperature; probably room temp].</w:t>
      </w:r>
    </w:p>
    <w:p>
      <w:pPr>
        <w:pStyle w:val="ListBullet"/>
      </w:pPr>
      <w:r>
        <w:t>Details for RNA isolation buffer volumes and centrifugation speed/time are summarized but somewhat vague—no specific centrifuge temp given.</w:t>
      </w:r>
    </w:p>
    <w:p>
      <w:pPr>
        <w:pStyle w:val="ListBullet"/>
      </w:pPr>
      <w:r>
        <w:t>Details on phage transduction conditions and electroporation parameters such as voltage, pulse length, etc., are not provided.</w:t>
      </w:r>
    </w:p>
    <w:p>
      <w:pPr>
        <w:pStyle w:val="ListBullet"/>
      </w:pPr>
      <w:r>
        <w:t>Details on human plasma source and concentration used to coat 24-well plates for biofilm formation for NO detection assay are missing.</w:t>
      </w:r>
    </w:p>
    <w:p>
      <w:pPr>
        <w:pStyle w:val="ListBullet"/>
      </w:pPr>
      <w:r>
        <w:t>Time and specific rpm for selected centrifugation steps for RNA isolation and washing in fluorescence assays are not detailed explicitly.</w:t>
      </w:r>
    </w:p>
    <w:p>
      <w:pPr>
        <w:pStyle w:val="ListBullet"/>
      </w:pPr>
      <w:r>
        <w:t>Details of the composition of buffers used in fluorescence assays, e.g., HBSS buffer composition, are not given.</w:t>
      </w:r>
    </w:p>
    <w:p>
      <w:pPr>
        <w:pStyle w:val="ListBullet"/>
      </w:pPr>
      <w:r>
        <w:t>Exact volume of cultures grown during hydrogen peroxide treatment (starter volume prior to challenge) is unspecified beyond generalities.</w:t>
      </w:r>
    </w:p>
    <w:p>
      <w:pPr>
        <w:pStyle w:val="ListBullet"/>
      </w:pPr>
      <w:r>
        <w:t>The precise shaking speed during hydrogen peroxide challenge is implied (250 RPM) but not explicitly specified in the protocol steps.</w:t>
      </w:r>
    </w:p>
    <w:p>
      <w:pPr>
        <w:pStyle w:val="ListBullet"/>
      </w:pPr>
      <w:r>
        <w:t>Methods steps for Southern blotting used to confirm mutants are mentioned in the source but omitted in the protocol.</w:t>
      </w:r>
    </w:p>
    <w:p>
      <w:pPr>
        <w:pStyle w:val="ListBullet"/>
      </w:pPr>
      <w:r>
        <w:t>No mention of controls for qRT-PCR aside from housekeeping gene (sigA), such as negative controls or melt curve analysis details.</w:t>
      </w:r>
    </w:p>
    <w:p>
      <w:pPr>
        <w:pStyle w:val="ListBullet"/>
      </w:pPr>
      <w:r>
        <w:t>Details on the statistical tests used in each specific experiment are not itemized in the procedure section (though references to software and general test types are given).</w:t>
      </w:r>
    </w:p>
    <w:p>
      <w:pPr>
        <w:pStyle w:val="ListBullet"/>
      </w:pPr>
      <w:r>
        <w:t>No description of ambient gas conditions in incubators during "low oxygen" growth (e.g., whether anaerobic chamber or standard incubator with limited agitation).</w:t>
      </w:r>
    </w:p>
    <w:p>
      <w:pPr>
        <w:pStyle w:val="ListBullet"/>
      </w:pPr>
      <w:r>
        <w:t>The concentration and preparation of cPTIO during NO scavenging experiments mention final concentration (150 mM) but not stock concentration or solvent.</w:t>
      </w:r>
    </w:p>
    <w:p>
      <w:pPr>
        <w:pStyle w:val="Heading2"/>
      </w:pPr>
      <w:r>
        <w:t>Possible Unsupported Claims</w:t>
      </w:r>
    </w:p>
    <w:p>
      <w:pPr>
        <w:pStyle w:val="ListBullet"/>
      </w:pPr>
      <w:r>
        <w:t>The protocol states, "Hydrogen peroxide sensitivity was performed at 250 mM final concentration," matching the source; no unsupported claims detected there.</w:t>
      </w:r>
    </w:p>
    <w:p>
      <w:pPr>
        <w:pStyle w:val="ListBullet"/>
      </w:pPr>
      <w:r>
        <w:t>The assertion that the nos::erm mutant causes a "partial polar effect on pdt expression" is based on PCR data in the source; the protocol mentions expression assessment but does not explicitly highlight polar effects.</w:t>
      </w:r>
    </w:p>
    <w:p>
      <w:pPr>
        <w:pStyle w:val="ListBullet"/>
      </w:pPr>
      <w:r>
        <w:t>The protocol mentions that the nos mutant has increased carotenoid pigmentation, with pigment extraction and absorbance measurement per source; no unsupported claim detected.</w:t>
      </w:r>
    </w:p>
    <w:p>
      <w:pPr>
        <w:pStyle w:val="ListBullet"/>
      </w:pPr>
      <w:r>
        <w:t>The protocol uses DAF-FM diacetate fluorescence as an indicator of intracellular NO/RNS consistent with source experiments; no unsupported claims.</w:t>
      </w:r>
    </w:p>
    <w:p>
      <w:pPr>
        <w:pStyle w:val="ListBullet"/>
      </w:pPr>
      <w:r>
        <w:t>The murine infection model procedure and outcomes (dose, monitoring, organs) align with source methods; no unsupported claims.</w:t>
      </w:r>
    </w:p>
    <w:p>
      <w:pPr>
        <w:pStyle w:val="ListBullet"/>
      </w:pPr>
      <w:r>
        <w:t>The protocol refers to the operon structure and co-transcription confirmed by PCR in the source; all supported.</w:t>
      </w:r>
    </w:p>
    <w:p>
      <w:pPr>
        <w:pStyle w:val="ListBullet"/>
      </w:pPr>
      <w:r>
        <w:t>Overall, no explicit unsupported claims detected.</w:t>
      </w:r>
    </w:p>
    <w:p>
      <w:pPr>
        <w:pStyle w:val="Heading2"/>
      </w:pPr>
      <w:r>
        <w:t>Step Order / Omission Risks</w:t>
      </w:r>
    </w:p>
    <w:p>
      <w:pPr>
        <w:pStyle w:val="ListBullet"/>
      </w:pPr>
      <w:r>
        <w:t>Southern blotting for confirming mutants is mentioned in the source but omitted in the protocol; this omission could risk inadequate verification of strain construction.</w:t>
      </w:r>
    </w:p>
    <w:p>
      <w:pPr>
        <w:pStyle w:val="ListBullet"/>
      </w:pPr>
      <w:r>
        <w:t>The source mentions specific heat-shock steps during plasmid construction and specific incubation times and passages for mutant allele acquisition; these are not fully detailed in the protocol and may lead to risks in reproducibility.</w:t>
      </w:r>
    </w:p>
    <w:p>
      <w:pPr>
        <w:pStyle w:val="ListBullet"/>
      </w:pPr>
      <w:r>
        <w:t>The protocol lacks mention of negative controls for PCR and qRT-PCR (e.g., no-RT and no-template controls) explicitly in the stepwise procedure.</w:t>
      </w:r>
    </w:p>
    <w:p>
      <w:pPr>
        <w:pStyle w:val="ListBullet"/>
      </w:pPr>
      <w:r>
        <w:t>The protocol omits details of washing steps and volumes in fluorescence staining assays which might affect cell recovery and signal intensity.</w:t>
      </w:r>
    </w:p>
    <w:p>
      <w:pPr>
        <w:pStyle w:val="ListBullet"/>
      </w:pPr>
      <w:r>
        <w:t>The protocol lacks explicit enumeration of sample replicates (biological vs technical) in some steps that are described in the source.</w:t>
      </w:r>
    </w:p>
    <w:p>
      <w:pPr>
        <w:pStyle w:val="ListBullet"/>
      </w:pPr>
      <w:r>
        <w:t>The source mentions co-culturing and biofilm coating with 20% human plasma; in the protocol this is only briefly mentioned, potentially leading to variability.</w:t>
      </w:r>
    </w:p>
    <w:p>
      <w:pPr>
        <w:pStyle w:val="ListBullet"/>
      </w:pPr>
      <w:r>
        <w:t>The order of harvesting cells and sample processing for DAF-FM stain differs between low-oxygen planktonic culture and TSA plate-grown cells, but the protocol does not clearly distinguish this difference in steps.</w:t>
      </w:r>
    </w:p>
    <w:p>
      <w:pPr>
        <w:pStyle w:val="ListBullet"/>
      </w:pPr>
      <w:r>
        <w:t>Method details for mouse monitoring criteria and euthanasia are summarized but specific humane endpoints, frequency of observation, and criteria not fully enumerated.</w:t>
      </w:r>
    </w:p>
    <w:p>
      <w:pPr>
        <w:pStyle w:val="ListBullet"/>
      </w:pPr>
      <w:r>
        <w:t>The protocol does not explicitly mention pipetting or measuring OD600 prior to DAF-FM staining for normalization purposes in all relevant steps.</w:t>
      </w:r>
    </w:p>
    <w:p>
      <w:pPr>
        <w:pStyle w:val="ListBullet"/>
      </w:pPr>
      <w:r>
        <w:t>The exact handling of hydrogen peroxide treatment (e.g., whether addition was rapid or slow) is not described.</w:t>
      </w:r>
    </w:p>
    <w:p>
      <w:pPr>
        <w:pStyle w:val="ListBullet"/>
      </w:pPr>
      <w:r>
        <w:t>In general, the protocol is comprehensive but loses some fine details that could pose operational risks.</w:t>
      </w:r>
    </w:p>
    <w:p>
      <w:pPr>
        <w:pStyle w:val="Heading1"/>
      </w:pPr>
      <w:r>
        <w:t>Summary</w:t>
      </w:r>
    </w:p>
    <w:p>
      <w:r>
        <w:t>The generated protocol includes the majority of critical numeric parameters consistent with the source text but omits some detailed parameters related to media composition, centrifugation conditions, and molecular biology verification steps like Southern blotting. No clear unsupported claims are present. Minor omissions and lack of detail in confirmatory steps and sample handling might pose risks to experimental reproducibility. These should be flagged but do not constitute definitive protocol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