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0F1B2D"/>
          <w:sz w:val="84"/>
          <w:szCs w:val="84"/>
        </w:rPr>
        <w:t xml:space="preserve">ChaskiRutas</w:t>
      </w:r>
    </w:p>
    <w:p>
      <w:pPr>
        <w:spacing w:after="200"/>
        <w:jc w:val="center"/>
      </w:pPr>
      <w:r>
        <w:rPr>
          <w:i/>
          <w:iCs/>
          <w:color w:val="0FB5A5"/>
          <w:sz w:val="26"/>
          <w:szCs w:val="26"/>
        </w:rPr>
        <w:t xml:space="preserve">Formalización Digital del Transporte Colectivo y Taxi en el Perú</w:t>
      </w:r>
    </w:p>
    <w:p>
      <w:pPr>
        <w:spacing w:after="800"/>
        <w:jc w:val="center"/>
      </w:pPr>
      <w:r>
        <w:rPr>
          <w:b/>
          <w:bCs/>
          <w:sz w:val="32"/>
          <w:szCs w:val="32"/>
        </w:rPr>
        <w:t xml:space="preserve">Diseño de Base de Datos – Primera Etapa</w:t>
      </w:r>
    </w:p>
    <w:p>
      <w:pPr>
        <w:jc w:val="center"/>
      </w:pPr>
      <w:r>
        <w:rPr>
          <w:sz w:val="24"/>
          <w:szCs w:val="24"/>
        </w:rPr>
        <w:t xml:space="preserve">Universidad Nacional Mayor de San Marcos</w:t>
      </w:r>
    </w:p>
    <w:p>
      <w:pPr>
        <w:spacing w:after="600"/>
        <w:jc w:val="center"/>
      </w:pPr>
      <w:r>
        <w:rPr>
          <w:sz w:val="24"/>
          <w:szCs w:val="24"/>
        </w:rPr>
        <w:t xml:space="preserve">Facultad de Ingeniería de Sistemas e Informática</w:t>
      </w:r>
    </w:p>
    <w:p>
      <w:pPr>
        <w:spacing w:after="200"/>
        <w:jc w:val="center"/>
      </w:pPr>
      <w:r>
        <w:rPr>
          <w:b/>
          <w:bCs/>
          <w:sz w:val="22"/>
          <w:szCs w:val="22"/>
        </w:rPr>
        <w:t xml:space="preserve">Curso: Innovación y Emprendimiento</w:t>
      </w:r>
    </w:p>
    <w:p>
      <w:pPr>
        <w:spacing w:after="600"/>
        <w:jc w:val="center"/>
      </w:pPr>
      <w:r>
        <w:rPr>
          <w:b/>
          <w:bCs/>
          <w:sz w:val="22"/>
          <w:szCs w:val="22"/>
        </w:rPr>
        <w:t xml:space="preserve">Grupo 10</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tblGrid>
      <w:tr>
        <w:tc>
          <w:tcPr>
            <w:tcW w:type="dxa" w:w="44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20"/>
                <w:szCs w:val="20"/>
              </w:rPr>
              <w:t xml:space="preserve">Integrante</w:t>
            </w:r>
          </w:p>
        </w:tc>
        <w:tc>
          <w:tcPr>
            <w:tcW w:type="dxa" w:w="28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pPr>
              <w:jc w:val="center"/>
            </w:pPr>
            <w:r>
              <w:rPr>
                <w:b/>
                <w:bCs/>
                <w:color w:val="FFFFFF"/>
                <w:sz w:val="20"/>
                <w:szCs w:val="20"/>
              </w:rPr>
              <w:t xml:space="preserve">Código</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Martin Alonso Quiñones Ruiz</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sz w:val="20"/>
                <w:szCs w:val="20"/>
              </w:rPr>
              <w:t xml:space="preserve">22200187</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Jorge Sebastián Del Solar Rojas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sz w:val="20"/>
                <w:szCs w:val="20"/>
              </w:rPr>
              <w:t xml:space="preserve">21200158</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Richard Josue Pillaca Machaca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sz w:val="20"/>
                <w:szCs w:val="20"/>
              </w:rPr>
              <w:t xml:space="preserve">22200034</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Manuel Rodrigo Vizcardo Portilla</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sz w:val="20"/>
                <w:szCs w:val="20"/>
              </w:rPr>
              <w:t xml:space="preserve">21200141</w:t>
            </w:r>
          </w:p>
        </w:tc>
      </w:tr>
      <w:tr>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20"/>
                <w:szCs w:val="20"/>
              </w:rPr>
              <w:t xml:space="preserve">Alvaro Poma Alegre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jc w:val="center"/>
            </w:pPr>
            <w:r>
              <w:rPr>
                <w:sz w:val="20"/>
                <w:szCs w:val="20"/>
              </w:rPr>
              <w:t xml:space="preserve">22200035</w:t>
            </w:r>
          </w:p>
        </w:tc>
      </w:tr>
    </w:tbl>
    <w:p>
      <w:pPr>
        <w:spacing w:before="1000"/>
        <w:jc w:val="center"/>
      </w:pPr>
      <w:r>
        <w:rPr>
          <w:i/>
          <w:iCs/>
          <w:sz w:val="22"/>
          <w:szCs w:val="22"/>
        </w:rPr>
        <w:t xml:space="preserve">Lima – Mayo 2026</w:t>
      </w:r>
    </w:p>
    <w:p>
      <w:r>
        <w:br w:type="page"/>
      </w:r>
    </w:p>
    <w:p>
      <w:pPr>
        <w:pStyle w:val="Heading1"/>
        <w:spacing w:after="200" w:before="360"/>
      </w:pPr>
      <w:r>
        <w:t xml:space="preserve">1. Introducción</w:t>
      </w:r>
    </w:p>
    <w:p>
      <w:pPr>
        <w:spacing w:after="120"/>
      </w:pPr>
      <w:r>
        <w:t xml:space="preserve">ChaskiRutas es un proyecto de innovación cuyo propósito es formalizar digitalmente el transporte colectivo y de taxi en el Perú, ofreciendo a pasajeros una experiencia segura y predecible, a conductores una ruta de formalización asistida, y a las entidades de gobierno (ATU, MTC, DRTC y municipalidades) trazabilidad sobre el parque automotor en operación.</w:t>
      </w:r>
    </w:p>
    <w:p>
      <w:pPr>
        <w:spacing w:after="120"/>
      </w:pPr>
      <w:r>
        <w:t xml:space="preserve">El presente documento corresponde al diseño de base de datos de la primera etapa del proyecto. Su objetivo es modelar los datos necesarios para que la plataforma soporte los flujos identificados en los Módulos 1 y 2 del Business Model Canvas: registro y verificación de usuarios, contratación de viajes con reserva por asiento, ejecución y trazabilidad de viajes, gestión de la flota afiliada, control de documentos, liquidaciones de ingresos y gastos del conductor, atención de incidentes, y reportes B2G.</w:t>
      </w:r>
    </w:p>
    <w:p>
      <w:pPr>
        <w:pStyle w:val="Heading2"/>
        <w:spacing w:after="160" w:before="280"/>
      </w:pPr>
      <w:r>
        <w:t xml:space="preserve">1.1. Contexto legal incorporado al modelo</w:t>
      </w:r>
    </w:p>
    <w:p>
      <w:pPr>
        <w:spacing w:after="120"/>
      </w:pPr>
      <w:r>
        <w:t xml:space="preserve">El servicio de auto colectivo se encuentra prohibido en Lima Metropolitana y la Provincia Constitucional del Callao. Esta restricción no es un detalle operativo: condiciona el modelo de datos y debe estar reforzada por la base de datos para impedir que la plataforma habilite, por error u omisión, una operación ilegal.</w:t>
      </w:r>
    </w:p>
    <w:p>
      <w:pPr>
        <w:spacing w:after="120"/>
      </w:pPr>
      <w:r>
        <w:t xml:space="preserve">Por ello, ChaskiRutas opera bajo dos modalidades formales reconocidas por la normativa peruana, ambas incorporadas como tipos enumerados en el modelo de datos:</w:t>
      </w:r>
    </w:p>
    <w:p>
      <w:pPr>
        <w:pStyle w:val="ListParagraph"/>
        <w:numPr>
          <w:ilvl w:val="0"/>
          <w:numId w:val="2"/>
        </w:numPr>
        <w:spacing w:after="80"/>
      </w:pPr>
      <w:r>
        <w:rPr>
          <w:b/>
          <w:bCs/>
        </w:rPr>
        <w:t xml:space="preserve">Lima y Callao: </w:t>
      </w:r>
      <w:r>
        <w:t xml:space="preserve">Servicio de Taxi Ejecutivo o Taxi Remisse, autorizado por la ATU. ChaskiRutas opera como Empresa de Transportes y los conductores se afilian con sus unidades; la Tarjeta Única de Circulación (TUC) se emite a nombre de la empresa.</w:t>
      </w:r>
    </w:p>
    <w:p>
      <w:pPr>
        <w:pStyle w:val="ListParagraph"/>
        <w:numPr>
          <w:ilvl w:val="0"/>
          <w:numId w:val="2"/>
        </w:numPr>
        <w:spacing w:after="80"/>
      </w:pPr>
      <w:r>
        <w:rPr>
          <w:b/>
          <w:bCs/>
        </w:rPr>
        <w:t xml:space="preserve">Provincias: </w:t>
      </w:r>
      <w:r>
        <w:t xml:space="preserve">Servicio de Auto Colectivo (M1 o M2) sobre rutas concesionadas por la DRTC o la Municipalidad Provincial correspondiente. La empresa solicita la concesión de cada ruta y afilia las unidades autorizadas a operarla.</w:t>
      </w:r>
    </w:p>
    <w:p>
      <w:pPr>
        <w:spacing w:after="120"/>
      </w:pPr>
      <w:r>
        <w:t xml:space="preserve">La base de datos refuerza esta restricción mediante un trigger (regla activa) que bloquea cualquier intento de registrar una ruta de modalidad colectivo en jurisdicción de la ATU (Lima/Callao). Esta regla se documenta en la Sección 5.</w:t>
      </w:r>
    </w:p>
    <w:p>
      <w:pPr>
        <w:pStyle w:val="Heading2"/>
        <w:spacing w:after="160" w:before="280"/>
      </w:pPr>
      <w:r>
        <w:t xml:space="preserve">1.2. Alcance de esta etapa</w:t>
      </w:r>
    </w:p>
    <w:p>
      <w:pPr>
        <w:spacing w:after="120"/>
      </w:pPr>
      <w:r>
        <w:t xml:space="preserve">El esquema cubre los nueve dominios funcionales identificados en el prototipo: identidad y autenticación, ubicaciones y jurisdicciones, empresa y afiliaciones, vehículos y documentos, rutas y concesiones, viajes y reservas, pagos y facturación electrónica, finanzas del conductor (ingresos, gastos y liquidaciones), incidentes y red de talleres, reportes B2G y auditoría.</w:t>
      </w:r>
    </w:p>
    <w:p>
      <w:pPr>
        <w:spacing w:after="120"/>
      </w:pPr>
      <w:r>
        <w:t xml:space="preserve">Quedan fuera del alcance de esta primera etapa: motor de tarifas dinámicas, módulo de marketing y promociones, integración con canales de pago en agentes físicos, y el modelo analítico (data warehouse) para Big Data; estos serán abordados en etapas posteriores.</w:t>
      </w:r>
    </w:p>
    <w:p>
      <w:r>
        <w:br w:type="page"/>
      </w:r>
    </w:p>
    <w:p>
      <w:pPr>
        <w:pStyle w:val="Heading1"/>
        <w:spacing w:after="200" w:before="360"/>
      </w:pPr>
      <w:r>
        <w:t xml:space="preserve">2. Requerimientos de Información</w:t>
      </w:r>
    </w:p>
    <w:p>
      <w:pPr>
        <w:spacing w:after="120"/>
      </w:pPr>
      <w:r>
        <w:t xml:space="preserve">Los requerimientos de información se derivan de las funcionalidades del prototipo y de los atributos de servicio definidos en el Módulo 2 del BMC.</w:t>
      </w:r>
    </w:p>
    <w:p>
      <w:pPr>
        <w:pStyle w:val="Heading2"/>
        <w:spacing w:after="160" w:before="280"/>
      </w:pPr>
      <w:r>
        <w:t xml:space="preserve">2.1. Requerimientos del pasajero</w:t>
      </w:r>
    </w:p>
    <w:p>
      <w:pPr>
        <w:pStyle w:val="ListParagraph"/>
        <w:numPr>
          <w:ilvl w:val="0"/>
          <w:numId w:val="2"/>
        </w:numPr>
        <w:spacing w:after="80"/>
      </w:pPr>
      <w:r>
        <w:t xml:space="preserve">Registrarse y verificar su identidad mediante código OTP enviado por SMS.</w:t>
      </w:r>
    </w:p>
    <w:p>
      <w:pPr>
        <w:pStyle w:val="ListParagraph"/>
        <w:numPr>
          <w:ilvl w:val="0"/>
          <w:numId w:val="2"/>
        </w:numPr>
        <w:spacing w:after="80"/>
      </w:pPr>
      <w:r>
        <w:t xml:space="preserve">Buscar rutas disponibles entre origen y destino, con horarios y tarifas transparentes.</w:t>
      </w:r>
    </w:p>
    <w:p>
      <w:pPr>
        <w:pStyle w:val="ListParagraph"/>
        <w:numPr>
          <w:ilvl w:val="0"/>
          <w:numId w:val="2"/>
        </w:numPr>
        <w:spacing w:after="80"/>
      </w:pPr>
      <w:r>
        <w:t xml:space="preserve">Reservar un asiento específico de la unidad (algoritmo de cupos).</w:t>
      </w:r>
    </w:p>
    <w:p>
      <w:pPr>
        <w:pStyle w:val="ListParagraph"/>
        <w:numPr>
          <w:ilvl w:val="0"/>
          <w:numId w:val="2"/>
        </w:numPr>
        <w:spacing w:after="80"/>
      </w:pPr>
      <w:r>
        <w:t xml:space="preserve">Pagar el viaje con tarjeta, billetera digital o efectivo y recibir boleta electrónica con código SUNAT.</w:t>
      </w:r>
    </w:p>
    <w:p>
      <w:pPr>
        <w:pStyle w:val="ListParagraph"/>
        <w:numPr>
          <w:ilvl w:val="0"/>
          <w:numId w:val="2"/>
        </w:numPr>
        <w:spacing w:after="80"/>
      </w:pPr>
      <w:r>
        <w:t xml:space="preserve">Visualizar la ubicación del vehículo en tiempo real durante el trayecto.</w:t>
      </w:r>
    </w:p>
    <w:p>
      <w:pPr>
        <w:pStyle w:val="ListParagraph"/>
        <w:numPr>
          <w:ilvl w:val="0"/>
          <w:numId w:val="2"/>
        </w:numPr>
        <w:spacing w:after="80"/>
      </w:pPr>
      <w:r>
        <w:t xml:space="preserve">Activar el botón de emergencia (SOS), que debe registrar el incidente y notificar al contacto de confianza y a la Central.</w:t>
      </w:r>
    </w:p>
    <w:p>
      <w:pPr>
        <w:pStyle w:val="ListParagraph"/>
        <w:numPr>
          <w:ilvl w:val="0"/>
          <w:numId w:val="2"/>
        </w:numPr>
        <w:spacing w:after="80"/>
      </w:pPr>
      <w:r>
        <w:t xml:space="preserve">Calificar al conductor al final del viaje (rating cruzado).</w:t>
      </w:r>
    </w:p>
    <w:p>
      <w:pPr>
        <w:pStyle w:val="ListParagraph"/>
        <w:numPr>
          <w:ilvl w:val="0"/>
          <w:numId w:val="2"/>
        </w:numPr>
        <w:spacing w:after="80"/>
      </w:pPr>
      <w:r>
        <w:t xml:space="preserve">Consultar el historial de viajes y descargar boletas anteriores.</w:t>
      </w:r>
    </w:p>
    <w:p>
      <w:pPr>
        <w:pStyle w:val="Heading2"/>
        <w:spacing w:after="160" w:before="280"/>
      </w:pPr>
      <w:r>
        <w:t xml:space="preserve">2.2. Requerimientos del conductor</w:t>
      </w:r>
    </w:p>
    <w:p>
      <w:pPr>
        <w:pStyle w:val="ListParagraph"/>
        <w:numPr>
          <w:ilvl w:val="0"/>
          <w:numId w:val="2"/>
        </w:numPr>
        <w:spacing w:after="80"/>
      </w:pPr>
      <w:r>
        <w:t xml:space="preserve">Registrarse, cargar documentos personales (DNI, licencia, antecedentes) y de la unidad (SOAT, revisión técnica, tarjeta de propiedad) y firmar el contrato de afiliación a la empresa.</w:t>
      </w:r>
    </w:p>
    <w:p>
      <w:pPr>
        <w:pStyle w:val="ListParagraph"/>
        <w:numPr>
          <w:ilvl w:val="0"/>
          <w:numId w:val="2"/>
        </w:numPr>
        <w:spacing w:after="80"/>
      </w:pPr>
      <w:r>
        <w:t xml:space="preserve">Avanzar de manera asistida por la ruta de formalización (6 pasos hasta obtener la Tarjeta Única de Circulación a nombre de la empresa).</w:t>
      </w:r>
    </w:p>
    <w:p>
      <w:pPr>
        <w:pStyle w:val="ListParagraph"/>
        <w:numPr>
          <w:ilvl w:val="0"/>
          <w:numId w:val="2"/>
        </w:numPr>
        <w:spacing w:after="80"/>
      </w:pPr>
      <w:r>
        <w:t xml:space="preserve">Ver el panel del día con turnos, demanda esperada por ruta e ingresos proyectados.</w:t>
      </w:r>
    </w:p>
    <w:p>
      <w:pPr>
        <w:pStyle w:val="ListParagraph"/>
        <w:numPr>
          <w:ilvl w:val="0"/>
          <w:numId w:val="2"/>
        </w:numPr>
        <w:spacing w:after="80"/>
      </w:pPr>
      <w:r>
        <w:t xml:space="preserve">Ejecutar viajes verificando que la lista de pasajeros coincide con las reservas pagadas.</w:t>
      </w:r>
    </w:p>
    <w:p>
      <w:pPr>
        <w:pStyle w:val="ListParagraph"/>
        <w:numPr>
          <w:ilvl w:val="0"/>
          <w:numId w:val="2"/>
        </w:numPr>
        <w:spacing w:after="80"/>
      </w:pPr>
      <w:r>
        <w:t xml:space="preserve">Registrar manualmente gastos de operación (combustible, peajes, mantenimiento) y consultar la liquidación de la semana.</w:t>
      </w:r>
    </w:p>
    <w:p>
      <w:pPr>
        <w:pStyle w:val="ListParagraph"/>
        <w:numPr>
          <w:ilvl w:val="0"/>
          <w:numId w:val="2"/>
        </w:numPr>
        <w:spacing w:after="80"/>
      </w:pPr>
      <w:r>
        <w:t xml:space="preserve">Recibir alertas sobre vencimiento de documentos y acceder a descuentos en talleres afiliados según su rating.</w:t>
      </w:r>
    </w:p>
    <w:p>
      <w:pPr>
        <w:pStyle w:val="Heading2"/>
        <w:spacing w:after="160" w:before="280"/>
      </w:pPr>
      <w:r>
        <w:t xml:space="preserve">2.3. Requerimientos de la empresa (panel administrativo)</w:t>
      </w:r>
    </w:p>
    <w:p>
      <w:pPr>
        <w:pStyle w:val="ListParagraph"/>
        <w:numPr>
          <w:ilvl w:val="0"/>
          <w:numId w:val="2"/>
        </w:numPr>
        <w:spacing w:after="80"/>
      </w:pPr>
      <w:r>
        <w:t xml:space="preserve">Gestionar la flota afiliada (alta, baja, suspensión de unidades y conductores).</w:t>
      </w:r>
    </w:p>
    <w:p>
      <w:pPr>
        <w:pStyle w:val="ListParagraph"/>
        <w:numPr>
          <w:ilvl w:val="0"/>
          <w:numId w:val="2"/>
        </w:numPr>
        <w:spacing w:after="80"/>
      </w:pPr>
      <w:r>
        <w:t xml:space="preserve">Solicitar y administrar concesiones de ruta ante la jurisdicción competente (ATU, DRTC, municipalidad).</w:t>
      </w:r>
    </w:p>
    <w:p>
      <w:pPr>
        <w:pStyle w:val="ListParagraph"/>
        <w:numPr>
          <w:ilvl w:val="0"/>
          <w:numId w:val="2"/>
        </w:numPr>
        <w:spacing w:after="80"/>
      </w:pPr>
      <w:r>
        <w:t xml:space="preserve">Visualizar indicadores de operación: viajes del día, tasa de ocupación, ingresos brutos, comisiones, incidentes abiertos.</w:t>
      </w:r>
    </w:p>
    <w:p>
      <w:pPr>
        <w:pStyle w:val="ListParagraph"/>
        <w:numPr>
          <w:ilvl w:val="0"/>
          <w:numId w:val="2"/>
        </w:numPr>
        <w:spacing w:after="80"/>
      </w:pPr>
      <w:r>
        <w:t xml:space="preserve">Generar liquidaciones semanales por conductor.</w:t>
      </w:r>
    </w:p>
    <w:p>
      <w:pPr>
        <w:pStyle w:val="ListParagraph"/>
        <w:numPr>
          <w:ilvl w:val="0"/>
          <w:numId w:val="2"/>
        </w:numPr>
        <w:spacing w:after="80"/>
      </w:pPr>
      <w:r>
        <w:t xml:space="preserve">Exponer reportes B2G a través de endpoints API auditables.</w:t>
      </w:r>
    </w:p>
    <w:p>
      <w:pPr>
        <w:pStyle w:val="Heading2"/>
        <w:spacing w:after="160" w:before="280"/>
      </w:pPr>
      <w:r>
        <w:t xml:space="preserve">2.4. Requerimientos del Estado (B2G)</w:t>
      </w:r>
    </w:p>
    <w:p>
      <w:pPr>
        <w:pStyle w:val="ListParagraph"/>
        <w:numPr>
          <w:ilvl w:val="0"/>
          <w:numId w:val="2"/>
        </w:numPr>
        <w:spacing w:after="80"/>
      </w:pPr>
      <w:r>
        <w:t xml:space="preserve">Consumir datos agregados y trazables sobre viajes, rutas, incidentes y documentos vencidos.</w:t>
      </w:r>
    </w:p>
    <w:p>
      <w:pPr>
        <w:pStyle w:val="ListParagraph"/>
        <w:numPr>
          <w:ilvl w:val="0"/>
          <w:numId w:val="2"/>
        </w:numPr>
        <w:spacing w:after="80"/>
      </w:pPr>
      <w:r>
        <w:t xml:space="preserve">Cada acceso debe quedar registrado en una bitácora auditable (entidad, endpoint, fecha, IP, payload de respuesta resumido).</w:t>
      </w:r>
    </w:p>
    <w:p>
      <w:r>
        <w:br w:type="page"/>
      </w:r>
    </w:p>
    <w:p>
      <w:pPr>
        <w:pStyle w:val="Heading1"/>
        <w:spacing w:after="200" w:before="360"/>
      </w:pPr>
      <w:r>
        <w:t xml:space="preserve">3. Modelo Entidad-Relación</w:t>
      </w:r>
    </w:p>
    <w:p>
      <w:pPr>
        <w:spacing w:after="120"/>
      </w:pPr>
      <w:r>
        <w:t xml:space="preserve">A continuación se presenta una vista textual de las entidades y sus relaciones principales. El detalle de atributos por tabla se desarrolla en la Sección 4.</w:t>
      </w:r>
    </w:p>
    <w:p>
      <w:pPr>
        <w:pStyle w:val="Heading2"/>
        <w:spacing w:after="160" w:before="280"/>
      </w:pPr>
      <w:r>
        <w:t xml:space="preserve">3.1. Entidades principales</w:t>
      </w:r>
    </w:p>
    <w:p>
      <w:pPr>
        <w:spacing w:after="120"/>
      </w:pPr>
      <w:r>
        <w:t xml:space="preserve">El modelo se organiza en nueve agrupaciones (dominios), con un total aproximado de 36 tablas, 15 tipos enumerados, 3 vistas analíticas y 1 trigger de cumplimiento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Dominio</w:t>
            </w:r>
          </w:p>
        </w:tc>
        <w:tc>
          <w:tcPr>
            <w:tcW w:type="dxa" w:w="71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Entidades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Ubicaciones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departments, provinces, districts, jurisdictions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Identidad y empresa</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users, auth_otp_codes, user_roles, passengers, trusted_contacts, drivers, driver_affiliations, companies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Vehículos y documentos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vehicles, documents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Rutas</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routes, route_concessions, stops, route_geofences, route_assignments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Viajes y reservas</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trips, bookings, trip_locations, ratings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Pagos</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payment_methods, payments, invoices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Finanzas del conductor</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driver_earnings, driver_expenses, settlements</w:t>
            </w:r>
          </w:p>
        </w:tc>
      </w:tr>
      <w:tr>
        <w:tc>
          <w:tcPr>
            <w:tcW w:type="dxa" w:w="2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Operaciones y aliados</w:t>
            </w:r>
          </w:p>
        </w:tc>
        <w:tc>
          <w:tcPr>
            <w:tcW w:type="dxa" w:w="7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incidents, incident_attachments, workshops, workshop_services</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Gobierno y auditoría</w:t>
            </w:r>
          </w:p>
        </w:tc>
        <w:tc>
          <w:tcPr>
            <w:tcW w:type="dxa" w:w="7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b2g_reports, b2g_api_access_log, notifications, audit_log</w:t>
            </w:r>
          </w:p>
        </w:tc>
      </w:tr>
    </w:tbl>
    <w:p>
      <w:pPr>
        <w:pStyle w:val="Heading2"/>
        <w:spacing w:after="160" w:before="280"/>
      </w:pPr>
      <w:r>
        <w:t xml:space="preserve">3.2. Relaciones clave (lectura del MER)</w:t>
      </w:r>
    </w:p>
    <w:p>
      <w:pPr>
        <w:pStyle w:val="ListParagraph"/>
        <w:numPr>
          <w:ilvl w:val="0"/>
          <w:numId w:val="2"/>
        </w:numPr>
        <w:spacing w:after="80"/>
      </w:pPr>
      <w:r>
        <w:rPr>
          <w:b/>
          <w:bCs/>
        </w:rPr>
        <w:t xml:space="preserve">users (1) — (0..1) drivers </w:t>
      </w:r>
      <w:r>
        <w:t xml:space="preserve">y users (1) — (0..1) passengers: el modelo separa la cuenta de acceso (users) del rol específico, permitiendo que en una etapa futura una misma persona pueda actuar como pasajero y conductor sin duplicar identidad.</w:t>
      </w:r>
    </w:p>
    <w:p>
      <w:pPr>
        <w:pStyle w:val="ListParagraph"/>
        <w:numPr>
          <w:ilvl w:val="0"/>
          <w:numId w:val="2"/>
        </w:numPr>
        <w:spacing w:after="80"/>
      </w:pPr>
      <w:r>
        <w:rPr>
          <w:b/>
          <w:bCs/>
        </w:rPr>
        <w:t xml:space="preserve">drivers (N) — (1) companies </w:t>
      </w:r>
      <w:r>
        <w:t xml:space="preserve">a través de driver_affiliations: la afiliación es la entidad que materializa el contrato; conserva fechas de inicio, fin y tipo de contrato.</w:t>
      </w:r>
    </w:p>
    <w:p>
      <w:pPr>
        <w:pStyle w:val="ListParagraph"/>
        <w:numPr>
          <w:ilvl w:val="0"/>
          <w:numId w:val="2"/>
        </w:numPr>
        <w:spacing w:after="80"/>
      </w:pPr>
      <w:r>
        <w:rPr>
          <w:b/>
          <w:bCs/>
        </w:rPr>
        <w:t xml:space="preserve">vehicles (N) — (1) companies: </w:t>
      </w:r>
      <w:r>
        <w:t xml:space="preserve">el vehículo está afiliado a la empresa; la TUC se emite a nombre de la empresa (atributo tuc_number en vehicles).</w:t>
      </w:r>
    </w:p>
    <w:p>
      <w:pPr>
        <w:pStyle w:val="ListParagraph"/>
        <w:numPr>
          <w:ilvl w:val="0"/>
          <w:numId w:val="2"/>
        </w:numPr>
        <w:spacing w:after="80"/>
      </w:pPr>
      <w:r>
        <w:rPr>
          <w:b/>
          <w:bCs/>
        </w:rPr>
        <w:t xml:space="preserve">routes (N) — (1) jurisdictions: </w:t>
      </w:r>
      <w:r>
        <w:t xml:space="preserve">cada ruta está bajo la autoridad de una jurisdicción (ATU, DRTC o municipalidad). El trigger enforce_collective_ban_lima impide registrar rutas de modalidad COLECTIVO_M1/M2 cuando la jurisdicción es ATU_LIMA_CALLAO.</w:t>
      </w:r>
    </w:p>
    <w:p>
      <w:pPr>
        <w:pStyle w:val="ListParagraph"/>
        <w:numPr>
          <w:ilvl w:val="0"/>
          <w:numId w:val="2"/>
        </w:numPr>
        <w:spacing w:after="80"/>
      </w:pPr>
      <w:r>
        <w:rPr>
          <w:b/>
          <w:bCs/>
        </w:rPr>
        <w:t xml:space="preserve">trips (1) — (N) bookings: </w:t>
      </w:r>
      <w:r>
        <w:t xml:space="preserve">un viaje agrupa hasta 4 reservas (una por asiento). El trigger de capacidad evita sobreventa.</w:t>
      </w:r>
    </w:p>
    <w:p>
      <w:pPr>
        <w:pStyle w:val="ListParagraph"/>
        <w:numPr>
          <w:ilvl w:val="0"/>
          <w:numId w:val="2"/>
        </w:numPr>
        <w:spacing w:after="80"/>
      </w:pPr>
      <w:r>
        <w:rPr>
          <w:b/>
          <w:bCs/>
        </w:rPr>
        <w:t xml:space="preserve">bookings (1) — (1) payments — (0..1) invoices: </w:t>
      </w:r>
      <w:r>
        <w:t xml:space="preserve">cada reserva genera un pago, y cada pago confirmado emite una boleta electrónica con su código SUNAT.</w:t>
      </w:r>
    </w:p>
    <w:p>
      <w:pPr>
        <w:pStyle w:val="ListParagraph"/>
        <w:numPr>
          <w:ilvl w:val="0"/>
          <w:numId w:val="2"/>
        </w:numPr>
        <w:spacing w:after="80"/>
      </w:pPr>
      <w:r>
        <w:rPr>
          <w:b/>
          <w:bCs/>
        </w:rPr>
        <w:t xml:space="preserve">trips (1) — (N) trip_locations: </w:t>
      </w:r>
      <w:r>
        <w:t xml:space="preserve">GPS muestreado cada 5 segundos durante el viaje; insumo del módulo de geocercas y de los reportes B2G.</w:t>
      </w:r>
    </w:p>
    <w:p>
      <w:pPr>
        <w:pStyle w:val="ListParagraph"/>
        <w:numPr>
          <w:ilvl w:val="0"/>
          <w:numId w:val="2"/>
        </w:numPr>
        <w:spacing w:after="80"/>
      </w:pPr>
      <w:r>
        <w:rPr>
          <w:b/>
          <w:bCs/>
        </w:rPr>
        <w:t xml:space="preserve">trips (1) — (2) ratings: </w:t>
      </w:r>
      <w:r>
        <w:t xml:space="preserve">rating cruzado: pasajero califica conductor y conductor califica pasajero.</w:t>
      </w:r>
    </w:p>
    <w:p>
      <w:r>
        <w:br w:type="page"/>
      </w:r>
    </w:p>
    <w:p>
      <w:pPr>
        <w:pStyle w:val="Heading1"/>
        <w:spacing w:after="200" w:before="360"/>
      </w:pPr>
      <w:r>
        <w:t xml:space="preserve">4. Diccionario de Datos</w:t>
      </w:r>
    </w:p>
    <w:p>
      <w:pPr>
        <w:spacing w:after="120"/>
      </w:pPr>
      <w:r>
        <w:t xml:space="preserve">Por economía de espacio se presentan las entidades centrales con sus atributos principales. El esquema completo, con todas las restricciones, índices y triggers, se entrega en el archivo chaskirutas_schema.sql.</w:t>
      </w:r>
    </w:p>
    <w:p>
      <w:pPr>
        <w:pStyle w:val="Heading2"/>
        <w:spacing w:after="160" w:before="280"/>
      </w:pPr>
      <w:r>
        <w:t xml:space="preserve">4.1. Dominio Ubicaciones</w:t>
      </w:r>
    </w:p>
    <w:p>
      <w:pPr>
        <w:spacing w:after="120"/>
      </w:pPr>
      <w:r>
        <w:t xml:space="preserve">Modela la división política del Perú y la entidad reguladora competente en cada zona. Es el ancla del cumplimiento legal: cada ruta debe asociarse a una jurisdicción, y la jurisdicción determina si la modalidad de servicio es legalmente operable.</w:t>
      </w:r>
    </w:p>
    <w:p>
      <w:pPr>
        <w:pStyle w:val="Heading3"/>
        <w:spacing w:after="120" w:before="200"/>
      </w:pPr>
      <w:r>
        <w:t xml:space="preserve">Tabla: jurisdictions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jurisdiction_id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jurisdiction_type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ATU_LIMA_CALLAO, DRTC, MUNICIPALIDAD_PROV, MTC</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name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Nombre oficial (ej. ATU – Lima y Callao)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region_code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VARCHAR(10)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Departamento o jurisdicción (ej. LIM, CUS)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allows_taxi</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BOOLEAN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TRUE</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Permite modalidad taxi</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allows_collective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BOOLEAN</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FALSE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Permite modalidad colectivo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agreement_signed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BOOLEAN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FALSE</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Convenio de data-sharing con ChaskiRutas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created_at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now()</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Auditoría</w:t>
            </w:r>
          </w:p>
        </w:tc>
      </w:tr>
    </w:tbl>
    <w:p>
      <w:pPr>
        <w:pStyle w:val="Heading2"/>
        <w:spacing w:after="160" w:before="280"/>
      </w:pPr>
      <w:r>
        <w:t xml:space="preserve">4.2. Dominio Identidad y Empresa</w:t>
      </w:r>
    </w:p>
    <w:p>
      <w:pPr>
        <w:pStyle w:val="Heading3"/>
        <w:spacing w:after="120" w:before="200"/>
      </w:pPr>
      <w:r>
        <w:t xml:space="preserve">Tabla: users</w:t>
      </w:r>
    </w:p>
    <w:p>
      <w:pPr>
        <w:spacing w:after="120"/>
      </w:pPr>
      <w:r>
        <w:t xml:space="preserve">Cuenta de acceso única. Separa autenticación de los roles funcionales (pasajero, conductor,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user_id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phone_e164</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VARCHAR(20)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Teléfono en formato internacional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email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VARCHAR(160)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UNIQUE</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Correo opcional</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password_hash</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VARCHAR(255)</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Hash bcrypt; NULL si solo OTP</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full_name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VARCHAR(160)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Nombre completo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document_type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DNI, CE, PASAPORTE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document_number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Número de documento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ACTIVE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ACTIVE, SUSPENDED, BLOCKED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created_at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now()</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Auditoría</w:t>
            </w:r>
          </w:p>
        </w:tc>
      </w:tr>
    </w:tbl>
    <w:p>
      <w:pPr>
        <w:pStyle w:val="Heading3"/>
        <w:spacing w:after="120" w:before="200"/>
      </w:pPr>
      <w:r>
        <w:t xml:space="preserve">Tabla: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driver_id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user_id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 users, UNIQUE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Cuenta asociada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license_number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Brevete profesional</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license_class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VARCHAR(10)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Categoría (A-IIA, A-IIB)</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license_expires_at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Vencimiento del brevete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formalization_step</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0</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0–6, paso de la ruta de formalización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rating_avg</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NUMERIC(3,2)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0</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Promedio de calificaciones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rating_count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0</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Número de calificaciones recibidas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PENDING</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PENDING, ACTIVE, SUSPENDED, OFFLINE</w:t>
            </w:r>
          </w:p>
        </w:tc>
      </w:tr>
    </w:tbl>
    <w:p>
      <w:pPr>
        <w:pStyle w:val="Heading3"/>
        <w:spacing w:after="120" w:before="200"/>
      </w:pPr>
      <w:r>
        <w:t xml:space="preserve">Tabla: 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company_id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legal_name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VARCHAR(200)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Razón social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ruc</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CHAR(11)</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RUC de 11 dígitos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address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TEXT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Domicilio fiscal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registered_jurisdictions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Jurisdicciones donde opera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ACTIVE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ACTIVE, SUSPENDED</w:t>
            </w:r>
          </w:p>
        </w:tc>
      </w:tr>
    </w:tbl>
    <w:p>
      <w:pPr>
        <w:pStyle w:val="Heading3"/>
        <w:spacing w:after="120" w:before="200"/>
      </w:pPr>
      <w:r>
        <w:t xml:space="preserve">Tabla: driver_affiliations</w:t>
      </w:r>
    </w:p>
    <w:p>
      <w:pPr>
        <w:spacing w:after="120"/>
      </w:pPr>
      <w:r>
        <w:t xml:space="preserve">Materializa el contrato de afiliación entre conductor y empresa, requisito legal para que el conductor opere bajo el paraguas de ChaskiRutas.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affiliation_id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driver_id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Conductor afiliado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company_id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Empresa que lo afilia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contract_type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DIARIO, SEMANAL, MENSUAL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start_date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Inicio del contrato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end_date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Fin (NULL = vigente)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commission_pct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NUMERIC(5,2)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Comisión que cobra la empresa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signed_pdf_url</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TEXT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URL del contrato firmado</w:t>
            </w:r>
          </w:p>
        </w:tc>
      </w:tr>
    </w:tbl>
    <w:p>
      <w:pPr>
        <w:pStyle w:val="Heading2"/>
        <w:spacing w:after="160" w:before="280"/>
      </w:pPr>
      <w:r>
        <w:t xml:space="preserve">4.3. Dominio Vehículos y Documentos</w:t>
      </w:r>
    </w:p>
    <w:p>
      <w:pPr>
        <w:pStyle w:val="Heading3"/>
        <w:spacing w:after="120" w:before="200"/>
      </w:pPr>
      <w:r>
        <w:t xml:space="preserve">Tabla: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vehicle_id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company_id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Empresa que afilia el vehículo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plate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Placa de rodaje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category</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M1 (auto), M2 (van pequeña)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service_type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TAXI_EJECUTIVO, TAXI_REMISSE, COLECTIVO_M1, COLECTIVO_M2</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brand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VARCHAR(60)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Marca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model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VARCHAR(60)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Modelo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year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CHECK ≥ año actual − 10</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Antigüedad máxima 10 años (target del BMC)</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seats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4 CHECK 1–8</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Asientos disponibles para pasajeros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tuc_number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VARCHAR(30)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UNIQUE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Tarjeta Única de Circulación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tuc_expires_at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Vencimiento de la TUC</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PENDING</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PENDING, ACTIVE, SUSPENDED, RETIRED</w:t>
            </w:r>
          </w:p>
        </w:tc>
      </w:tr>
    </w:tbl>
    <w:p>
      <w:pPr>
        <w:pStyle w:val="Heading3"/>
        <w:spacing w:after="120" w:before="200"/>
      </w:pPr>
      <w:r>
        <w:t xml:space="preserve">Tabla: documents</w:t>
      </w:r>
    </w:p>
    <w:p>
      <w:pPr>
        <w:spacing w:after="120"/>
      </w:pPr>
      <w:r>
        <w:t xml:space="preserve">Documentos digitalizados de personas, vehículos o empresas. La FK exclusiva (CHECK constraint que asegura que solo uno de user_id/vehicle_id/company_id sea no nulo) permite reutilizar la tabla para los tres dominios.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document_id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user_id / vehicle_id / company_id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(3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CHECK exclusivo</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Solo uno puede ser no nulo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doc_type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DNI, LICENCIA, SOAT, REVISION_TECNICA, TARJETA_PROPIEDAD, ANTECEDENTES, RUC, TUC, MINUTA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file_url</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TEXT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Almacenado en S3 con URL firmada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issued_at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Fecha de emisión</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expires_at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Fecha de vencimiento (si aplica)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verified_at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Fecha de verificación humana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PENDING</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PENDING, APPROVED, REJECTED, EXPIRED</w:t>
            </w:r>
          </w:p>
        </w:tc>
      </w:tr>
    </w:tbl>
    <w:p>
      <w:pPr>
        <w:pStyle w:val="Heading2"/>
        <w:spacing w:after="160" w:before="280"/>
      </w:pPr>
      <w:r>
        <w:t xml:space="preserve">4.4. Dominio Rutas y Concesiones</w:t>
      </w:r>
    </w:p>
    <w:p>
      <w:pPr>
        <w:pStyle w:val="Heading3"/>
        <w:spacing w:after="120" w:before="200"/>
      </w:pPr>
      <w:r>
        <w:t xml:space="preserve">Tabla: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route_id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company_id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Empresa operadora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jurisdiction_id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Jurisdicción competente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code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VARCHAR(20)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UNIQUE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Código corto (ej. JP-01)</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name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VARCHAR(160)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Nombre comercial</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service_modality</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TAXI_EJECUTIVO, TAXI_REMISSE, COLECTIVO_M1, COLECTIVO_M2</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origin_text / destination_text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VARCHAR(160)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Cabeceras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base_fare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NUMERIC(8,2)</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Tarifa por asiento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distance_km</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NUMERIC(6,2)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Distancia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DRAFT</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DRAFT, ACTIVE, SUSPENDED</w:t>
            </w:r>
          </w:p>
        </w:tc>
      </w:tr>
    </w:tbl>
    <w:p>
      <w:pPr>
        <w:pStyle w:val="Heading2"/>
        <w:spacing w:after="160" w:before="280"/>
      </w:pPr>
      <w:r>
        <w:t xml:space="preserve">4.5. Dominio Viajes y Reservas</w:t>
      </w:r>
    </w:p>
    <w:p>
      <w:pPr>
        <w:pStyle w:val="Heading3"/>
        <w:spacing w:after="120" w:before="200"/>
      </w:pPr>
      <w:r>
        <w:t xml:space="preserve">Tabla: trips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trip_id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route_id, vehicle_id, driver_id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(3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Asignación operativa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scheduled_at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Hora prevista de partida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started_at / ended_at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Hora real de inicio y fin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seats_total / seats_taken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CHECK seats_taken ≤ seats_total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Capacidad y ocupación</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SCHEDULED</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SCHEDULED, BOARDING, IN_PROGRESS, COMPLETED, CANCELLED</w:t>
            </w:r>
          </w:p>
        </w:tc>
      </w:tr>
    </w:tbl>
    <w:p>
      <w:pPr>
        <w:pStyle w:val="Heading3"/>
        <w:spacing w:after="120" w:before="200"/>
      </w:pPr>
      <w:r>
        <w:t xml:space="preserve">Tabla: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booking_id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trip_id, passenger_id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Viaje y pasajero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seat_number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Asiento (1–N)</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UNIQUE(trip_id, seat_number)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 asiento solo se vende una vez</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pickup_stop_id, dropoff_stop_id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Paraderos digitales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fare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NUMERIC(8,2)</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Tarifa pagada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PENDING_PAYMENT</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PENDING_PAYMENT, CONFIRMED, BOARDED, COMPLETED, NO_SHOW, CANCELLED</w:t>
            </w:r>
          </w:p>
        </w:tc>
      </w:tr>
    </w:tbl>
    <w:p>
      <w:pPr>
        <w:pStyle w:val="Heading3"/>
        <w:spacing w:after="120" w:before="200"/>
      </w:pPr>
      <w:r>
        <w:t xml:space="preserve">Tabla: ratings</w:t>
      </w:r>
    </w:p>
    <w:p>
      <w:pPr>
        <w:spacing w:after="120"/>
      </w:pPr>
      <w:r>
        <w:t xml:space="preserve">Soporta el rating cruzado: cada viaje genera dos filas, una en sentido pasajero→conductor y otra conductor→pasajero.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rating_id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trip_id, booking_id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Trazabilidad del viaje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rater_user_id, ratee_user_id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Quien califica y a quién</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direction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PASSENGER_TO_DRIVER, DRIVER_TO_PASSENGER</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score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SMALLINT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CHECK 1–5</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Puntaje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comment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TEXT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Comentario opcional</w:t>
            </w:r>
          </w:p>
        </w:tc>
      </w:tr>
    </w:tbl>
    <w:p>
      <w:pPr>
        <w:pStyle w:val="Heading2"/>
        <w:spacing w:after="160" w:before="280"/>
      </w:pPr>
      <w:r>
        <w:t xml:space="preserve">4.6. Dominio Pagos y Facturación</w:t>
      </w:r>
    </w:p>
    <w:p>
      <w:pPr>
        <w:pStyle w:val="Heading3"/>
        <w:spacing w:after="120" w:before="200"/>
      </w:pPr>
      <w:r>
        <w:t xml:space="preserve">Tabla: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payment_id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booking_id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UNIQUE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Reserva pagada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payment_method_id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Método utilizado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amount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NUMERIC(10,2)</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Monto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gateway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NIUBIZ, IZIPAY, YAPE, PLIN, CASH</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gateway_token</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VARCHAR(160)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Token tokenizado (sin PAN)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PENDING</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PENDING, AUTHORIZED, CAPTURED, FAILED, REFUNDED</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captured_at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Fecha de captura</w:t>
            </w:r>
          </w:p>
        </w:tc>
      </w:tr>
    </w:tbl>
    <w:p>
      <w:pPr>
        <w:pStyle w:val="Heading3"/>
        <w:spacing w:after="120" w:before="200"/>
      </w:pPr>
      <w:r>
        <w:t xml:space="preserve">Tabla: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invoice_id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payment_id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UNIQUE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Pago asociado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serie / number</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Serie y número correlativo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sunat_code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VARCHAR(40)</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UNIQUE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Código de hash SUNAT</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xml_url, pdf_url</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TEXT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Documentos firmados</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PENDING</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PENDING, ISSUED, ANNULLED</w:t>
            </w:r>
          </w:p>
        </w:tc>
      </w:tr>
    </w:tbl>
    <w:p>
      <w:pPr>
        <w:pStyle w:val="Heading2"/>
        <w:spacing w:after="160" w:before="280"/>
      </w:pPr>
      <w:r>
        <w:t xml:space="preserve">4.7. Dominio Finanzas del Conductor</w:t>
      </w:r>
    </w:p>
    <w:p>
      <w:pPr>
        <w:spacing w:after="120"/>
      </w:pPr>
      <w:r>
        <w:t xml:space="preserve">Permite al conductor consultar su panel de ingresos y gastos del día/semana, y a la empresa generar liquidaciones automáticas.</w:t>
      </w:r>
    </w:p>
    <w:p>
      <w:pPr>
        <w:pStyle w:val="Heading3"/>
        <w:spacing w:after="120" w:before="200"/>
      </w:pPr>
      <w:r>
        <w:t xml:space="preserve">Tabla: settlements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settlement_id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driver_id, company_id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Liquidación driver–empresa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period_start / period_end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DATE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Semana liquidada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gross_income</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NUMERIC(10,2)</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Total bruto recaudado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company_commission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NUMERIC(10,2)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Comisión de la empresa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expenses_reimbursed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NUMERIC(10,2)</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0</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Gastos reembolsables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net_payout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NUMERIC(10,2)</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Neto a pagar al conductor</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DRAFT</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DRAFT, APPROVED, PAID</w:t>
            </w:r>
          </w:p>
        </w:tc>
      </w:tr>
    </w:tbl>
    <w:p>
      <w:pPr>
        <w:pStyle w:val="Heading2"/>
        <w:spacing w:after="160" w:before="280"/>
      </w:pPr>
      <w:r>
        <w:t xml:space="preserve">4.8. Dominio Operaciones (incidentes y aliados)</w:t>
      </w:r>
    </w:p>
    <w:p>
      <w:pPr>
        <w:pStyle w:val="Heading3"/>
        <w:spacing w:after="120" w:before="200"/>
      </w:pPr>
      <w:r>
        <w:t xml:space="preserve">Tabla: incidents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incident_id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trip_id, reporter_user_id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 (2 FK)</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Contexto del incidente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type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SOS_PASSENGER, SOS_DRIVER, ACCIDENTE, ROBO, FALTA_RESPETO, OTRO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severity</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MEDIA</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BAJA, MEDIA, ALTA, CRITICA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latitude / longitude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NUMERIC(9,6)</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Geolocalización</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pnp_notified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BOOLEAN</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FALSE</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Si se escaló a PNP</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status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OPEN</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OPEN, IN_REVIEW, RESOLVED, CLOSED</w:t>
            </w:r>
          </w:p>
        </w:tc>
      </w:tr>
    </w:tbl>
    <w:p>
      <w:pPr>
        <w:pStyle w:val="Heading2"/>
        <w:spacing w:after="160" w:before="280"/>
      </w:pPr>
      <w:r>
        <w:t xml:space="preserve">4.9. Dominio Gobierno y Auditoría</w:t>
      </w:r>
    </w:p>
    <w:p>
      <w:pPr>
        <w:pStyle w:val="Heading3"/>
        <w:spacing w:after="120" w:before="200"/>
      </w:pPr>
      <w:r>
        <w:t xml:space="preserve">Tabla: b2g_api_access_log</w:t>
      </w:r>
    </w:p>
    <w:p>
      <w:pPr>
        <w:spacing w:after="120"/>
      </w:pPr>
      <w:r>
        <w:t xml:space="preserve">Bitácora de accesos B2G. Cada consulta de ATU, MTC o municipalidades a los endpoints de la plataforma queda registrada para auditoría.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access_id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jurisdiction_id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 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Entidad consultora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endpoint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VARCHAR(200)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Ruta del API consumida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request_payload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JSONB</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Parámetros (consulta)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response_summary</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JSONB</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Resumen del response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accessed_at</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DEFAULT now()</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Marca temporal</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ip_address</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INET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IP origen</w:t>
            </w:r>
          </w:p>
        </w:tc>
      </w:tr>
    </w:tbl>
    <w:p>
      <w:pPr>
        <w:pStyle w:val="Heading3"/>
        <w:spacing w:after="120" w:before="200"/>
      </w:pPr>
      <w:r>
        <w:t xml:space="preserve">Tabla: audit_log</w:t>
      </w:r>
    </w:p>
    <w:p>
      <w:pPr>
        <w:spacing w:after="120"/>
      </w:pPr>
      <w:r>
        <w:t xml:space="preserve">Bitácora interna que captura todas las operaciones sensibles (DML) sobre tablas críticas: usuarios, conductores, vehículos, rutas, pagos. Implementada por triggers AFTER INSERT/UPDATE/DELETE.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900"/>
        <w:gridCol w:w="3860"/>
      </w:tblGrid>
      <w:tr>
        <w:trPr>
          <w:tblHeader/>
        </w:trPr>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Atributo</w:t>
            </w:r>
          </w:p>
        </w:tc>
        <w:tc>
          <w:tcPr>
            <w:tcW w:type="dxa" w:w="17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Tipo</w:t>
            </w:r>
          </w:p>
        </w:tc>
        <w:tc>
          <w:tcPr>
            <w:tcW w:type="dxa" w:w="19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Restricciones</w:t>
            </w:r>
          </w:p>
        </w:tc>
        <w:tc>
          <w:tcPr>
            <w:tcW w:type="dxa" w:w="38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Descripción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audit_id</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BIGSERIAL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PK</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Identificador único</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actor_user_id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FK</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Quién hizo el cambio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table_name</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VARCHAR(80)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Tabla afectada</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record_id</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BIGINT</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PK del registro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action</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VARCHAR(20)</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NOT NULL</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INSERT, UPDATE, DELETE</w:t>
            </w:r>
          </w:p>
        </w:tc>
      </w:tr>
      <w:tr>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before / after</w:t>
            </w:r>
          </w:p>
        </w:tc>
        <w:tc>
          <w:tcPr>
            <w:tcW w:type="dxa" w:w="17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JSONB</w:t>
            </w:r>
          </w:p>
        </w:tc>
        <w:tc>
          <w:tcPr>
            <w:tcW w:type="dxa" w:w="19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
            </w:r>
          </w:p>
        </w:tc>
        <w:tc>
          <w:tcPr>
            <w:tcW w:type="dxa" w:w="38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Snapshot pre y post cambio</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created_at</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TIMESTAMPTZ</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DEFAULT now()</w:t>
            </w:r>
          </w:p>
        </w:tc>
        <w:tc>
          <w:tcPr>
            <w:tcW w:type="dxa" w:w="38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Marca temporal</w:t>
            </w:r>
          </w:p>
        </w:tc>
      </w:tr>
    </w:tbl>
    <w:p>
      <w:r>
        <w:br w:type="page"/>
      </w:r>
    </w:p>
    <w:p>
      <w:pPr>
        <w:pStyle w:val="Heading1"/>
        <w:spacing w:after="200" w:before="360"/>
      </w:pPr>
      <w:r>
        <w:t xml:space="preserve">5. Reglas de Negocio en la Base de Datos</w:t>
      </w:r>
    </w:p>
    <w:p>
      <w:pPr>
        <w:spacing w:after="120"/>
      </w:pPr>
      <w:r>
        <w:t xml:space="preserve">La base de datos no se limita a almacenar información: hace cumplir reglas que protegen la integridad legal y operativa del modelo.</w:t>
      </w:r>
    </w:p>
    <w:p>
      <w:pPr>
        <w:pStyle w:val="Heading2"/>
        <w:spacing w:after="160" w:before="280"/>
      </w:pPr>
      <w:r>
        <w:t xml:space="preserve">5.1. Trigger anti-colectivo Lima/Callao (cumplimiento legal)</w:t>
      </w:r>
    </w:p>
    <w:p>
      <w:pPr>
        <w:spacing w:after="120"/>
      </w:pPr>
      <w:r>
        <w:t xml:space="preserve">Antes de insertar o actualizar una ruta, este trigger valida que no se intente registrar una modalidad de colectivo en una jurisdicción ATU (Lima/Callao). Si se intenta, la operación es abortada.</w:t>
      </w:r>
    </w:p>
    <w:p>
      <w:pPr>
        <w:shd w:fill="F3F4F6" w:val="clear"/>
        <w:spacing w:after="120" w:before="80"/>
      </w:pPr>
      <w:r>
        <w:rPr>
          <w:rFonts w:ascii="Consolas" w:cs="Consolas" w:eastAsia="Consolas" w:hAnsi="Consolas"/>
          <w:sz w:val="18"/>
          <w:szCs w:val="18"/>
        </w:rPr>
        <w:t xml:space="preserve">CREATE OR REPLACE FUNCTION enforce_collective_ban_lima()</w:t>
      </w:r>
    </w:p>
    <w:p>
      <w:pPr>
        <w:shd w:fill="F3F4F6" w:val="clear"/>
        <w:spacing w:after="120" w:before="80"/>
      </w:pPr>
      <w:r>
        <w:rPr>
          <w:rFonts w:ascii="Consolas" w:cs="Consolas" w:eastAsia="Consolas" w:hAnsi="Consolas"/>
          <w:sz w:val="18"/>
          <w:szCs w:val="18"/>
        </w:rPr>
        <w:t xml:space="preserve">RETURNS TRIGGER AS $$</w:t>
      </w:r>
    </w:p>
    <w:p>
      <w:pPr>
        <w:shd w:fill="F3F4F6" w:val="clear"/>
        <w:spacing w:after="120" w:before="80"/>
      </w:pPr>
      <w:r>
        <w:rPr>
          <w:rFonts w:ascii="Consolas" w:cs="Consolas" w:eastAsia="Consolas" w:hAnsi="Consolas"/>
          <w:sz w:val="18"/>
          <w:szCs w:val="18"/>
        </w:rPr>
        <w:t xml:space="preserve">DECLARE jt jurisdiction_type_enum;</w:t>
      </w:r>
    </w:p>
    <w:p>
      <w:pPr>
        <w:shd w:fill="F3F4F6" w:val="clear"/>
        <w:spacing w:after="120" w:before="80"/>
      </w:pPr>
      <w:r>
        <w:rPr>
          <w:rFonts w:ascii="Consolas" w:cs="Consolas" w:eastAsia="Consolas" w:hAnsi="Consolas"/>
          <w:sz w:val="18"/>
          <w:szCs w:val="18"/>
        </w:rPr>
        <w:t xml:space="preserve">BEGIN</w:t>
      </w:r>
    </w:p>
    <w:p>
      <w:pPr>
        <w:shd w:fill="F3F4F6" w:val="clear"/>
        <w:spacing w:after="120" w:before="80"/>
      </w:pPr>
      <w:r>
        <w:rPr>
          <w:rFonts w:ascii="Consolas" w:cs="Consolas" w:eastAsia="Consolas" w:hAnsi="Consolas"/>
          <w:sz w:val="18"/>
          <w:szCs w:val="18"/>
        </w:rPr>
        <w:t xml:space="preserve">  SELECT jurisdiction_type INTO jt FROM jurisdictions WHERE jurisdiction_id = NEW.jurisdiction_id;</w:t>
      </w:r>
    </w:p>
    <w:p>
      <w:pPr>
        <w:shd w:fill="F3F4F6" w:val="clear"/>
        <w:spacing w:after="120" w:before="80"/>
      </w:pPr>
      <w:r>
        <w:rPr>
          <w:rFonts w:ascii="Consolas" w:cs="Consolas" w:eastAsia="Consolas" w:hAnsi="Consolas"/>
          <w:sz w:val="18"/>
          <w:szCs w:val="18"/>
        </w:rPr>
        <w:t xml:space="preserve">  IF jt = 'ATU_LIMA_CALLAO' AND NEW.service_modality IN ('COLECTIVO_M1','COLECTIVO_M2') THEN</w:t>
      </w:r>
    </w:p>
    <w:p>
      <w:pPr>
        <w:shd w:fill="F3F4F6" w:val="clear"/>
        <w:spacing w:after="120" w:before="80"/>
      </w:pPr>
      <w:r>
        <w:rPr>
          <w:rFonts w:ascii="Consolas" w:cs="Consolas" w:eastAsia="Consolas" w:hAnsi="Consolas"/>
          <w:sz w:val="18"/>
          <w:szCs w:val="18"/>
        </w:rPr>
        <w:t xml:space="preserve">    RAISE EXCEPTION 'El servicio de colectivo está prohibido en Lima y Callao (jurisdicción ATU).';</w:t>
      </w:r>
    </w:p>
    <w:p>
      <w:pPr>
        <w:shd w:fill="F3F4F6" w:val="clear"/>
        <w:spacing w:after="120" w:before="80"/>
      </w:pPr>
      <w:r>
        <w:rPr>
          <w:rFonts w:ascii="Consolas" w:cs="Consolas" w:eastAsia="Consolas" w:hAnsi="Consolas"/>
          <w:sz w:val="18"/>
          <w:szCs w:val="18"/>
        </w:rPr>
        <w:t xml:space="preserve">  END IF;</w:t>
      </w:r>
    </w:p>
    <w:p>
      <w:pPr>
        <w:shd w:fill="F3F4F6" w:val="clear"/>
        <w:spacing w:after="120" w:before="80"/>
      </w:pPr>
      <w:r>
        <w:rPr>
          <w:rFonts w:ascii="Consolas" w:cs="Consolas" w:eastAsia="Consolas" w:hAnsi="Consolas"/>
          <w:sz w:val="18"/>
          <w:szCs w:val="18"/>
        </w:rPr>
        <w:t xml:space="preserve">  RETURN NEW;</w:t>
      </w:r>
    </w:p>
    <w:p>
      <w:pPr>
        <w:shd w:fill="F3F4F6" w:val="clear"/>
        <w:spacing w:after="120" w:before="80"/>
      </w:pPr>
      <w:r>
        <w:rPr>
          <w:rFonts w:ascii="Consolas" w:cs="Consolas" w:eastAsia="Consolas" w:hAnsi="Consolas"/>
          <w:sz w:val="18"/>
          <w:szCs w:val="18"/>
        </w:rPr>
        <w:t xml:space="preserve">END; $$ LANGUAGE plpgsql;</w:t>
      </w:r>
    </w:p>
    <w:p>
      <w:pPr>
        <w:spacing w:after="120"/>
      </w:pPr>
      <w:r>
        <w:t xml:space="preserve">Esta regla es la traducción técnica del compromiso del proyecto: ChaskiRutas opera con el Estado, no contra él. Cualquier intento de operar fuera del marco legal se bloquea desde la capa más profunda.</w:t>
      </w:r>
    </w:p>
    <w:p>
      <w:pPr>
        <w:pStyle w:val="Heading2"/>
        <w:spacing w:after="160" w:before="280"/>
      </w:pPr>
      <w:r>
        <w:t xml:space="preserve">5.2. Capacidad del vehículo (anti-sobreventa)</w:t>
      </w:r>
    </w:p>
    <w:p>
      <w:pPr>
        <w:spacing w:after="120"/>
      </w:pPr>
      <w:r>
        <w:t xml:space="preserve">Antes de confirmar una reserva, se valida que seats_taken &lt; seats_total. Si la reserva es la última disponible, el viaje pasa automáticamente al estado BOARDING.</w:t>
      </w:r>
    </w:p>
    <w:p>
      <w:pPr>
        <w:pStyle w:val="Heading2"/>
        <w:spacing w:after="160" w:before="280"/>
      </w:pPr>
      <w:r>
        <w:t xml:space="preserve">5.3. Vencimiento de documentos</w:t>
      </w:r>
    </w:p>
    <w:p>
      <w:pPr>
        <w:spacing w:after="120"/>
      </w:pPr>
      <w:r>
        <w:t xml:space="preserve">Una tarea programada (cron) ejecuta diariamente una función que actualiza el estado de los documentos a EXPIRED cuando expires_at &lt; CURRENT_DATE, y suspende a los conductores cuyos documentos críticos (licencia, SOAT, TUC) hayan vencido. La suspensión se registra en audit_log.</w:t>
      </w:r>
    </w:p>
    <w:p>
      <w:pPr>
        <w:pStyle w:val="Heading2"/>
        <w:spacing w:after="160" w:before="280"/>
      </w:pPr>
      <w:r>
        <w:t xml:space="preserve">5.4. Rating ponderado del conductor</w:t>
      </w:r>
    </w:p>
    <w:p>
      <w:pPr>
        <w:spacing w:after="120"/>
      </w:pPr>
      <w:r>
        <w:t xml:space="preserve">Tras insertar un rating con direction = PASSENGER_TO_DRIVER, un trigger recalcula rating_avg y rating_count en la tabla drivers. Solo cuando rating_count ≥ 50 y rating_avg ≥ 4.5, el conductor obtiene acceso a los beneficios extra (descuentos en talleres, prioridad de asignación).</w:t>
      </w:r>
    </w:p>
    <w:p>
      <w:pPr>
        <w:pStyle w:val="Heading2"/>
        <w:spacing w:after="160" w:before="280"/>
      </w:pPr>
      <w:r>
        <w:t xml:space="preserve">5.5. FK exclusiva en documents</w:t>
      </w:r>
    </w:p>
    <w:p>
      <w:pPr>
        <w:spacing w:after="120"/>
      </w:pPr>
      <w:r>
        <w:t xml:space="preserve">La columna user_id, vehicle_id y company_id en la tabla documents son mutuamente excluyentes (CHECK constraint). Esto permite que la tabla sea reutilizable sin recurrir a herencia, manteniendo la integridad referencial.</w:t>
      </w:r>
    </w:p>
    <w:p>
      <w:r>
        <w:br w:type="page"/>
      </w:r>
    </w:p>
    <w:p>
      <w:pPr>
        <w:pStyle w:val="Heading1"/>
        <w:spacing w:after="200" w:before="360"/>
      </w:pPr>
      <w:r>
        <w:t xml:space="preserve">6. Normalización</w:t>
      </w:r>
    </w:p>
    <w:p>
      <w:pPr>
        <w:spacing w:after="120"/>
      </w:pPr>
      <w:r>
        <w:t xml:space="preserve">El modelo se encuentra en Tercera Forma Normal (3FN), con desnormalizaciones controladas y justificadas únicamente por rendimiento.</w:t>
      </w:r>
    </w:p>
    <w:p>
      <w:pPr>
        <w:pStyle w:val="Heading2"/>
        <w:spacing w:after="160" w:before="280"/>
      </w:pPr>
      <w:r>
        <w:t xml:space="preserve">6.1. Cumplimiento de las formas normales</w:t>
      </w:r>
    </w:p>
    <w:p>
      <w:pPr>
        <w:pStyle w:val="ListParagraph"/>
        <w:numPr>
          <w:ilvl w:val="0"/>
          <w:numId w:val="2"/>
        </w:numPr>
        <w:spacing w:after="80"/>
      </w:pPr>
      <w:r>
        <w:rPr>
          <w:b/>
          <w:bCs/>
        </w:rPr>
        <w:t xml:space="preserve">1FN: </w:t>
      </w:r>
      <w:r>
        <w:t xml:space="preserve">Todos los atributos son atómicos. Los pocos atributos compuestos potenciales (dirección, geocercas) se modelan en tablas separadas o como tipos GEOMETRY de PostGIS.</w:t>
      </w:r>
    </w:p>
    <w:p>
      <w:pPr>
        <w:pStyle w:val="ListParagraph"/>
        <w:numPr>
          <w:ilvl w:val="0"/>
          <w:numId w:val="2"/>
        </w:numPr>
        <w:spacing w:after="80"/>
      </w:pPr>
      <w:r>
        <w:rPr>
          <w:b/>
          <w:bCs/>
        </w:rPr>
        <w:t xml:space="preserve">2FN: </w:t>
      </w:r>
      <w:r>
        <w:t xml:space="preserve">No hay dependencias parciales: cada tabla con clave compuesta (ej. ratings) tiene atributos no clave que dependen del conjunto completo de la clave.</w:t>
      </w:r>
    </w:p>
    <w:p>
      <w:pPr>
        <w:pStyle w:val="ListParagraph"/>
        <w:numPr>
          <w:ilvl w:val="0"/>
          <w:numId w:val="2"/>
        </w:numPr>
        <w:spacing w:after="80"/>
      </w:pPr>
      <w:r>
        <w:rPr>
          <w:b/>
          <w:bCs/>
        </w:rPr>
        <w:t xml:space="preserve">3FN: </w:t>
      </w:r>
      <w:r>
        <w:t xml:space="preserve">No hay dependencias transitivas: por ejemplo, el código SUNAT depende del invoice y no se replica en payments.</w:t>
      </w:r>
    </w:p>
    <w:p>
      <w:pPr>
        <w:pStyle w:val="Heading2"/>
        <w:spacing w:after="160" w:before="280"/>
      </w:pPr>
      <w:r>
        <w:t xml:space="preserve">6.2. Desnormalizaciones controladas</w:t>
      </w:r>
    </w:p>
    <w:p>
      <w:pPr>
        <w:spacing w:after="120"/>
      </w:pPr>
      <w:r>
        <w:t xml:space="preserve">Se aceptan tres desnormalizaciones, todas mantenidas por triggers:</w:t>
      </w:r>
    </w:p>
    <w:p>
      <w:pPr>
        <w:pStyle w:val="ListParagraph"/>
        <w:numPr>
          <w:ilvl w:val="0"/>
          <w:numId w:val="2"/>
        </w:numPr>
        <w:spacing w:after="80"/>
      </w:pPr>
      <w:r>
        <w:rPr>
          <w:b/>
          <w:bCs/>
        </w:rPr>
        <w:t xml:space="preserve">drivers.rating_avg y rating_count: </w:t>
      </w:r>
      <w:r>
        <w:t xml:space="preserve">evita un agregado costoso en cada lectura del perfil.</w:t>
      </w:r>
    </w:p>
    <w:p>
      <w:pPr>
        <w:pStyle w:val="ListParagraph"/>
        <w:numPr>
          <w:ilvl w:val="0"/>
          <w:numId w:val="2"/>
        </w:numPr>
        <w:spacing w:after="80"/>
      </w:pPr>
      <w:r>
        <w:rPr>
          <w:b/>
          <w:bCs/>
        </w:rPr>
        <w:t xml:space="preserve">trips.seats_taken: </w:t>
      </w:r>
      <w:r>
        <w:t xml:space="preserve">permite validar capacidad sin contar bookings cada vez.</w:t>
      </w:r>
    </w:p>
    <w:p>
      <w:pPr>
        <w:pStyle w:val="ListParagraph"/>
        <w:numPr>
          <w:ilvl w:val="0"/>
          <w:numId w:val="2"/>
        </w:numPr>
        <w:spacing w:after="80"/>
      </w:pPr>
      <w:r>
        <w:rPr>
          <w:b/>
          <w:bCs/>
        </w:rPr>
        <w:t xml:space="preserve">settlements.gross_income, expenses_reimbursed, net_payout: </w:t>
      </w:r>
      <w:r>
        <w:t xml:space="preserve">se cierran al aprobar la liquidación; quedan congelados como snapshot histórico.</w:t>
      </w:r>
    </w:p>
    <w:p>
      <w:r>
        <w:br w:type="page"/>
      </w:r>
    </w:p>
    <w:p>
      <w:pPr>
        <w:pStyle w:val="Heading1"/>
        <w:spacing w:after="200" w:before="360"/>
      </w:pPr>
      <w:r>
        <w:t xml:space="preserve">7. Índices y Rendimiento</w:t>
      </w:r>
    </w:p>
    <w:p>
      <w:pPr>
        <w:spacing w:after="120"/>
      </w:pPr>
      <w:r>
        <w:t xml:space="preserve">Se identifican los siguientes índices, derivados de los patrones de consulta más frecuentes en el prototipo.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Índice</w:t>
            </w:r>
          </w:p>
        </w:tc>
        <w:tc>
          <w:tcPr>
            <w:tcW w:type="dxa" w:w="320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Columnas</w:t>
            </w:r>
          </w:p>
        </w:tc>
        <w:tc>
          <w:tcPr>
            <w:tcW w:type="dxa" w:w="3160"/>
            <w:tcBorders>
              <w:top w:val="single" w:color="CCCCCC" w:sz="4"/>
              <w:left w:val="single" w:color="CCCCCC" w:sz="4"/>
              <w:bottom w:val="single" w:color="CCCCCC" w:sz="4"/>
              <w:right w:val="single" w:color="CCCCCC" w:sz="4"/>
            </w:tcBorders>
            <w:shd w:fill="0F1B2D" w:val="clear"/>
            <w:tcMar>
              <w:top w:type="dxa" w:w="80"/>
              <w:left w:type="dxa" w:w="120"/>
              <w:bottom w:type="dxa" w:w="80"/>
              <w:right w:type="dxa" w:w="120"/>
            </w:tcMar>
          </w:tcPr>
          <w:p>
            <w:r>
              <w:rPr>
                <w:b/>
                <w:bCs/>
                <w:color w:val="FFFFFF"/>
                <w:sz w:val="18"/>
                <w:szCs w:val="18"/>
              </w:rPr>
              <w:t xml:space="preserve">Justificación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idx_users_phone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users(phone_e164)</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Login por teléfono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idx_drivers_status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drivers(status)</w:t>
            </w:r>
          </w:p>
        </w:tc>
        <w:tc>
          <w:tcPr>
            <w:tcW w:type="dxa" w:w="3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Listado de conductores activos en panel admin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idx_vehicles_company</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vehicles(company_id, status)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Flota por empresa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idx_trips_route_sched</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trips(route_id, scheduled_at)</w:t>
            </w:r>
          </w:p>
        </w:tc>
        <w:tc>
          <w:tcPr>
            <w:tcW w:type="dxa" w:w="3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Búsqueda de viajes disponibles por ruta y fecha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idx_trips_driver_status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trips(driver_id, status)</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Panel del día del conductor</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idx_bookings_passenger</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bookings(passenger_id, status)</w:t>
            </w:r>
          </w:p>
        </w:tc>
        <w:tc>
          <w:tcPr>
            <w:tcW w:type="dxa" w:w="3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Historial del pasajero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idx_payments_status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payments(status, captured_at)</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Conciliación financiera</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idx_trip_loc_trip_ts</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trip_locations(trip_id, captured_at)</w:t>
            </w:r>
          </w:p>
        </w:tc>
        <w:tc>
          <w:tcPr>
            <w:tcW w:type="dxa" w:w="3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Reproducción del trayecto</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idx_audit_table_rec</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audit_log(table_name, record_id)</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sz w:val="18"/>
                <w:szCs w:val="18"/>
              </w:rPr>
              <w:t xml:space="preserve">Trazabilidad por registro</w:t>
            </w:r>
          </w:p>
        </w:tc>
      </w:tr>
      <w:tr>
        <w:tc>
          <w:tcPr>
            <w:tcW w:type="dxa" w:w="30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idx_b2g_jur_date</w:t>
            </w:r>
          </w:p>
        </w:tc>
        <w:tc>
          <w:tcPr>
            <w:tcW w:type="dxa" w:w="320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b2g_api_access_log(jurisdiction_id, accessed_at)</w:t>
            </w:r>
          </w:p>
        </w:tc>
        <w:tc>
          <w:tcPr>
            <w:tcW w:type="dxa" w:w="3160"/>
            <w:tcBorders>
              <w:top w:val="single" w:color="CCCCCC" w:sz="4"/>
              <w:left w:val="single" w:color="CCCCCC" w:sz="4"/>
              <w:bottom w:val="single" w:color="CCCCCC" w:sz="4"/>
              <w:right w:val="single" w:color="CCCCCC" w:sz="4"/>
            </w:tcBorders>
            <w:shd w:fill="F3F4F6" w:val="clear"/>
            <w:tcMar>
              <w:top w:type="dxa" w:w="80"/>
              <w:left w:type="dxa" w:w="120"/>
              <w:bottom w:type="dxa" w:w="80"/>
              <w:right w:type="dxa" w:w="120"/>
            </w:tcMar>
          </w:tcPr>
          <w:p>
            <w:r>
              <w:rPr>
                <w:sz w:val="18"/>
                <w:szCs w:val="18"/>
              </w:rPr>
              <w:t xml:space="preserve">Auditoría de accesos B2G</w:t>
            </w:r>
          </w:p>
        </w:tc>
      </w:tr>
    </w:tbl>
    <w:p>
      <w:pPr>
        <w:spacing w:after="120"/>
      </w:pPr>
      <w:r>
        <w:t xml:space="preserve">Para el GPS de los viajes (trip_locations), si el volumen lo justifica en producción, se evaluará migrar a una tabla particionada por mes y/o adoptar PostGIS para búsquedas espaciales.</w:t>
      </w:r>
    </w:p>
    <w:p>
      <w:r>
        <w:br w:type="page"/>
      </w:r>
    </w:p>
    <w:p>
      <w:pPr>
        <w:pStyle w:val="Heading1"/>
        <w:spacing w:after="200" w:before="360"/>
      </w:pPr>
      <w:r>
        <w:t xml:space="preserve">8. Seguridad y Privacidad</w:t>
      </w:r>
    </w:p>
    <w:p>
      <w:pPr>
        <w:pStyle w:val="Heading2"/>
        <w:spacing w:after="160" w:before="280"/>
      </w:pPr>
      <w:r>
        <w:t xml:space="preserve">8.1. Datos sensibles</w:t>
      </w:r>
    </w:p>
    <w:p>
      <w:pPr>
        <w:pStyle w:val="ListParagraph"/>
        <w:numPr>
          <w:ilvl w:val="0"/>
          <w:numId w:val="2"/>
        </w:numPr>
        <w:spacing w:after="80"/>
      </w:pPr>
      <w:r>
        <w:rPr>
          <w:b/>
          <w:bCs/>
        </w:rPr>
        <w:t xml:space="preserve">Contraseñas: </w:t>
      </w:r>
      <w:r>
        <w:t xml:space="preserve">almacenadas como hash bcrypt (cost factor ≥ 12). Nunca en texto plano.</w:t>
      </w:r>
    </w:p>
    <w:p>
      <w:pPr>
        <w:pStyle w:val="ListParagraph"/>
        <w:numPr>
          <w:ilvl w:val="0"/>
          <w:numId w:val="2"/>
        </w:numPr>
        <w:spacing w:after="80"/>
      </w:pPr>
      <w:r>
        <w:rPr>
          <w:b/>
          <w:bCs/>
        </w:rPr>
        <w:t xml:space="preserve">Tarjetas de pago: </w:t>
      </w:r>
      <w:r>
        <w:t xml:space="preserve">no se guarda el PAN. Se almacena únicamente el token devuelto por la pasarela (Niubiz / Izipay), cumpliendo PCI DSS por delegación.</w:t>
      </w:r>
    </w:p>
    <w:p>
      <w:pPr>
        <w:pStyle w:val="ListParagraph"/>
        <w:numPr>
          <w:ilvl w:val="0"/>
          <w:numId w:val="2"/>
        </w:numPr>
        <w:spacing w:after="80"/>
      </w:pPr>
      <w:r>
        <w:rPr>
          <w:b/>
          <w:bCs/>
        </w:rPr>
        <w:t xml:space="preserve">Documentos digitalizados: </w:t>
      </w:r>
      <w:r>
        <w:t xml:space="preserve">almacenados en S3 con cifrado en reposo y URLs firmadas con expiración de 5 minutos.</w:t>
      </w:r>
    </w:p>
    <w:p>
      <w:pPr>
        <w:pStyle w:val="ListParagraph"/>
        <w:numPr>
          <w:ilvl w:val="0"/>
          <w:numId w:val="2"/>
        </w:numPr>
        <w:spacing w:after="80"/>
      </w:pPr>
      <w:r>
        <w:rPr>
          <w:b/>
          <w:bCs/>
        </w:rPr>
        <w:t xml:space="preserve">DNI y datos personales: </w:t>
      </w:r>
      <w:r>
        <w:t xml:space="preserve">el acceso desde el panel administrativo se registra en audit_log; las consultas B2G se limitan a datos agregados o anonimizados.</w:t>
      </w:r>
    </w:p>
    <w:p>
      <w:pPr>
        <w:pStyle w:val="Heading2"/>
        <w:spacing w:after="160" w:before="280"/>
      </w:pPr>
      <w:r>
        <w:t xml:space="preserve">8.2. Cumplimiento normativo peruano</w:t>
      </w:r>
    </w:p>
    <w:p>
      <w:pPr>
        <w:pStyle w:val="ListParagraph"/>
        <w:numPr>
          <w:ilvl w:val="0"/>
          <w:numId w:val="2"/>
        </w:numPr>
        <w:spacing w:after="80"/>
      </w:pPr>
      <w:r>
        <w:t xml:space="preserve">Ley N.° 29733 de Protección de Datos Personales: las personas titulares pueden ejercer sus derechos ARCO; la base soporta el borrado lógico (status BLOCKED) y el borrado físico bajo solicitud formal.</w:t>
      </w:r>
    </w:p>
    <w:p>
      <w:pPr>
        <w:pStyle w:val="ListParagraph"/>
        <w:numPr>
          <w:ilvl w:val="0"/>
          <w:numId w:val="2"/>
        </w:numPr>
        <w:spacing w:after="80"/>
      </w:pPr>
      <w:r>
        <w:t xml:space="preserve">Reglamento de Comprobantes de Pago Electrónicos SUNAT: la tabla invoices guarda XML, PDF y código hash de cada boleta.</w:t>
      </w:r>
    </w:p>
    <w:p>
      <w:pPr>
        <w:pStyle w:val="ListParagraph"/>
        <w:numPr>
          <w:ilvl w:val="0"/>
          <w:numId w:val="2"/>
        </w:numPr>
        <w:spacing w:after="80"/>
      </w:pPr>
      <w:r>
        <w:t xml:space="preserve">Convenios de data-sharing con ATU/MTC: registrados en jurisdictions.agreement_signed; cada acceso queda en b2g_api_access_log.</w:t>
      </w:r>
    </w:p>
    <w:p>
      <w:pPr>
        <w:pStyle w:val="Heading2"/>
        <w:spacing w:after="160" w:before="280"/>
      </w:pPr>
      <w:r>
        <w:t xml:space="preserve">8.3. Roles y permisos en la base de datos</w:t>
      </w:r>
    </w:p>
    <w:p>
      <w:pPr>
        <w:pStyle w:val="ListParagraph"/>
        <w:numPr>
          <w:ilvl w:val="0"/>
          <w:numId w:val="2"/>
        </w:numPr>
        <w:spacing w:after="80"/>
      </w:pPr>
      <w:r>
        <w:t xml:space="preserve">chaski_app: rol de aplicación (lectura/escritura sobre tablas operativas, sin DDL).</w:t>
      </w:r>
    </w:p>
    <w:p>
      <w:pPr>
        <w:pStyle w:val="ListParagraph"/>
        <w:numPr>
          <w:ilvl w:val="0"/>
          <w:numId w:val="2"/>
        </w:numPr>
        <w:spacing w:after="80"/>
      </w:pPr>
      <w:r>
        <w:t xml:space="preserve">chaski_b2g: rol de solo lectura sobre vistas curadas para entidades de gobierno.</w:t>
      </w:r>
    </w:p>
    <w:p>
      <w:pPr>
        <w:pStyle w:val="ListParagraph"/>
        <w:numPr>
          <w:ilvl w:val="0"/>
          <w:numId w:val="2"/>
        </w:numPr>
        <w:spacing w:after="80"/>
      </w:pPr>
      <w:r>
        <w:t xml:space="preserve">chaski_admin: rol del panel administrativo, con permisos sobre la flota, conductores y reportes.</w:t>
      </w:r>
    </w:p>
    <w:p>
      <w:pPr>
        <w:pStyle w:val="ListParagraph"/>
        <w:numPr>
          <w:ilvl w:val="0"/>
          <w:numId w:val="2"/>
        </w:numPr>
        <w:spacing w:after="80"/>
      </w:pPr>
      <w:r>
        <w:t xml:space="preserve">chaski_dba: rol con privilegios completos, restringido y auditado por sesión.</w:t>
      </w:r>
    </w:p>
    <w:p>
      <w:r>
        <w:br w:type="page"/>
      </w:r>
    </w:p>
    <w:p>
      <w:pPr>
        <w:pStyle w:val="Heading1"/>
        <w:spacing w:after="200" w:before="360"/>
      </w:pPr>
      <w:r>
        <w:t xml:space="preserve">9. Entregables y Próximos Pasos</w:t>
      </w:r>
    </w:p>
    <w:p>
      <w:pPr>
        <w:pStyle w:val="Heading2"/>
        <w:spacing w:after="160" w:before="280"/>
      </w:pPr>
      <w:r>
        <w:t xml:space="preserve">9.1. Archivos de esta etapa</w:t>
      </w:r>
    </w:p>
    <w:p>
      <w:pPr>
        <w:pStyle w:val="ListParagraph"/>
        <w:numPr>
          <w:ilvl w:val="0"/>
          <w:numId w:val="2"/>
        </w:numPr>
        <w:spacing w:after="80"/>
      </w:pPr>
      <w:r>
        <w:t xml:space="preserve">chaskirutas_prototype.html: prototipo funcional navegable con 31 pantallas (pasajero, conductor, panel administrativo).</w:t>
      </w:r>
    </w:p>
    <w:p>
      <w:pPr>
        <w:pStyle w:val="ListParagraph"/>
        <w:numPr>
          <w:ilvl w:val="0"/>
          <w:numId w:val="2"/>
        </w:numPr>
        <w:spacing w:after="80"/>
      </w:pPr>
      <w:r>
        <w:t xml:space="preserve">chaskirutas_schema.sql: script PostgreSQL 15+ con la creación completa del esquema (36 tablas, 15 enumerados, 3 vistas, triggers de cumplimiento, seeds mínimos).</w:t>
      </w:r>
    </w:p>
    <w:p>
      <w:pPr>
        <w:pStyle w:val="ListParagraph"/>
        <w:numPr>
          <w:ilvl w:val="0"/>
          <w:numId w:val="2"/>
        </w:numPr>
        <w:spacing w:after="80"/>
      </w:pPr>
      <w:r>
        <w:t xml:space="preserve">Diseño_BD_ChaskiRutas.docx: este documento.</w:t>
      </w:r>
    </w:p>
    <w:p>
      <w:pPr>
        <w:pStyle w:val="Heading2"/>
        <w:spacing w:after="160" w:before="280"/>
      </w:pPr>
      <w:r>
        <w:t xml:space="preserve">9.2. Tecnologías propuestas</w:t>
      </w:r>
    </w:p>
    <w:p>
      <w:pPr>
        <w:pStyle w:val="ListParagraph"/>
        <w:numPr>
          <w:ilvl w:val="0"/>
          <w:numId w:val="2"/>
        </w:numPr>
        <w:spacing w:after="80"/>
      </w:pPr>
      <w:r>
        <w:rPr>
          <w:b/>
          <w:bCs/>
        </w:rPr>
        <w:t xml:space="preserve">Motor: </w:t>
      </w:r>
      <w:r>
        <w:t xml:space="preserve">PostgreSQL 15+ (con extensión PostGIS opcional para geocercas).</w:t>
      </w:r>
    </w:p>
    <w:p>
      <w:pPr>
        <w:pStyle w:val="ListParagraph"/>
        <w:numPr>
          <w:ilvl w:val="0"/>
          <w:numId w:val="2"/>
        </w:numPr>
        <w:spacing w:after="80"/>
      </w:pPr>
      <w:r>
        <w:rPr>
          <w:b/>
          <w:bCs/>
        </w:rPr>
        <w:t xml:space="preserve">Hosting: </w:t>
      </w:r>
      <w:r>
        <w:t xml:space="preserve">AWS RDS Multi-AZ con backups automáticos cada 6 horas.</w:t>
      </w:r>
    </w:p>
    <w:p>
      <w:pPr>
        <w:pStyle w:val="ListParagraph"/>
        <w:numPr>
          <w:ilvl w:val="0"/>
          <w:numId w:val="2"/>
        </w:numPr>
        <w:spacing w:after="80"/>
      </w:pPr>
      <w:r>
        <w:rPr>
          <w:b/>
          <w:bCs/>
        </w:rPr>
        <w:t xml:space="preserve">Almacenamiento de archivos: </w:t>
      </w:r>
      <w:r>
        <w:t xml:space="preserve">AWS S3 con versionado y URLs firmadas.</w:t>
      </w:r>
    </w:p>
    <w:p>
      <w:pPr>
        <w:pStyle w:val="ListParagraph"/>
        <w:numPr>
          <w:ilvl w:val="0"/>
          <w:numId w:val="2"/>
        </w:numPr>
        <w:spacing w:after="80"/>
      </w:pPr>
      <w:r>
        <w:rPr>
          <w:b/>
          <w:bCs/>
        </w:rPr>
        <w:t xml:space="preserve">Capa aplicativa: </w:t>
      </w:r>
      <w:r>
        <w:t xml:space="preserve">Node.js / Spring Boot exponiendo APIs REST consumidas por la app móvil y el panel web.</w:t>
      </w:r>
    </w:p>
    <w:p>
      <w:pPr>
        <w:pStyle w:val="Heading2"/>
        <w:spacing w:after="160" w:before="280"/>
      </w:pPr>
      <w:r>
        <w:t xml:space="preserve">9.3. Siguientes etapas</w:t>
      </w:r>
    </w:p>
    <w:p>
      <w:pPr>
        <w:pStyle w:val="ListParagraph"/>
        <w:numPr>
          <w:ilvl w:val="0"/>
          <w:numId w:val="2"/>
        </w:numPr>
        <w:spacing w:after="80"/>
      </w:pPr>
      <w:r>
        <w:t xml:space="preserve">Etapa 2: Modelo de tarifas dinámicas, motor de promociones y cupones, integración con pasarelas.</w:t>
      </w:r>
    </w:p>
    <w:p>
      <w:pPr>
        <w:pStyle w:val="ListParagraph"/>
        <w:numPr>
          <w:ilvl w:val="0"/>
          <w:numId w:val="2"/>
        </w:numPr>
        <w:spacing w:after="80"/>
      </w:pPr>
      <w:r>
        <w:t xml:space="preserve">Etapa 3: Data warehouse analítico (modelo dimensional) para reportes B2G de Big Data.</w:t>
      </w:r>
    </w:p>
    <w:p>
      <w:pPr>
        <w:pStyle w:val="ListParagraph"/>
        <w:numPr>
          <w:ilvl w:val="0"/>
          <w:numId w:val="2"/>
        </w:numPr>
        <w:spacing w:after="80"/>
      </w:pPr>
      <w:r>
        <w:t xml:space="preserve">Etapa 4: Integración real con SUNAT (facturación electrónica vía OSE) y con la API de la ATU.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ChaskiRutas – Diseño de Base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B2D"/>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B5A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Base de Datos – ChaskiRutas</dc:title>
  <dc:creator>Grupo 10 - FISI UNMSM</dc:creator>
  <dc:description>Diseño de base de datos primera etapa del proyecto ChaskiRutas</dc:description>
  <cp:lastModifiedBy>Un-named</cp:lastModifiedBy>
  <cp:revision>1</cp:revision>
  <dcterms:created xsi:type="dcterms:W3CDTF">2026-05-10T18:41:54.854Z</dcterms:created>
  <dcterms:modified xsi:type="dcterms:W3CDTF">2026-05-10T18:41:54.870Z</dcterms:modified>
</cp:coreProperties>
</file>

<file path=docProps/custom.xml><?xml version="1.0" encoding="utf-8"?>
<Properties xmlns="http://schemas.openxmlformats.org/officeDocument/2006/custom-properties" xmlns:vt="http://schemas.openxmlformats.org/officeDocument/2006/docPropsVTypes"/>
</file>