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COMPRENDRE</w:t>
      </w:r>
    </w:p>
    <w:p>
      <w:pPr>
        <w:spacing w:after="240" w:before="0"/>
        <w:jc w:val="center"/>
      </w:pPr>
      <w:r>
        <w:rPr>
          <w:rFonts w:ascii="Arial" w:cs="Arial" w:eastAsia="Arial" w:hAnsi="Arial"/>
          <w:b/>
          <w:bCs/>
          <w:color w:val="C9971E"/>
          <w:sz w:val="56"/>
          <w:szCs w:val="56"/>
        </w:rPr>
        <w:t xml:space="preserve">OPTIMUM CONTROL</w:t>
      </w:r>
    </w:p>
    <w:p>
      <w:pPr>
        <w:pBdr>
          <w:bottom w:val="single" w:color="C9971E" w:sz="6" w:space="8"/>
        </w:pBdr>
        <w:spacing w:after="1200" w:before="0"/>
        <w:jc w:val="center"/>
      </w:pPr>
      <w:r>
        <w:rPr>
          <w:rFonts w:ascii="Arial" w:cs="Arial" w:eastAsia="Arial" w:hAnsi="Arial"/>
          <w:i/>
          <w:iCs/>
          <w:color w:val="595959"/>
          <w:sz w:val="28"/>
          <w:szCs w:val="28"/>
        </w:rPr>
        <w:t xml:space="preserve">Guide d'apprentissage complet</w:t>
      </w:r>
    </w:p>
    <w:p>
      <w:pPr>
        <w:spacing w:after="80" w:before="2400"/>
        <w:jc w:val="center"/>
      </w:pPr>
      <w:r>
        <w:rPr>
          <w:rFonts w:ascii="Arial" w:cs="Arial" w:eastAsia="Arial" w:hAnsi="Arial"/>
          <w:color w:val="595959"/>
          <w:sz w:val="22"/>
          <w:szCs w:val="22"/>
        </w:rPr>
        <w:t xml:space="preserve">Logique, terminologie et fonctionnement du logiciel</w:t>
      </w:r>
    </w:p>
    <w:p>
      <w:pPr>
        <w:spacing w:after="80"/>
        <w:jc w:val="center"/>
      </w:pPr>
      <w:r>
        <w:rPr>
          <w:rFonts w:ascii="Arial" w:cs="Arial" w:eastAsia="Arial" w:hAnsi="Arial"/>
          <w:color w:val="595959"/>
          <w:sz w:val="22"/>
          <w:szCs w:val="22"/>
        </w:rPr>
        <w:t xml:space="preserve">de gestion d'inventaire et de coûts alimentaires</w:t>
      </w:r>
    </w:p>
    <w:p>
      <w:pPr>
        <w:spacing w:after="1600"/>
        <w:jc w:val="center"/>
      </w:pPr>
      <w:r>
        <w:rPr>
          <w:rFonts w:ascii="Arial" w:cs="Arial" w:eastAsia="Arial" w:hAnsi="Arial"/>
          <w:color w:val="595959"/>
          <w:sz w:val="22"/>
          <w:szCs w:val="22"/>
        </w:rPr>
        <w:t xml:space="preserve">TracRite Software Inc.</w:t>
      </w:r>
    </w:p>
    <w:p>
      <w:pPr>
        <w:spacing w:before="2000"/>
        <w:jc w:val="center"/>
      </w:pPr>
      <w:r>
        <w:rPr>
          <w:rFonts w:ascii="Arial" w:cs="Arial" w:eastAsia="Arial" w:hAnsi="Arial"/>
          <w:i/>
          <w:iCs/>
          <w:color w:val="999999"/>
          <w:sz w:val="18"/>
          <w:szCs w:val="18"/>
        </w:rPr>
        <w:t xml:space="preserve">Document de référence personnel — basé sur le manuel officiel</w:t>
      </w:r>
    </w:p>
    <w:p>
      <w:pPr>
        <w:spacing w:after="0"/>
        <w:jc w:val="center"/>
      </w:pPr>
      <w:r>
        <w:rPr>
          <w:rFonts w:ascii="Arial" w:cs="Arial" w:eastAsia="Arial" w:hAnsi="Arial"/>
          <w:i/>
          <w:iCs/>
          <w:color w:val="999999"/>
          <w:sz w:val="18"/>
          <w:szCs w:val="18"/>
        </w:rPr>
        <w:t xml:space="preserve">Optimum Control Help File (TracRite Software Inc.)</w:t>
      </w:r>
    </w:p>
    <w:p>
      <w:r>
        <w:br w:type="page"/>
      </w:r>
    </w:p>
    <w:p>
      <w:pPr>
        <w:pStyle w:val="Heading1"/>
      </w:pPr>
      <w:r>
        <w:t xml:space="preserve">Table des matières</w:t>
      </w:r>
    </w:p>
    <w:p>
      <w:pPr>
        <w:spacing w:after="160"/>
      </w:pPr>
      <w:r>
        <w:rPr>
          <w:rFonts w:ascii="Arial" w:cs="Arial" w:eastAsia="Arial" w:hAnsi="Arial"/>
          <w:i/>
          <w:iCs/>
          <w:color w:val="595959"/>
          <w:sz w:val="18"/>
          <w:szCs w:val="18"/>
        </w:rPr>
        <w:t xml:space="preserve">Si les numéros de page n'apparaissent pas immédiatement, cliquez n'importe où dans la table puis appuyez sur F9 (ou faites un clic droit → Mettre à jour les champs).</w:t>
      </w:r>
    </w:p>
    <w:p>
      <w:pPr>
        <w:spacing w:after="120"/>
      </w:pPr>
      <w: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Chapitre 1 — Vue d'ensemble</w:t>
      </w:r>
    </w:p>
    <w:p>
      <w:pPr>
        <w:spacing w:after="160"/>
      </w:pPr>
      <w:r>
        <w:rPr>
          <w:rFonts w:ascii="Arial" w:cs="Arial" w:eastAsia="Arial" w:hAnsi="Arial"/>
          <w:sz w:val="22"/>
          <w:szCs w:val="22"/>
        </w:rPr>
        <w:t xml:space="preserve">Optimum Control est un logiciel de gestion d'inventaire, de coûts alimentaires et de ventes conçu pour les restaurants, bars, hôtels et chaînes multi-établissements. Il a été développé par TracRite Software Inc. Sa logique centrale repose sur un triangle simple : ce que vous achetez, ce que vous transformez en recettes, et ce que vous vendez.</w:t>
      </w:r>
    </w:p>
    <w:p>
      <w:pPr>
        <w:pStyle w:val="Heading2"/>
      </w:pPr>
      <w:r>
        <w:t xml:space="preserve">Le triangle Items → Recettes → Ventes</w:t>
      </w:r>
    </w:p>
    <w:p>
      <w:pPr>
        <w:spacing w:after="160"/>
      </w:pPr>
      <w:r>
        <w:rPr>
          <w:rFonts w:ascii="Arial" w:cs="Arial" w:eastAsia="Arial" w:hAnsi="Arial"/>
          <w:sz w:val="22"/>
          <w:szCs w:val="22"/>
        </w:rPr>
        <w:t xml:space="preserve">Tout dans Optimum Control découle de trois piliers interconnectés :</w:t>
      </w:r>
    </w:p>
    <w:p>
      <w:pPr>
        <w:pStyle w:val="ListParagraph"/>
        <w:numPr>
          <w:ilvl w:val="0"/>
          <w:numId w:val="2"/>
        </w:numPr>
        <w:spacing w:after="100"/>
      </w:pPr>
      <w:r>
        <w:rPr>
          <w:rFonts w:ascii="Arial" w:cs="Arial" w:eastAsia="Arial" w:hAnsi="Arial"/>
          <w:sz w:val="22"/>
          <w:szCs w:val="22"/>
        </w:rPr>
        <w:t xml:space="preserve">Items (Items d'inventaire) — Ce que vous achetez auprès de vos fournisseurs : la farine, le bœuf haché, les boîtes de ketchup, les serviettes en papier.</w:t>
      </w:r>
    </w:p>
    <w:p>
      <w:pPr>
        <w:pStyle w:val="ListParagraph"/>
        <w:numPr>
          <w:ilvl w:val="0"/>
          <w:numId w:val="2"/>
        </w:numPr>
        <w:spacing w:after="100"/>
      </w:pPr>
      <w:r>
        <w:rPr>
          <w:rFonts w:ascii="Arial" w:cs="Arial" w:eastAsia="Arial" w:hAnsi="Arial"/>
          <w:sz w:val="22"/>
          <w:szCs w:val="22"/>
        </w:rPr>
        <w:t xml:space="preserve">Recettes (Preps et Products) — La transformation des items en plats. Les Preps sont des préparations intermédiaires (une sauce, un fond de tarte). Les Products sont ce que le client commande au menu.</w:t>
      </w:r>
    </w:p>
    <w:p>
      <w:pPr>
        <w:pStyle w:val="ListParagraph"/>
        <w:numPr>
          <w:ilvl w:val="0"/>
          <w:numId w:val="2"/>
        </w:numPr>
        <w:spacing w:after="100"/>
      </w:pPr>
      <w:r>
        <w:rPr>
          <w:rFonts w:ascii="Arial" w:cs="Arial" w:eastAsia="Arial" w:hAnsi="Arial"/>
          <w:sz w:val="22"/>
          <w:szCs w:val="22"/>
        </w:rPr>
        <w:t xml:space="preserve">Ventes (Sales Mix) — Ce qui sort réellement de la cuisine, généralement importé depuis votre système de caisse (POS) ou saisi manuellement.</w:t>
      </w:r>
    </w:p>
    <w:p>
      <w:pPr>
        <w:spacing w:after="160"/>
      </w:pPr>
      <w:r>
        <w:rPr>
          <w:rFonts w:ascii="Arial" w:cs="Arial" w:eastAsia="Arial" w:hAnsi="Arial"/>
          <w:sz w:val="22"/>
          <w:szCs w:val="22"/>
        </w:rPr>
        <w:t xml:space="preserve">Le logiciel calcule en permanence deux quantités pour comparaison : l'usage Actuel (ce qui a physiquement disparu du stock, calculé à partir des achats et des comptages) et l'usage Idéal (ce qui aurait dû disparaître, calculé à partir des recettes et des ventes enregistrées). L'écart entre les deux est votre indicateur de pertes, de vol ou d'erreurs de 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Principe fondamental</w:t>
            </w:r>
          </w:p>
          <w:p>
            <w:pPr>
              <w:spacing w:after="0"/>
            </w:pPr>
            <w:r>
              <w:rPr>
                <w:rFonts w:ascii="Arial" w:cs="Arial" w:eastAsia="Arial" w:hAnsi="Arial"/>
                <w:sz w:val="21"/>
                <w:szCs w:val="21"/>
              </w:rPr>
              <w:t xml:space="preserve">Le stock ne bouge que par deux portes : les factures (entrée de stock) et les ventes liées (sortie de stock). Tout le reste — comptages, ajustements, rapports — sert à vérifier ou corriger ce mouvement théorique.</w:t>
            </w:r>
          </w:p>
        </w:tc>
      </w:tr>
    </w:tbl>
    <w:p>
      <w:pPr>
        <w:pStyle w:val="Heading2"/>
      </w:pPr>
      <w:r>
        <w:t xml:space="preserve">Vocabulaire essentiel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ingrédient ou produit acheté tel quel auprès d'un fournisseur (ex. : farine, bœuf haché).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Prep (Prep/Batch Recipe)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Une préparation intermédiaire transformée en cuisine (une sauce, une viande tranchée, un bouillon).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article du menu vendu au client, composé d'Items et/ou de Preps.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UOM (Unit of Measure)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Unité de mesure (once, gramme, chacun, litre…) utilisée pour suivre un item.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Size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 taille du conditionnement d'achat (caisse, boîte, sac).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Order Code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code article utilisé par le fournisseur pour identifier le produit.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Yield / Waste Factor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utilisable d'un item après perte (épluchage, cuisson, etc.).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Sales Mix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L'ensemble des ventes par produit pour une période donnée, importé du POS ou saisi manuellement.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Usage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rapport comparant l'usage réel (Actual) à l'usage théorique (Ideal).</w:t>
            </w:r>
          </w:p>
        </w:tc>
      </w:tr>
    </w:tbl>
    <w:p>
      <w:pPr>
        <w:spacing w:after="160"/>
      </w:pPr>
      <w:r>
        <w:t xml:space="preserve"/>
      </w:r>
    </w:p>
    <w:p>
      <w:pPr>
        <w:pStyle w:val="Heading2"/>
      </w:pPr>
      <w:r>
        <w:t xml:space="preserve">Démarrage et activation</w:t>
      </w:r>
    </w:p>
    <w:p>
      <w:pPr>
        <w:spacing w:after="160"/>
      </w:pPr>
      <w:r>
        <w:rPr>
          <w:rFonts w:ascii="Arial" w:cs="Arial" w:eastAsia="Arial" w:hAnsi="Arial"/>
          <w:sz w:val="22"/>
          <w:szCs w:val="22"/>
        </w:rPr>
        <w:t xml:space="preserve">Au premier lancement, un écran d'activation apparaît. Vous pouvez cliquer sur « Enter Program » pour commencer immédiatement, mais vous disposez de 30 jours pour activer une licence complète (par téléphone, email, ou en ligne via www.tracrite.net/register.htm).</w:t>
      </w:r>
    </w:p>
    <w:p>
      <w:pPr>
        <w:spacing w:after="160"/>
      </w:pPr>
      <w:r>
        <w:rPr>
          <w:rFonts w:ascii="Arial" w:cs="Arial" w:eastAsia="Arial" w:hAnsi="Arial"/>
          <w:sz w:val="22"/>
          <w:szCs w:val="22"/>
        </w:rPr>
        <w:t xml:space="preserve">Seuls les utilisateurs enregistrés reçoivent le support technique, les annonces de mises à jour et les nouveautés produit.</w:t>
      </w:r>
    </w:p>
    <w:p>
      <w:pPr>
        <w:pStyle w:val="Heading3"/>
      </w:pPr>
      <w:r>
        <w:t xml:space="preserve">Modules additionnels disponibles</w:t>
      </w:r>
    </w:p>
    <w:p>
      <w:pPr>
        <w:spacing w:after="160"/>
      </w:pPr>
      <w:r>
        <w:rPr>
          <w:rFonts w:ascii="Arial" w:cs="Arial" w:eastAsia="Arial" w:hAnsi="Arial"/>
          <w:sz w:val="22"/>
          <w:szCs w:val="22"/>
        </w:rPr>
        <w:t xml:space="preserve">Plusieurs modules optionnels peuvent être activés séparément, chacun nécessitant un nouveau code d'activation :</w:t>
      </w:r>
    </w:p>
    <w:p>
      <w:pPr>
        <w:pStyle w:val="ListParagraph"/>
        <w:numPr>
          <w:ilvl w:val="0"/>
          <w:numId w:val="3"/>
        </w:numPr>
        <w:spacing w:after="100"/>
      </w:pPr>
      <w:r>
        <w:rPr>
          <w:rFonts w:ascii="Arial" w:cs="Arial" w:eastAsia="Arial" w:hAnsi="Arial"/>
          <w:sz w:val="22"/>
          <w:szCs w:val="22"/>
        </w:rPr>
        <w:t xml:space="preserve">Enterprise — pour les chaînes multi-établissements, consolide les données d'usage et de recettes vers un serveur web central.</w:t>
      </w:r>
    </w:p>
    <w:p>
      <w:pPr>
        <w:pStyle w:val="ListParagraph"/>
        <w:numPr>
          <w:ilvl w:val="0"/>
          <w:numId w:val="3"/>
        </w:numPr>
        <w:spacing w:after="100"/>
      </w:pPr>
      <w:r>
        <w:rPr>
          <w:rFonts w:ascii="Arial" w:cs="Arial" w:eastAsia="Arial" w:hAnsi="Arial"/>
          <w:sz w:val="22"/>
          <w:szCs w:val="22"/>
        </w:rPr>
        <w:t xml:space="preserve">EDI Invoice Import — permet de télécharger les factures directement depuis les serveurs FTP des fournisseurs.</w:t>
      </w:r>
    </w:p>
    <w:p>
      <w:pPr>
        <w:pStyle w:val="ListParagraph"/>
        <w:numPr>
          <w:ilvl w:val="0"/>
          <w:numId w:val="3"/>
        </w:numPr>
        <w:spacing w:after="100"/>
      </w:pPr>
      <w:r>
        <w:rPr>
          <w:rFonts w:ascii="Arial" w:cs="Arial" w:eastAsia="Arial" w:hAnsi="Arial"/>
          <w:sz w:val="22"/>
          <w:szCs w:val="22"/>
        </w:rPr>
        <w:t xml:space="preserve">Retail Sales — pour les opérations qui « vendent » des recettes complètes à d'autres établissements (modèle de commissariat de cuisine centrale).</w:t>
      </w:r>
    </w:p>
    <w:p>
      <w:pPr>
        <w:spacing w:after="160"/>
      </w:pPr>
      <w:r>
        <w:t xml:space="preserve"/>
      </w:r>
    </w:p>
    <w:p>
      <w:pPr>
        <w:pStyle w:val="Heading2"/>
      </w:pPr>
      <w:r>
        <w:t xml:space="preserve">Support technique</w:t>
      </w:r>
    </w:p>
    <w:p>
      <w:pPr>
        <w:spacing w:after="160"/>
      </w:pPr>
      <w:r>
        <w:rPr>
          <w:rFonts w:ascii="Arial" w:cs="Arial" w:eastAsia="Arial" w:hAnsi="Arial"/>
          <w:sz w:val="22"/>
          <w:szCs w:val="22"/>
        </w:rPr>
        <w:t xml:space="preserve">Le support TracRite est disponible du lundi au vendredi, 9h00 à 17h00 (heure du Centre). Avant d'appeler, ayez en main votre numéro de série, vos coordonnées, et une description précise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Sauvegardez régulièrement</w:t>
            </w:r>
          </w:p>
          <w:p>
            <w:pPr>
              <w:spacing w:after="0"/>
            </w:pPr>
            <w:r>
              <w:rPr>
                <w:rFonts w:ascii="Arial" w:cs="Arial" w:eastAsia="Arial" w:hAnsi="Arial"/>
                <w:sz w:val="21"/>
                <w:szCs w:val="21"/>
              </w:rPr>
              <w:t xml:space="preserve">TracRite insiste fortement sur ce point : sans sauvegarde, une donnée perdue doit être ressaisie manuellement. La recommandation officielle est de sauvegarder quotidiennement ou hebdomadairement, avec 2 à 3 jeux de sauvegarde en rotation (au cas où l'un d'eux serait corrompu).</w:t>
            </w:r>
          </w:p>
        </w:tc>
      </w:tr>
    </w:tbl>
    <w:p>
      <w:pPr>
        <w:pStyle w:val="Heading2"/>
      </w:pPr>
      <w:r>
        <w:t xml:space="preserve">Navigation dans l'interface</w:t>
      </w:r>
    </w:p>
    <w:p>
      <w:pPr>
        <w:spacing w:after="160"/>
      </w:pPr>
      <w:r>
        <w:rPr>
          <w:rFonts w:ascii="Arial" w:cs="Arial" w:eastAsia="Arial" w:hAnsi="Arial"/>
          <w:sz w:val="22"/>
          <w:szCs w:val="22"/>
        </w:rPr>
        <w:t xml:space="preserve">Le logiciel s'organise autour de deux menus principaux : le Upper Menu (la barre de menu classique en haut de fenêtre — File, Inventory, Purchasing, Recipes, Sales, Events, Setup, Reports) et le Button Bar (une rangée d'icônes raccourcis vers les fonctions les plus utilisées : Sales, Sales Mix, Orders, Invoices, Inventory, Items, Prep, Products, I.R.M., Reports, Backup Data).</w:t>
      </w:r>
    </w:p>
    <w:p>
      <w:pPr>
        <w:pStyle w:val="Heading3"/>
      </w:pPr>
      <w:r>
        <w:t xml:space="preserve">Raccourcis clavier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Touche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Avancer d'un champ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SHIFT + TAB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Reculer d'un champ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Flèches haut/bas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Naviguer entre les lignes d'une liste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CTRL + C / X / V</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Copier / Couper / Coller</w:t>
            </w:r>
          </w:p>
        </w:tc>
      </w:tr>
    </w:tbl>
    <w:p>
      <w:pPr>
        <w:pStyle w:val="Heading2"/>
      </w:pPr>
      <w:r>
        <w:t xml:space="preserve">Ordre de configuration initiale recommandé</w:t>
      </w:r>
    </w:p>
    <w:p>
      <w:pPr>
        <w:spacing w:after="160"/>
      </w:pPr>
      <w:r>
        <w:rPr>
          <w:rFonts w:ascii="Arial" w:cs="Arial" w:eastAsia="Arial" w:hAnsi="Arial"/>
          <w:sz w:val="22"/>
          <w:szCs w:val="22"/>
        </w:rPr>
        <w:t xml:space="preserve">Le logiciel propose un assistant de démarrage (Company Information, Mailing Address, General Preferences, Inventory Valuation Method, Price Variance Alerts, POS Sales Import, Accounting Interface). Une fois cet assistant complété, voici l'ordre logique de mise en place :</w:t>
      </w:r>
    </w:p>
    <w:p>
      <w:pPr>
        <w:pStyle w:val="ListParagraph"/>
        <w:numPr>
          <w:ilvl w:val="0"/>
          <w:numId w:val="4"/>
        </w:numPr>
        <w:spacing w:after="100"/>
      </w:pPr>
      <w:r>
        <w:rPr>
          <w:rFonts w:ascii="Arial" w:cs="Arial" w:eastAsia="Arial" w:hAnsi="Arial"/>
          <w:sz w:val="22"/>
          <w:szCs w:val="22"/>
        </w:rPr>
        <w:t xml:space="preserve">Configurer les Taxes et Adjustments selon votre région.</w:t>
      </w:r>
    </w:p>
    <w:p>
      <w:pPr>
        <w:pStyle w:val="ListParagraph"/>
        <w:numPr>
          <w:ilvl w:val="0"/>
          <w:numId w:val="4"/>
        </w:numPr>
        <w:spacing w:after="100"/>
      </w:pPr>
      <w:r>
        <w:rPr>
          <w:rFonts w:ascii="Arial" w:cs="Arial" w:eastAsia="Arial" w:hAnsi="Arial"/>
          <w:sz w:val="22"/>
          <w:szCs w:val="22"/>
        </w:rPr>
        <w:t xml:space="preserve">Ajouter vos Suppliers (fournisseurs).</w:t>
      </w:r>
    </w:p>
    <w:p>
      <w:pPr>
        <w:pStyle w:val="ListParagraph"/>
        <w:numPr>
          <w:ilvl w:val="0"/>
          <w:numId w:val="4"/>
        </w:numPr>
        <w:spacing w:after="100"/>
      </w:pPr>
      <w:r>
        <w:rPr>
          <w:rFonts w:ascii="Arial" w:cs="Arial" w:eastAsia="Arial" w:hAnsi="Arial"/>
          <w:sz w:val="22"/>
          <w:szCs w:val="22"/>
        </w:rPr>
        <w:t xml:space="preserve">Créer les Item/Product Groups (catégories de classement).</w:t>
      </w:r>
    </w:p>
    <w:p>
      <w:pPr>
        <w:pStyle w:val="ListParagraph"/>
        <w:numPr>
          <w:ilvl w:val="0"/>
          <w:numId w:val="4"/>
        </w:numPr>
        <w:spacing w:after="100"/>
      </w:pPr>
      <w:r>
        <w:rPr>
          <w:rFonts w:ascii="Arial" w:cs="Arial" w:eastAsia="Arial" w:hAnsi="Arial"/>
          <w:sz w:val="22"/>
          <w:szCs w:val="22"/>
        </w:rPr>
        <w:t xml:space="preserve">Configurer les Inventory Items (les items achetés).</w:t>
      </w:r>
    </w:p>
    <w:p>
      <w:pPr>
        <w:pStyle w:val="ListParagraph"/>
        <w:numPr>
          <w:ilvl w:val="0"/>
          <w:numId w:val="4"/>
        </w:numPr>
        <w:spacing w:after="100"/>
      </w:pPr>
      <w:r>
        <w:rPr>
          <w:rFonts w:ascii="Arial" w:cs="Arial" w:eastAsia="Arial" w:hAnsi="Arial"/>
          <w:sz w:val="22"/>
          <w:szCs w:val="22"/>
        </w:rPr>
        <w:t xml:space="preserve">Créer les Prep/Batch Recipes (recettes de préparation).</w:t>
      </w:r>
    </w:p>
    <w:p>
      <w:pPr>
        <w:pStyle w:val="ListParagraph"/>
        <w:numPr>
          <w:ilvl w:val="0"/>
          <w:numId w:val="4"/>
        </w:numPr>
        <w:spacing w:after="100"/>
      </w:pPr>
      <w:r>
        <w:rPr>
          <w:rFonts w:ascii="Arial" w:cs="Arial" w:eastAsia="Arial" w:hAnsi="Arial"/>
          <w:sz w:val="22"/>
          <w:szCs w:val="22"/>
        </w:rPr>
        <w:t xml:space="preserve">Créer les Products (recettes de menu vendues au client).</w:t>
      </w:r>
    </w:p>
    <w:p>
      <w:pPr>
        <w:pStyle w:val="ListParagraph"/>
        <w:numPr>
          <w:ilvl w:val="0"/>
          <w:numId w:val="4"/>
        </w:numPr>
        <w:spacing w:after="100"/>
      </w:pPr>
      <w:r>
        <w:rPr>
          <w:rFonts w:ascii="Arial" w:cs="Arial" w:eastAsia="Arial" w:hAnsi="Arial"/>
          <w:sz w:val="22"/>
          <w:szCs w:val="22"/>
        </w:rPr>
        <w:t xml:space="preserve">Saisir un inventaire d'ouverture (Opening Inventory).</w:t>
      </w:r>
    </w:p>
    <w:p>
      <w:pPr>
        <w:pStyle w:val="ListParagraph"/>
        <w:numPr>
          <w:ilvl w:val="0"/>
          <w:numId w:val="4"/>
        </w:numPr>
        <w:spacing w:after="100"/>
      </w:pPr>
      <w:r>
        <w:rPr>
          <w:rFonts w:ascii="Arial" w:cs="Arial" w:eastAsia="Arial" w:hAnsi="Arial"/>
          <w:sz w:val="22"/>
          <w:szCs w:val="22"/>
        </w:rPr>
        <w:t xml:space="preserve">Créer des commandes (Orders) — facultatif.</w:t>
      </w:r>
    </w:p>
    <w:p>
      <w:pPr>
        <w:pStyle w:val="ListParagraph"/>
        <w:numPr>
          <w:ilvl w:val="0"/>
          <w:numId w:val="4"/>
        </w:numPr>
        <w:spacing w:after="100"/>
      </w:pPr>
      <w:r>
        <w:rPr>
          <w:rFonts w:ascii="Arial" w:cs="Arial" w:eastAsia="Arial" w:hAnsi="Arial"/>
          <w:sz w:val="22"/>
          <w:szCs w:val="22"/>
        </w:rPr>
        <w:t xml:space="preserve">Saisir les factures (Invoices, les achats).</w:t>
      </w:r>
    </w:p>
    <w:p>
      <w:pPr>
        <w:pStyle w:val="ListParagraph"/>
        <w:numPr>
          <w:ilvl w:val="0"/>
          <w:numId w:val="4"/>
        </w:numPr>
        <w:spacing w:after="100"/>
      </w:pPr>
      <w:r>
        <w:rPr>
          <w:rFonts w:ascii="Arial" w:cs="Arial" w:eastAsia="Arial" w:hAnsi="Arial"/>
          <w:sz w:val="22"/>
          <w:szCs w:val="22"/>
        </w:rPr>
        <w:t xml:space="preserve">Saisir le Sales Mix (importé du POS ou saisi manuellement depuis les rubans de caisse).</w:t>
      </w:r>
    </w:p>
    <w:p>
      <w:pPr>
        <w:pStyle w:val="ListParagraph"/>
        <w:numPr>
          <w:ilvl w:val="0"/>
          <w:numId w:val="4"/>
        </w:numPr>
        <w:spacing w:after="100"/>
      </w:pPr>
      <w:r>
        <w:rPr>
          <w:rFonts w:ascii="Arial" w:cs="Arial" w:eastAsia="Arial" w:hAnsi="Arial"/>
          <w:sz w:val="22"/>
          <w:szCs w:val="22"/>
        </w:rPr>
        <w:t xml:space="preserve">Saisir les totaux de ventes quotidiens/hebdomadaires (Daily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Respectez l'ordre chronologique</w:t>
            </w:r>
          </w:p>
          <w:p>
            <w:pPr>
              <w:spacing w:after="0"/>
            </w:pPr>
            <w:r>
              <w:rPr>
                <w:rFonts w:ascii="Arial" w:cs="Arial" w:eastAsia="Arial" w:hAnsi="Arial"/>
                <w:sz w:val="21"/>
                <w:szCs w:val="21"/>
              </w:rPr>
              <w:t xml:space="preserve">Il est essentiel de saisir les informations dans l'ordre où elles se sont produites — particulièrement pour le Sales Mix, les factures et les comptages d'inventaire — car ces trois modules affectent directement les niveaux de stock calculés par le logiciel.</w:t>
            </w:r>
          </w:p>
        </w:tc>
      </w:tr>
    </w:tbl>
    <w:p>
      <w:pPr>
        <w:pStyle w:val="Heading1"/>
        <w:pageBreakBefore/>
      </w:pPr>
      <w:r>
        <w:t xml:space="preserve">Chapitre 2 — Magasins et fournisseurs</w:t>
      </w:r>
    </w:p>
    <w:p>
      <w:pPr>
        <w:pStyle w:val="Heading2"/>
      </w:pPr>
      <w:r>
        <w:t xml:space="preserve">Informations de magasin (Store)</w:t>
      </w:r>
    </w:p>
    <w:p>
      <w:pPr>
        <w:spacing w:after="160"/>
      </w:pPr>
      <w:r>
        <w:rPr>
          <w:rFonts w:ascii="Arial" w:cs="Arial" w:eastAsia="Arial" w:hAnsi="Arial"/>
          <w:sz w:val="22"/>
          <w:szCs w:val="22"/>
        </w:rPr>
        <w:t xml:space="preserve">Chaque base de données Optimum Control identifie un Store ID — le nom ou code du restaurant, bar ou hôtel concerné. Pour les utilisateurs d'Optimum Control Professional standard, un seul magasin suffit. Les opérations avec plusieurs points de vente (hôtels avec plusieurs cuisines, franchises) utilisent OCPremier.</w:t>
      </w:r>
    </w:p>
    <w:p>
      <w:pPr>
        <w:spacing w:after="160"/>
      </w:pPr>
      <w:r>
        <w:rPr>
          <w:rFonts w:ascii="Arial" w:cs="Arial" w:eastAsia="Arial" w:hAnsi="Arial"/>
          <w:sz w:val="22"/>
          <w:szCs w:val="22"/>
        </w:rPr>
        <w:t xml:space="preserve">Les champs clés du magasin : Store ID (identifiant interne), Trade Name (nom commercial affiché sur les rapports), Legal Name (raison sociale), adresse complète, et POS IDs (en mode Multi-Store uniquement).</w:t>
      </w:r>
    </w:p>
    <w:p>
      <w:pPr>
        <w:pStyle w:val="Heading2"/>
      </w:pPr>
      <w:r>
        <w:t xml:space="preserve">Multi-établissements — OCPremier</w:t>
      </w:r>
    </w:p>
    <w:p>
      <w:pPr>
        <w:spacing w:after="160"/>
      </w:pPr>
      <w:r>
        <w:rPr>
          <w:rFonts w:ascii="Arial" w:cs="Arial" w:eastAsia="Arial" w:hAnsi="Arial"/>
          <w:sz w:val="22"/>
          <w:szCs w:val="22"/>
        </w:rPr>
        <w:t xml:space="preserve">Dans les opérations type hôtel, resort ou casino avec plusieurs cuisines ou bars, OCPremier permet de garder des inventaires séparés tout en partageant la même base de données. Chaque établissement (Store/Revenue Center) peut requisitionner du stock auprès des autres.</w:t>
      </w:r>
    </w:p>
    <w:p>
      <w:pPr>
        <w:pStyle w:val="Heading3"/>
      </w:pPr>
      <w:r>
        <w:t xml:space="preserve">Transfert de stock entre établissements</w:t>
      </w:r>
    </w:p>
    <w:p>
      <w:pPr>
        <w:spacing w:after="160"/>
      </w:pPr>
      <w:r>
        <w:rPr>
          <w:rFonts w:ascii="Arial" w:cs="Arial" w:eastAsia="Arial" w:hAnsi="Arial"/>
          <w:sz w:val="22"/>
          <w:szCs w:val="22"/>
        </w:rPr>
        <w:t xml:space="preserve">Le module Stock Transfer propose quatre fonctions :</w:t>
      </w:r>
    </w:p>
    <w:p>
      <w:pPr>
        <w:pStyle w:val="ListParagraph"/>
        <w:numPr>
          <w:ilvl w:val="0"/>
          <w:numId w:val="3"/>
        </w:numPr>
        <w:spacing w:after="100"/>
      </w:pPr>
      <w:r>
        <w:rPr>
          <w:rFonts w:ascii="Arial" w:cs="Arial" w:eastAsia="Arial" w:hAnsi="Arial"/>
          <w:sz w:val="22"/>
          <w:szCs w:val="22"/>
        </w:rPr>
        <w:t xml:space="preserve">Approve Request — approuver une demande de stock reçue d'un autre établissement.</w:t>
      </w:r>
    </w:p>
    <w:p>
      <w:pPr>
        <w:pStyle w:val="ListParagraph"/>
        <w:numPr>
          <w:ilvl w:val="0"/>
          <w:numId w:val="3"/>
        </w:numPr>
        <w:spacing w:after="100"/>
      </w:pPr>
      <w:r>
        <w:rPr>
          <w:rFonts w:ascii="Arial" w:cs="Arial" w:eastAsia="Arial" w:hAnsi="Arial"/>
          <w:sz w:val="22"/>
          <w:szCs w:val="22"/>
        </w:rPr>
        <w:t xml:space="preserve">Fulfill Requisitions — compléter une demande déjà approuvée, en partie ou en totalité.</w:t>
      </w:r>
    </w:p>
    <w:p>
      <w:pPr>
        <w:pStyle w:val="ListParagraph"/>
        <w:numPr>
          <w:ilvl w:val="0"/>
          <w:numId w:val="3"/>
        </w:numPr>
        <w:spacing w:after="100"/>
      </w:pPr>
      <w:r>
        <w:rPr>
          <w:rFonts w:ascii="Arial" w:cs="Arial" w:eastAsia="Arial" w:hAnsi="Arial"/>
          <w:sz w:val="22"/>
          <w:szCs w:val="22"/>
        </w:rPr>
        <w:t xml:space="preserve">Request Stock — demander du stock à un autre établissement habilité aux transferts.</w:t>
      </w:r>
    </w:p>
    <w:p>
      <w:pPr>
        <w:pStyle w:val="ListParagraph"/>
        <w:numPr>
          <w:ilvl w:val="0"/>
          <w:numId w:val="3"/>
        </w:numPr>
        <w:spacing w:after="100"/>
      </w:pPr>
      <w:r>
        <w:rPr>
          <w:rFonts w:ascii="Arial" w:cs="Arial" w:eastAsia="Arial" w:hAnsi="Arial"/>
          <w:sz w:val="22"/>
          <w:szCs w:val="22"/>
        </w:rPr>
        <w:t xml:space="preserve">Receive/View — transférer manuellement du stock d'un centre de profit à un autre.</w:t>
      </w:r>
    </w:p>
    <w:p>
      <w:pPr>
        <w:spacing w:after="160"/>
      </w:pPr>
      <w:r>
        <w:rPr>
          <w:rFonts w:ascii="Arial" w:cs="Arial" w:eastAsia="Arial" w:hAnsi="Arial"/>
          <w:sz w:val="22"/>
          <w:szCs w:val="22"/>
        </w:rPr>
        <w:t xml:space="preserve">Lorsqu'une demande ne peut être satisfaite intégralement (ex. : trois établissements demandent du champagne mais le stock central est insuffisant), le solde non livré passe automatiquement en backorder en attente d'arbitrage.</w:t>
      </w:r>
    </w:p>
    <w:p>
      <w:pPr>
        <w:spacing w:after="160"/>
      </w:pPr>
      <w:r>
        <w:rPr>
          <w:rFonts w:ascii="Arial" w:cs="Arial" w:eastAsia="Arial" w:hAnsi="Arial"/>
          <w:sz w:val="22"/>
          <w:szCs w:val="22"/>
        </w:rPr>
        <w:t xml:space="preserve">Pour copier des items, recettes ou produits d'un établissement vers un autre, on utilise le Copy To (un seul item à la fois, depuis la fiche Item/Prep/Product) ou l'Item Copy dans l'Advanced Item and Recipe Management (plusieurs items glissés-déposés en une fois). Copier un Prep ou un Product copie automatiquement tous ses ingrédients ; s'ils n'existent pas dans l'établissement cible, ils sont créés.</w:t>
      </w:r>
    </w:p>
    <w:p>
      <w:pPr>
        <w:pStyle w:val="Heading2"/>
      </w:pPr>
      <w:r>
        <w:t xml:space="preserve">Fournisseurs (Suppliers)</w:t>
      </w:r>
    </w:p>
    <w:p>
      <w:pPr>
        <w:spacing w:after="160"/>
      </w:pPr>
      <w:r>
        <w:rPr>
          <w:rFonts w:ascii="Arial" w:cs="Arial" w:eastAsia="Arial" w:hAnsi="Arial"/>
          <w:sz w:val="22"/>
          <w:szCs w:val="22"/>
        </w:rPr>
        <w:t xml:space="preserve">Il est recommandé de configurer la majorité de vos fournisseurs avant de saisir vos items, puisque chaque item référence un fournisseur principal.</w:t>
      </w:r>
    </w:p>
    <w:p>
      <w:pPr>
        <w:pStyle w:val="Heading3"/>
      </w:pPr>
      <w:r>
        <w:t xml:space="preserve">Tri des commandes importées</w:t>
      </w:r>
    </w:p>
    <w:p>
      <w:pPr>
        <w:spacing w:after="160"/>
      </w:pPr>
      <w:r>
        <w:rPr>
          <w:rFonts w:ascii="Arial" w:cs="Arial" w:eastAsia="Arial" w:hAnsi="Arial"/>
          <w:sz w:val="22"/>
          <w:szCs w:val="22"/>
        </w:rPr>
        <w:t xml:space="preserve">Lorsqu'une commande est reçue et importée dans la fenêtre de facture, l'ordre d'affichage des lignes peut ne pas correspondre à celui de la facture papier. Le champ Sort Imported Orders By permet de configurer jusqu'à trois niveaux de tri (par exemple : Groupe fournisseur, puis Description, puis Order Code) pour faire correspondre l'ordre affiché à celui de la facture physique — un gain de temps réel lors de la vérification.</w:t>
      </w:r>
    </w:p>
    <w:p>
      <w:pPr>
        <w:pStyle w:val="Heading3"/>
      </w:pPr>
      <w:r>
        <w:t xml:space="preserve">Groupes fournisseur</w:t>
      </w:r>
    </w:p>
    <w:p>
      <w:pPr>
        <w:spacing w:after="160"/>
      </w:pPr>
      <w:r>
        <w:rPr>
          <w:rFonts w:ascii="Arial" w:cs="Arial" w:eastAsia="Arial" w:hAnsi="Arial"/>
          <w:sz w:val="22"/>
          <w:szCs w:val="22"/>
        </w:rPr>
        <w:t xml:space="preserve">Certains fournisseurs utilisent leurs propres catégories sur leurs factures imprimées (Frais, Surgelé, Épicerie) qui ne correspondent pas forcément à vos groupes internes. Les Supplier Groups permettent de répliquer cette logique pour faciliter le rapprochement visuel.</w:t>
      </w:r>
    </w:p>
    <w:p>
      <w:pPr>
        <w:pStyle w:val="Heading3"/>
      </w:pPr>
      <w:r>
        <w:t xml:space="preserve">UOM Alias</w:t>
      </w:r>
    </w:p>
    <w:p>
      <w:pPr>
        <w:spacing w:after="160"/>
      </w:pPr>
      <w:r>
        <w:rPr>
          <w:rFonts w:ascii="Arial" w:cs="Arial" w:eastAsia="Arial" w:hAnsi="Arial"/>
          <w:sz w:val="22"/>
          <w:szCs w:val="22"/>
        </w:rPr>
        <w:t xml:space="preserve">Lors d'un import EDI, les unités de mesure du fournisseur peuvent différer de celles utilisées dans Optimum Control (par exemple, le fournisseur note « CA » pour caisse alors que le logiciel utilise « case »). Plutôt que de modifier chaque item, on déclare un alias d'unité une fois pour toutes : tout import EDI lira automatiquement « CA » comme équivalent à « case ».</w:t>
      </w:r>
    </w:p>
    <w:p>
      <w:pPr>
        <w:pStyle w:val="Heading3"/>
      </w:pPr>
      <w:r>
        <w:t xml:space="preserve">Export de commandes — formats</w:t>
      </w:r>
    </w:p>
    <w:p>
      <w:pPr>
        <w:spacing w:after="160"/>
      </w:pPr>
      <w:r>
        <w:rPr>
          <w:rFonts w:ascii="Arial" w:cs="Arial" w:eastAsia="Arial" w:hAnsi="Arial"/>
          <w:sz w:val="22"/>
          <w:szCs w:val="22"/>
        </w:rPr>
        <w:t xml:space="preserve">Optimum Control peut générer des fichiers d'export de commande dans plusieurs formats prédéfinis correspondant aux principaux grossistes nord-américains (US Foodservice, Sysco Canada, Sysco US, Performance Food Group, Gordon Food Services, Shamrock Foods, Ben E. Keith, ainsi qu'un format générique). Chaque fournisseur ayant son propre format de fichier, le paramétrage se fait dans la fiche du fournisseur via Order Export, en indiquant le type d'export, le chemin de sauvegarde, et si nécessaire les informations de connexion FTP (URL, nom d'utilisateur,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générique d'export</w:t>
            </w:r>
          </w:p>
          <w:p>
            <w:pPr>
              <w:spacing w:after="0"/>
            </w:pPr>
            <w:r>
              <w:rPr>
                <w:rFonts w:ascii="Arial" w:cs="Arial" w:eastAsia="Arial" w:hAnsi="Arial"/>
                <w:sz w:val="21"/>
                <w:szCs w:val="21"/>
              </w:rPr>
              <w:t xml:space="preserve">order code, number required, unit  →  ex. : 603043,3.00,cs — Ce format simple (code article, quantité, unité) sert de base de référence si votre fournisseur n'utilise pas l'un des formats prédéfinis listés.</w:t>
            </w:r>
          </w:p>
        </w:tc>
      </w:tr>
    </w:tbl>
    <w:p>
      <w:pPr>
        <w:pStyle w:val="Heading1"/>
        <w:pageBreakBefore/>
      </w:pPr>
      <w:r>
        <w:t xml:space="preserve">Chapitre 3 — Items d'inventaire</w:t>
      </w:r>
    </w:p>
    <w:p>
      <w:pPr>
        <w:spacing w:after="160"/>
      </w:pPr>
      <w:r>
        <w:rPr>
          <w:rFonts w:ascii="Arial" w:cs="Arial" w:eastAsia="Arial" w:hAnsi="Arial"/>
          <w:sz w:val="22"/>
          <w:szCs w:val="22"/>
        </w:rPr>
        <w:t xml:space="preserve">Les Items sont les briques de base de tout le système : ce que vous achetez et stockez. Bien les configurer dès le départ conditionne la fiabilité de tous les calculs en aval — recettes, factures, comptages, rapports.</w:t>
      </w:r>
    </w:p>
    <w:p>
      <w:pPr>
        <w:pStyle w:val="Heading2"/>
      </w:pPr>
      <w:r>
        <w:t xml:space="preserve">Les trois sections de la fiche Item</w:t>
      </w:r>
    </w:p>
    <w:p>
      <w:pPr>
        <w:spacing w:after="160"/>
      </w:pPr>
      <w:r>
        <w:rPr>
          <w:rFonts w:ascii="Arial" w:cs="Arial" w:eastAsia="Arial" w:hAnsi="Arial"/>
          <w:sz w:val="22"/>
          <w:szCs w:val="22"/>
        </w:rPr>
        <w:t xml:space="preserve">La fenêtre Items se découpe en trois blocs logiques :</w:t>
      </w:r>
    </w:p>
    <w:p>
      <w:pPr>
        <w:pStyle w:val="ListParagraph"/>
        <w:numPr>
          <w:ilvl w:val="0"/>
          <w:numId w:val="5"/>
        </w:numPr>
        <w:spacing w:after="100"/>
      </w:pPr>
      <w:r>
        <w:rPr>
          <w:rFonts w:ascii="Arial" w:cs="Arial" w:eastAsia="Arial" w:hAnsi="Arial"/>
          <w:sz w:val="22"/>
          <w:szCs w:val="22"/>
        </w:rPr>
        <w:t xml:space="preserve">Core Information — Description, groupe d'inventaire, emplacement principal, unité de recette (« How is it used in recipes? »), statut Key Item, compte comptable (GL Account).</w:t>
      </w:r>
    </w:p>
    <w:p>
      <w:pPr>
        <w:pStyle w:val="ListParagraph"/>
        <w:numPr>
          <w:ilvl w:val="0"/>
          <w:numId w:val="5"/>
        </w:numPr>
        <w:spacing w:after="100"/>
      </w:pPr>
      <w:r>
        <w:rPr>
          <w:rFonts w:ascii="Arial" w:cs="Arial" w:eastAsia="Arial" w:hAnsi="Arial"/>
          <w:sz w:val="22"/>
          <w:szCs w:val="22"/>
        </w:rPr>
        <w:t xml:space="preserve">Case Information — Fournisseur, Order Code, prix d'achat, unité de comptage (« How do you report on this item? »), facteurs de conversion, code-barres, Yield %.</w:t>
      </w:r>
    </w:p>
    <w:p>
      <w:pPr>
        <w:pStyle w:val="ListParagraph"/>
        <w:numPr>
          <w:ilvl w:val="0"/>
          <w:numId w:val="5"/>
        </w:numPr>
        <w:spacing w:after="100"/>
      </w:pPr>
      <w:r>
        <w:rPr>
          <w:rFonts w:ascii="Arial" w:cs="Arial" w:eastAsia="Arial" w:hAnsi="Arial"/>
          <w:sz w:val="22"/>
          <w:szCs w:val="22"/>
        </w:rPr>
        <w:t xml:space="preserve">Summary Information — Quantité en stock, valeur courante, dernière date d'achat, niveaux de réapprovisionnement min/max.</w:t>
      </w:r>
    </w:p>
    <w:p>
      <w:pPr>
        <w:pStyle w:val="Heading2"/>
      </w:pPr>
      <w:r>
        <w:t xml:space="preserve">Le verrou central : « How is it used in recipes? »</w:t>
      </w:r>
    </w:p>
    <w:p>
      <w:pPr>
        <w:spacing w:after="160"/>
      </w:pPr>
      <w:r>
        <w:rPr>
          <w:rFonts w:ascii="Arial" w:cs="Arial" w:eastAsia="Arial" w:hAnsi="Arial"/>
          <w:sz w:val="22"/>
          <w:szCs w:val="22"/>
        </w:rPr>
        <w:t xml:space="preserve">C'est la décision la plus importante de toute la fiche item. Cette unité de mesure devient la référence pour tout le suivi en arrière-plan du logiciel : impossible de la changer après coup sans recalculer l'historique complet (voir plus bas).</w:t>
      </w:r>
    </w:p>
    <w:p>
      <w:pPr>
        <w:spacing w:after="160"/>
      </w:pPr>
      <w:r>
        <w:rPr>
          <w:rFonts w:ascii="Arial" w:cs="Arial" w:eastAsia="Arial" w:hAnsi="Arial"/>
          <w:sz w:val="22"/>
          <w:szCs w:val="22"/>
        </w:rPr>
        <w:t xml:space="preserve">La règle empirique recommandée par TracRite : descendre à la plus petite unité utile — l'once liquide (ou le ml) pour les liquides, l'once (ou le gramme) pour le poids, et « chacun » (each) pour les items utilisés à l'unité.</w:t>
      </w:r>
    </w:p>
    <w:p>
      <w:pPr>
        <w:pStyle w:val="ListParagraph"/>
        <w:numPr>
          <w:ilvl w:val="0"/>
          <w:numId w:val="3"/>
        </w:numPr>
        <w:spacing w:after="100"/>
      </w:pPr>
      <w:r>
        <w:rPr>
          <w:rFonts w:ascii="Arial" w:cs="Arial" w:eastAsia="Arial" w:hAnsi="Arial"/>
          <w:sz w:val="22"/>
          <w:szCs w:val="22"/>
        </w:rPr>
        <w:t xml:space="preserve">La vodka s'achète à la bouteille mais s'utilise à l'once dans les recettes → unité recette = fl oz.</w:t>
      </w:r>
    </w:p>
    <w:p>
      <w:pPr>
        <w:pStyle w:val="ListParagraph"/>
        <w:numPr>
          <w:ilvl w:val="0"/>
          <w:numId w:val="3"/>
        </w:numPr>
        <w:spacing w:after="100"/>
      </w:pPr>
      <w:r>
        <w:rPr>
          <w:rFonts w:ascii="Arial" w:cs="Arial" w:eastAsia="Arial" w:hAnsi="Arial"/>
          <w:sz w:val="22"/>
          <w:szCs w:val="22"/>
        </w:rPr>
        <w:t xml:space="preserve">Le pain s'achète à la miche mais s'utilise à la tranche → unité recette = slice.</w:t>
      </w:r>
    </w:p>
    <w:p>
      <w:pPr>
        <w:pStyle w:val="ListParagraph"/>
        <w:numPr>
          <w:ilvl w:val="0"/>
          <w:numId w:val="3"/>
        </w:numPr>
        <w:spacing w:after="100"/>
      </w:pPr>
      <w:r>
        <w:rPr>
          <w:rFonts w:ascii="Arial" w:cs="Arial" w:eastAsia="Arial" w:hAnsi="Arial"/>
          <w:sz w:val="22"/>
          <w:szCs w:val="22"/>
        </w:rPr>
        <w:t xml:space="preserve">La pâte de tomate s'achète à la caisse mais s'utilise à l'once → unité recette = ounces.</w:t>
      </w:r>
    </w:p>
    <w:p>
      <w:pPr>
        <w:pStyle w:val="Heading3"/>
      </w:pPr>
      <w:r>
        <w:t xml:space="preserve">Changer une unité de mesure existante — attention au piège</w:t>
      </w:r>
    </w:p>
    <w:p>
      <w:pPr>
        <w:spacing w:after="160"/>
      </w:pPr>
      <w:r>
        <w:rPr>
          <w:rFonts w:ascii="Arial" w:cs="Arial" w:eastAsia="Arial" w:hAnsi="Arial"/>
          <w:sz w:val="22"/>
          <w:szCs w:val="22"/>
        </w:rPr>
        <w:t xml:space="preserve">Si des données historiques existent déjà pour un item (factures, ventes, comptages), Optimum Control verrouille certains champs en grisé. Changer l'unité de recette force le logiciel à demander un facteur de conversion : par exemple, passer le vin d'une unité « bouteille » à « fl oz » demandera combien de fl oz contient une bouteille (26, par exemple) — toutes les données historiques et toutes les recettes existantes seront alors recalculées en multipliant par ce facteur.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w:t>
            </w:r>
          </w:p>
          <w:p>
            <w:pPr>
              <w:spacing w:after="0"/>
            </w:pPr>
            <w:r>
              <w:rPr>
                <w:rFonts w:ascii="Arial" w:cs="Arial" w:eastAsia="Arial" w:hAnsi="Arial"/>
                <w:sz w:val="21"/>
                <w:szCs w:val="21"/>
              </w:rPr>
              <w:t xml:space="preserve">Un changement majeur d'unité ou de taille de caisse peut sérieusement affecter les niveaux d'inventaire, les achats et les données de ventes. TracRite recommande d'effectuer ce type de changement juste APRÈS la clôture d'un cycle d'inventaire, jamais en plein cycle.</w:t>
            </w:r>
          </w:p>
        </w:tc>
      </w:tr>
    </w:tbl>
    <w:p>
      <w:pPr>
        <w:pStyle w:val="Heading2"/>
      </w:pPr>
      <w:r>
        <w:t xml:space="preserve">Key Inventory Item — alléger les comptages</w:t>
      </w:r>
    </w:p>
    <w:p>
      <w:pPr>
        <w:spacing w:after="160"/>
      </w:pPr>
      <w:r>
        <w:rPr>
          <w:rFonts w:ascii="Arial" w:cs="Arial" w:eastAsia="Arial" w:hAnsi="Arial"/>
          <w:sz w:val="22"/>
          <w:szCs w:val="22"/>
        </w:rPr>
        <w:t xml:space="preserve">Cocher Key Inventory Item signifie que l'item apparaîtra systématiquement sur les feuilles de comptage hebdomadaires. Sur 500 items en stock, on peut n'en suivre activement que 75 (les Key Items) au quotidien, et ne compter les autres (poudre d'ail, bâtonnets mélangeurs) que ponctuellement.</w:t>
      </w:r>
    </w:p>
    <w:p>
      <w:pPr>
        <w:pStyle w:val="Heading2"/>
      </w:pPr>
      <w:r>
        <w:t xml:space="preserve">Actualize Usage Values — neutraliser les écarts inévitables</w:t>
      </w:r>
    </w:p>
    <w:p>
      <w:pPr>
        <w:spacing w:after="160"/>
      </w:pPr>
      <w:r>
        <w:rPr>
          <w:rFonts w:ascii="Arial" w:cs="Arial" w:eastAsia="Arial" w:hAnsi="Arial"/>
          <w:sz w:val="22"/>
          <w:szCs w:val="22"/>
        </w:rPr>
        <w:t xml:space="preserve">Certains items ne peuvent pas être rattachés fidèlement à une recette : huile de friture, serviettes, pailles. Leur usage réel ne correspond à aucun usage théorique calculé, ce qui génère un écart artificiel et permanent dans le rapport Usage Summary.</w:t>
      </w:r>
    </w:p>
    <w:p>
      <w:pPr>
        <w:spacing w:after="160"/>
      </w:pPr>
      <w:r>
        <w:rPr>
          <w:rFonts w:ascii="Arial" w:cs="Arial" w:eastAsia="Arial" w:hAnsi="Arial"/>
          <w:sz w:val="22"/>
          <w:szCs w:val="22"/>
        </w:rPr>
        <w:t xml:space="preserve">Activer Actualize Usage Values indique au logiciel : « quel que soit l'usage réel constaté, considère-le comme l'usage théorique » — l'écart disparaît. Les items actualisés sont marqués d'un astérisque (*) à côté du montant idéal dans les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huile de friture</w:t>
            </w:r>
          </w:p>
          <w:p>
            <w:pPr>
              <w:spacing w:after="0"/>
            </w:pPr>
            <w:r>
              <w:rPr>
                <w:rFonts w:ascii="Arial" w:cs="Arial" w:eastAsia="Arial" w:hAnsi="Arial"/>
                <w:sz w:val="21"/>
                <w:szCs w:val="21"/>
              </w:rPr>
              <w:t xml:space="preserve">Inventaire d'ouverture : 4 bidons. Achats : 10 bidons. Inventaire de clôture : 2 bidons. Usage réel = 12 bidons. Sans recette liant l'huile à un produit vendu, l'usage théorique serait proche de zéro — un écart énorme apparaîtrait. Avec Actualize activé, l'usage théorique est forcé à 12 bidons : zéro écart.</w:t>
            </w:r>
          </w:p>
        </w:tc>
      </w:tr>
    </w:tbl>
    <w:p>
      <w:pPr>
        <w:pStyle w:val="Heading2"/>
      </w:pPr>
      <w:r>
        <w:t xml:space="preserve">Le Yield Factor (facteur de rendement / perte)</w:t>
      </w:r>
    </w:p>
    <w:p>
      <w:pPr>
        <w:spacing w:after="160"/>
      </w:pPr>
      <w:r>
        <w:rPr>
          <w:rFonts w:ascii="Arial" w:cs="Arial" w:eastAsia="Arial" w:hAnsi="Arial"/>
          <w:sz w:val="22"/>
          <w:szCs w:val="22"/>
        </w:rPr>
        <w:t xml:space="preserve">Le champ Yield % (par défaut 100%) permet de tenir compte de la perte naturelle d'un produit entre son achat et son utilisation effective — épluchage, parage, évaporation. Le logiciel calcule alors un Actual Cost Per Unit basé sur la quantité réellement utilisable, et non sur la quantité brute achetée.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crème sure en perte liquide</w:t>
            </w:r>
          </w:p>
          <w:p>
            <w:pPr>
              <w:spacing w:after="0"/>
            </w:pPr>
            <w:r>
              <w:rPr>
                <w:rFonts w:ascii="Arial" w:cs="Arial" w:eastAsia="Arial" w:hAnsi="Arial"/>
                <w:sz w:val="21"/>
                <w:szCs w:val="21"/>
              </w:rPr>
              <w:t xml:space="preserve">Une bouteille de 10 oz perd environ une demi-once collée au fond une fois vide. Calcul : 0,5 ÷ 10 = 0,05 (5 % de perte). 1,000 − 0,05 = 0,95 → entrer 95 % dans le champ Yield %. Conséquence : chaque dollar dépensé en crème sure coûte en réalité 5 % de plus que le prix affiché.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parage de laitue</w:t>
            </w:r>
          </w:p>
          <w:p>
            <w:pPr>
              <w:spacing w:after="0"/>
            </w:pPr>
            <w:r>
              <w:rPr>
                <w:rFonts w:ascii="Arial" w:cs="Arial" w:eastAsia="Arial" w:hAnsi="Arial"/>
                <w:sz w:val="21"/>
                <w:szCs w:val="21"/>
              </w:rPr>
              <w:t xml:space="preserve">Une tête de laitue avec feuilles extérieures et trognon pèse en moyenne 26 onces. Une fois parée, elle pèse 20 onces. Calcul : 20 ÷ 26 = 0,77 (77 %). Entrer 77 % dans le champ Yield %. Astuce TracRite : toujours peser le produit AVANT lavage, car l'eau ajoute un poids trompeur.</w:t>
            </w:r>
          </w:p>
        </w:tc>
      </w:tr>
    </w:tbl>
    <w:p>
      <w:pPr>
        <w:pStyle w:val="Heading2"/>
      </w:pPr>
      <w:r>
        <w:t xml:space="preserve">Conversions d'unités spécifiques à un item</w:t>
      </w:r>
    </w:p>
    <w:p>
      <w:pPr>
        <w:spacing w:after="160"/>
      </w:pPr>
      <w:r>
        <w:rPr>
          <w:rFonts w:ascii="Arial" w:cs="Arial" w:eastAsia="Arial" w:hAnsi="Arial"/>
          <w:sz w:val="22"/>
          <w:szCs w:val="22"/>
        </w:rPr>
        <w:t xml:space="preserve">Au-delà des conversions standards (16 onces = 1 livre, 1000 ml = 1 litre), certains items demandent une conversion propre — typiquement les épices, où le poids d'une tasse varie énormément d'un ingrédient à l'autre. La meilleure pratique reste de peser physiquement une tasse de l'ingrédient en cuisine plutôt que de se fier à une table générique trouvée en ligne.</w:t>
      </w:r>
    </w:p>
    <w:p>
      <w:pPr>
        <w:pStyle w:val="Heading2"/>
      </w:pPr>
      <w:r>
        <w:t xml:space="preserve">Tables de conversion de référence</w:t>
      </w:r>
    </w:p>
    <w:p>
      <w:pPr>
        <w:pStyle w:val="Heading3"/>
      </w:pPr>
      <w:r>
        <w:t xml:space="preserve">Volume et poids courants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Conversion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Équivalence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once liquide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c. à soupe / 6 c. à thé / 29,5 ml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tasse (8 oz)</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236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litre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33,81 onces liquides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once (poids)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28,35 grammes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 onces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livre (454 g)</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kilogramme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2,2 livres / 35,27 onces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gallon US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3,78 litres / 128 onces / 16 tasses</w:t>
            </w:r>
          </w:p>
        </w:tc>
      </w:tr>
    </w:tbl>
    <w:p>
      <w:pPr>
        <w:spacing w:after="160"/>
      </w:pPr>
      <w:r>
        <w:t xml:space="preserve"/>
      </w:r>
    </w:p>
    <w:p>
      <w:pPr>
        <w:pStyle w:val="Heading3"/>
      </w:pPr>
      <w:r>
        <w:t xml:space="preserve">Tailles de cuillères à portionner (Disher/Scoop sizes)</w:t>
      </w:r>
    </w:p>
    <w:p>
      <w:pPr>
        <w:spacing w:after="160"/>
      </w:pPr>
      <w:r>
        <w:rPr>
          <w:rFonts w:ascii="Arial" w:cs="Arial" w:eastAsia="Arial" w:hAnsi="Arial"/>
          <w:sz w:val="22"/>
          <w:szCs w:val="22"/>
        </w:rPr>
        <w:t xml:space="preserve">Le portionnement professionnel en cuisine se base sur des cuillères à portionner numérotées. Le numéro indique combien de cuillères pleines et arasées (level scoop) de cette taille remplissent un quart de gallon (32 oz liquides) — un repère précieux pour standardiser les portions de garnitures, glaces ou sauces.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 de cuillère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Onces liquides US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Millilitres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Cuillères par tasse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r>
    </w:tbl>
    <w:p>
      <w:pPr>
        <w:spacing w:after="160"/>
      </w:pPr>
      <w:r>
        <w:t xml:space="preserve"/>
      </w:r>
    </w:p>
    <w:p>
      <w:pPr>
        <w:pStyle w:val="Heading2"/>
      </w:pPr>
      <w:r>
        <w:t xml:space="preserve">Emplacements de stockage (Storage Locations)</w:t>
      </w:r>
    </w:p>
    <w:p>
      <w:pPr>
        <w:spacing w:after="160"/>
      </w:pPr>
      <w:r>
        <w:rPr>
          <w:rFonts w:ascii="Arial" w:cs="Arial" w:eastAsia="Arial" w:hAnsi="Arial"/>
          <w:sz w:val="22"/>
          <w:szCs w:val="22"/>
        </w:rPr>
        <w:t xml:space="preserve">Chaque item se voit attribuer un emplacement Primary (principal, pour les besoins de commande) et peut recevoir un ou plusieurs emplacements Secondary. Le logiciel trie les feuilles de comptage et de commande par emplacement, mais compile toujours le total final sous l'emplacement principal.</w:t>
      </w:r>
    </w:p>
    <w:p>
      <w:pPr>
        <w:spacing w:after="160"/>
      </w:pPr>
      <w:r>
        <w:rPr>
          <w:rFonts w:ascii="Arial" w:cs="Arial" w:eastAsia="Arial" w:hAnsi="Arial"/>
          <w:sz w:val="22"/>
          <w:szCs w:val="22"/>
        </w:rPr>
        <w:t xml:space="preserve">Une astuce reconnue : passer la souris sur le champ Location dans la fenêtre Items fait apparaître un symbole « ? » — un clic droit ouvre alors directement la fenêtre de sélection des emplacements.</w:t>
      </w:r>
    </w:p>
    <w:p>
      <w:pPr>
        <w:pStyle w:val="Heading2"/>
      </w:pPr>
      <w:r>
        <w:t xml:space="preserve">Lier la nutrition à un item</w:t>
      </w:r>
    </w:p>
    <w:p>
      <w:pPr>
        <w:spacing w:after="160"/>
      </w:pPr>
      <w:r>
        <w:rPr>
          <w:rFonts w:ascii="Arial" w:cs="Arial" w:eastAsia="Arial" w:hAnsi="Arial"/>
          <w:sz w:val="22"/>
          <w:szCs w:val="22"/>
        </w:rPr>
        <w:t xml:space="preserve">L'onglet Nutrition de chaque item permet de le relier (Link to...) à la base de données nutritionnelle USDA intégrée (environ 7000 entrées). Une recherche par mots-clés (ex. : « butter sa » pour « Butter, salted ») affine les résultats. Pour les items sans valeur nutritionnelle pertinente (eau, produits en papier), il suffit d'ouvrir l'onglet et de cliquer Save sans rien lier — cela permet aux recettes qui les contiennent d'être tout de même calculées.</w:t>
      </w:r>
    </w:p>
    <w:p>
      <w:pPr>
        <w:spacing w:after="160"/>
      </w:pPr>
      <w:r>
        <w:rPr>
          <w:rFonts w:ascii="Arial" w:cs="Arial" w:eastAsia="Arial" w:hAnsi="Arial"/>
          <w:sz w:val="22"/>
          <w:szCs w:val="22"/>
        </w:rPr>
        <w:t xml:space="preserve">Lorsque le logiciel ne peut pas convertir automatiquement l'unité de recette en grammes (par exemple, le café suivi par « sac »), une fenêtre de conversion demande le poids en grammes correspondant — peser physiquement l'emballage reste la méthode la plus fiable.</w:t>
      </w:r>
    </w:p>
    <w:p>
      <w:pPr>
        <w:pStyle w:val="Heading2"/>
      </w:pPr>
      <w:r>
        <w:t xml:space="preserve">Allergènes</w:t>
      </w:r>
    </w:p>
    <w:p>
      <w:pPr>
        <w:spacing w:after="160"/>
      </w:pPr>
      <w:r>
        <w:rPr>
          <w:rFonts w:ascii="Arial" w:cs="Arial" w:eastAsia="Arial" w:hAnsi="Arial"/>
          <w:sz w:val="22"/>
          <w:szCs w:val="22"/>
        </w:rPr>
        <w:t xml:space="preserve">L'onglet Allergens de chaque item permet d'indiquer les allergènes pertinents (gluten, noix, etc.). Un rapport dédié (Reports → Nutrition → Allergen) permet ensuite, pour n'importe quel item, de lister instantanément toutes les recettes qui le contiennent — un outil précieux pour répondre rapidement aux questions du personnel ou des clients.</w:t>
      </w:r>
    </w:p>
    <w:p>
      <w:pPr>
        <w:pStyle w:val="Heading1"/>
        <w:pageBreakBefore/>
      </w:pPr>
      <w:r>
        <w:t xml:space="preserve">Chapitre 4 — Recettes : Preps et Products</w:t>
      </w:r>
    </w:p>
    <w:p>
      <w:pPr>
        <w:pStyle w:val="Heading2"/>
      </w:pPr>
      <w:r>
        <w:t xml:space="preserve">La distinction Prep vs Product</w:t>
      </w:r>
    </w:p>
    <w:p>
      <w:pPr>
        <w:spacing w:after="160"/>
      </w:pPr>
      <w:r>
        <w:rPr>
          <w:rFonts w:ascii="Arial" w:cs="Arial" w:eastAsia="Arial" w:hAnsi="Arial"/>
          <w:sz w:val="22"/>
          <w:szCs w:val="22"/>
        </w:rPr>
        <w:t xml:space="preserve">Un Prep (Prep/Batch Recipe) est tout ce que vous cuisinez, coupez, hachez, préparez ou transformez d'une façon ou d'une autre depuis sa forme d'achat d'origine, en vue d'une autre recette. Un Product (Menu Recipe) est ce que le client commande directement au menu — un plat fini, vendable tel quel.</w:t>
      </w:r>
    </w:p>
    <w:p>
      <w:pPr>
        <w:spacing w:after="160"/>
      </w:pPr>
      <w:r>
        <w:rPr>
          <w:rFonts w:ascii="Arial" w:cs="Arial" w:eastAsia="Arial" w:hAnsi="Arial"/>
          <w:sz w:val="22"/>
          <w:szCs w:val="22"/>
        </w:rPr>
        <w:t xml:space="preserve">Règle pratique : si vous altérez un ingrédient ou le placez dans une autre recette destinée au menu, vous le « preppez ». Si vous utilisez un ingrédient brut sans le modifier, c'est un simple ingrédient Item — pas besoin de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Exception à connaître</w:t>
            </w:r>
          </w:p>
          <w:p>
            <w:pPr>
              <w:spacing w:after="0"/>
            </w:pPr>
            <w:r>
              <w:rPr>
                <w:rFonts w:ascii="Arial" w:cs="Arial" w:eastAsia="Arial" w:hAnsi="Arial"/>
                <w:sz w:val="21"/>
                <w:szCs w:val="21"/>
              </w:rPr>
              <w:t xml:space="preserve">Un item préparé individuellement qui reste un item individuel (ex. : cuisses de poulet, crevettes) sans qu'aucun autre ingrédient ne lui soit ajouté avant le service au client n'a pas besoin d'être preppé : le coût par pièce reste identique. Dès qu'un autre ingrédient est ajouté (panure, épice), le Prep redevient nécessaire.</w:t>
            </w:r>
          </w:p>
        </w:tc>
      </w:tr>
    </w:tbl>
    <w:p>
      <w:pPr>
        <w:pStyle w:val="Heading2"/>
      </w:pPr>
      <w:r>
        <w:t xml:space="preserve">Créer un Prep/Batch Recipe</w:t>
      </w:r>
    </w:p>
    <w:p>
      <w:pPr>
        <w:spacing w:after="160"/>
      </w:pPr>
      <w:r>
        <w:rPr>
          <w:rFonts w:ascii="Arial" w:cs="Arial" w:eastAsia="Arial" w:hAnsi="Arial"/>
          <w:sz w:val="22"/>
          <w:szCs w:val="22"/>
        </w:rPr>
        <w:t xml:space="preserve">Construisez le Prep exactement comme vous le feriez en cuisine. Les champs clés :</w:t>
      </w:r>
    </w:p>
    <w:p>
      <w:pPr>
        <w:pStyle w:val="ListParagraph"/>
        <w:numPr>
          <w:ilvl w:val="0"/>
          <w:numId w:val="3"/>
        </w:numPr>
        <w:spacing w:after="100"/>
      </w:pPr>
      <w:r>
        <w:rPr>
          <w:rFonts w:ascii="Arial" w:cs="Arial" w:eastAsia="Arial" w:hAnsi="Arial"/>
          <w:sz w:val="22"/>
          <w:szCs w:val="22"/>
        </w:rPr>
        <w:t xml:space="preserve">Description — un nom unique, différent de tout item ou produit existant.</w:t>
      </w:r>
    </w:p>
    <w:p>
      <w:pPr>
        <w:pStyle w:val="ListParagraph"/>
        <w:numPr>
          <w:ilvl w:val="0"/>
          <w:numId w:val="3"/>
        </w:numPr>
        <w:spacing w:after="100"/>
      </w:pPr>
      <w:r>
        <w:rPr>
          <w:rFonts w:ascii="Arial" w:cs="Arial" w:eastAsia="Arial" w:hAnsi="Arial"/>
          <w:sz w:val="22"/>
          <w:szCs w:val="22"/>
        </w:rPr>
        <w:t xml:space="preserve">Prep Physical Yield — le rendement final mesuré APRÈS préparation, dans l'unité utilisée pour ce Prep dans les recettes de menu. TracRite recommande de faire une moyenne sur 3 ou 4 lots pour plus de précision.</w:t>
      </w:r>
    </w:p>
    <w:p>
      <w:pPr>
        <w:pStyle w:val="ListParagraph"/>
        <w:numPr>
          <w:ilvl w:val="0"/>
          <w:numId w:val="3"/>
        </w:numPr>
        <w:spacing w:after="100"/>
      </w:pPr>
      <w:r>
        <w:rPr>
          <w:rFonts w:ascii="Arial" w:cs="Arial" w:eastAsia="Arial" w:hAnsi="Arial"/>
          <w:sz w:val="22"/>
          <w:szCs w:val="22"/>
        </w:rPr>
        <w:t xml:space="preserve">Unit of Measure (UOM) — l'unité d'usage du Prep dans les recettes de menu (volume ou poids selon le cas).</w:t>
      </w:r>
    </w:p>
    <w:p>
      <w:pPr>
        <w:pStyle w:val="ListParagraph"/>
        <w:numPr>
          <w:ilvl w:val="0"/>
          <w:numId w:val="3"/>
        </w:numPr>
        <w:spacing w:after="100"/>
      </w:pPr>
      <w:r>
        <w:rPr>
          <w:rFonts w:ascii="Arial" w:cs="Arial" w:eastAsia="Arial" w:hAnsi="Arial"/>
          <w:sz w:val="22"/>
          <w:szCs w:val="22"/>
        </w:rPr>
        <w:t xml:space="preserve">Include on Count Sheets — si coché, le Prep apparaît sur les feuilles de comptage d'inventaire.</w:t>
      </w:r>
    </w:p>
    <w:p>
      <w:pPr>
        <w:pStyle w:val="ListParagraph"/>
        <w:numPr>
          <w:ilvl w:val="0"/>
          <w:numId w:val="3"/>
        </w:numPr>
        <w:spacing w:after="100"/>
      </w:pPr>
      <w:r>
        <w:rPr>
          <w:rFonts w:ascii="Arial" w:cs="Arial" w:eastAsia="Arial" w:hAnsi="Arial"/>
          <w:sz w:val="22"/>
          <w:szCs w:val="22"/>
        </w:rPr>
        <w:t xml:space="preserve">Ingredients — choisis parmi Items ou d'autres Preps déjà créés.</w:t>
      </w:r>
    </w:p>
    <w:p>
      <w:pPr>
        <w:spacing w:after="160"/>
      </w:pPr>
      <w:r>
        <w:rPr>
          <w:rFonts w:ascii="Arial" w:cs="Arial" w:eastAsia="Arial" w:hAnsi="Arial"/>
          <w:sz w:val="22"/>
          <w:szCs w:val="22"/>
        </w:rPr>
        <w:t xml:space="preserve">Le logiciel calcule automatiquement le Total Cost (somme du coût de tous les ingrédients) puis l'Actual Cost Per Unit en divisant ce total par le Physical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sauce burger maison</w:t>
            </w:r>
          </w:p>
          <w:p>
            <w:pPr>
              <w:spacing w:after="0"/>
            </w:pPr>
            <w:r>
              <w:rPr>
                <w:rFonts w:ascii="Arial" w:cs="Arial" w:eastAsia="Arial" w:hAnsi="Arial"/>
                <w:sz w:val="21"/>
                <w:szCs w:val="21"/>
              </w:rPr>
              <w:t xml:space="preserve">34 oz de mayonnaise + 4 oz de ketchup + 16 oz de moutarde + 1,5 oz d'ail. Rendement final pesé : 54 oz. Coût total calculé : 4,05 $. Coût réel par once (unité d'usage) : 0,075 $ — soit environ 8 cents l'once.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fonte de haricots noirs cuits</w:t>
            </w:r>
          </w:p>
          <w:p>
            <w:pPr>
              <w:spacing w:after="0"/>
            </w:pPr>
            <w:r>
              <w:rPr>
                <w:rFonts w:ascii="Arial" w:cs="Arial" w:eastAsia="Arial" w:hAnsi="Arial"/>
                <w:sz w:val="21"/>
                <w:szCs w:val="21"/>
              </w:rPr>
              <w:t xml:space="preserve">40 onces de haricots secs deviennent 120 onces une fois cuits (rendement +300 %). Le Prep doit être créé avec un Physical Yield de 120 onces — sans quoi le coût par once serait calculé sur le poids sec, faussant complètement la recette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 ordre de préparation</w:t>
            </w:r>
          </w:p>
          <w:p>
            <w:pPr>
              <w:spacing w:after="0"/>
            </w:pPr>
            <w:r>
              <w:rPr>
                <w:rFonts w:ascii="Arial" w:cs="Arial" w:eastAsia="Arial" w:hAnsi="Arial"/>
                <w:sz w:val="21"/>
                <w:szCs w:val="21"/>
              </w:rPr>
              <w:t xml:space="preserve">Si une recette de salsa utilise des oignons hachés, des poivrons verts hachés et des tomates hachées, ces trois ingrédients doivent être preppés AVANT de créer le Prep « salsa » lui-même. Les Preps peuvent contenir d'autres Preps en cascade — il n'y a aucune limite au nombre d'ingrédients.</w:t>
            </w:r>
          </w:p>
        </w:tc>
      </w:tr>
    </w:tbl>
    <w:p>
      <w:pPr>
        <w:pStyle w:val="Heading2"/>
      </w:pPr>
      <w:r>
        <w:t xml:space="preserve">Calculateur de recette Prep</w:t>
      </w:r>
    </w:p>
    <w:p>
      <w:pPr>
        <w:spacing w:after="160"/>
      </w:pPr>
      <w:r>
        <w:rPr>
          <w:rFonts w:ascii="Arial" w:cs="Arial" w:eastAsia="Arial" w:hAnsi="Arial"/>
          <w:sz w:val="22"/>
          <w:szCs w:val="22"/>
        </w:rPr>
        <w:t xml:space="preserve">Le Prep Recipe Calculator permet de recalculer instantanément un lot à une taille différente (pour un événement spécial ou une journée chargée), sans modifier la recette de base — pratique pour imprimer une fiche de production adaptée au volume du jour, avec ou sans les coûts affichés.</w:t>
      </w:r>
    </w:p>
    <w:p>
      <w:pPr>
        <w:pStyle w:val="Heading2"/>
      </w:pPr>
      <w:r>
        <w:t xml:space="preserve">Créer un Product (recette de menu)</w:t>
      </w:r>
    </w:p>
    <w:p>
      <w:pPr>
        <w:spacing w:after="160"/>
      </w:pPr>
      <w:r>
        <w:rPr>
          <w:rFonts w:ascii="Arial" w:cs="Arial" w:eastAsia="Arial" w:hAnsi="Arial"/>
          <w:sz w:val="22"/>
          <w:szCs w:val="22"/>
        </w:rPr>
        <w:t xml:space="preserve">Les Products peuvent être composés d'Items, de Preps, et même d'autres Products (cas des menus combo). Avant de commencer, déterminez avec votre comptable le pourcentage de coût de vente (Cost of Sales) visé — généralement entre 30 et 35 %, parfois plus haut en restauration gastronomique.</w:t>
      </w:r>
    </w:p>
    <w:p>
      <w:pPr>
        <w:pStyle w:val="Heading3"/>
      </w:pPr>
      <w:r>
        <w:t xml:space="preserve">Champs clés d'un Product</w:t>
      </w:r>
    </w:p>
    <w:p>
      <w:pPr>
        <w:pStyle w:val="ListParagraph"/>
        <w:numPr>
          <w:ilvl w:val="0"/>
          <w:numId w:val="3"/>
        </w:numPr>
        <w:spacing w:after="100"/>
      </w:pPr>
      <w:r>
        <w:rPr>
          <w:rFonts w:ascii="Arial" w:cs="Arial" w:eastAsia="Arial" w:hAnsi="Arial"/>
          <w:sz w:val="22"/>
          <w:szCs w:val="22"/>
        </w:rPr>
        <w:t xml:space="preserve">POS ID# — le numéro PLU correspondant au bouton de caisse, pour la liaison avec les ventes importées.</w:t>
      </w:r>
    </w:p>
    <w:p>
      <w:pPr>
        <w:pStyle w:val="ListParagraph"/>
        <w:numPr>
          <w:ilvl w:val="0"/>
          <w:numId w:val="3"/>
        </w:numPr>
        <w:spacing w:after="100"/>
      </w:pPr>
      <w:r>
        <w:rPr>
          <w:rFonts w:ascii="Arial" w:cs="Arial" w:eastAsia="Arial" w:hAnsi="Arial"/>
          <w:sz w:val="22"/>
          <w:szCs w:val="22"/>
        </w:rPr>
        <w:t xml:space="preserve">POS Descrip — la description exacte telle qu'affichée dans le système de caisse, utilisée pour détecter si un bouton de caisse a été réaffecté à un autre produit.</w:t>
      </w:r>
    </w:p>
    <w:p>
      <w:pPr>
        <w:pStyle w:val="ListParagraph"/>
        <w:numPr>
          <w:ilvl w:val="0"/>
          <w:numId w:val="3"/>
        </w:numPr>
        <w:spacing w:after="100"/>
      </w:pPr>
      <w:r>
        <w:rPr>
          <w:rFonts w:ascii="Arial" w:cs="Arial" w:eastAsia="Arial" w:hAnsi="Arial"/>
          <w:sz w:val="22"/>
          <w:szCs w:val="22"/>
        </w:rPr>
        <w:t xml:space="preserve">Selling Price / Cost Percentage — entrer l'un calcule automatiquement l'autre.</w:t>
      </w:r>
    </w:p>
    <w:p>
      <w:pPr>
        <w:pStyle w:val="ListParagraph"/>
        <w:numPr>
          <w:ilvl w:val="0"/>
          <w:numId w:val="3"/>
        </w:numPr>
        <w:spacing w:after="100"/>
      </w:pPr>
      <w:r>
        <w:rPr>
          <w:rFonts w:ascii="Arial" w:cs="Arial" w:eastAsia="Arial" w:hAnsi="Arial"/>
          <w:sz w:val="22"/>
          <w:szCs w:val="22"/>
        </w:rPr>
        <w:t xml:space="preserve">Gross Margin / Gross Profit % — calculés automatiquement à partir du prix de vente et du coût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combo repas</w:t>
            </w:r>
          </w:p>
          <w:p>
            <w:pPr>
              <w:spacing w:after="0"/>
            </w:pPr>
            <w:r>
              <w:rPr>
                <w:rFonts w:ascii="Arial" w:cs="Arial" w:eastAsia="Arial" w:hAnsi="Arial"/>
                <w:sz w:val="21"/>
                <w:szCs w:val="21"/>
              </w:rPr>
              <w:t xml:space="preserve">Un menu combo peut simplement assembler trois Products/Preps déjà créés : le Product « Hamburger », le Prep « Frites moyennes », et l'Item « Boisson 10 oz », plutôt que de recréer chaque ingrédient depuis zéro. Coût total du combo : 1,46 $. Vendu 6,25 $ → coût de vente de 23,4 %.</w:t>
            </w:r>
          </w:p>
        </w:tc>
      </w:tr>
    </w:tbl>
    <w:p>
      <w:pPr>
        <w:spacing w:after="160"/>
      </w:pPr>
      <w:r>
        <w:rPr>
          <w:rFonts w:ascii="Arial" w:cs="Arial" w:eastAsia="Arial" w:hAnsi="Arial"/>
          <w:sz w:val="22"/>
          <w:szCs w:val="22"/>
        </w:rPr>
        <w:t xml:space="preserve">Le bouton Duplicate accélère la création de variantes : dupliquer un sandwich conserve tous ses ingrédients communs (pain, tomate, mayonnaise) ; il suffit alors de retirer la garniture d'origine et d'ajouter la nouvelle.</w:t>
      </w:r>
    </w:p>
    <w:p>
      <w:pPr>
        <w:pStyle w:val="Heading2"/>
      </w:pPr>
      <w:r>
        <w:t xml:space="preserve">L'éditeur de fiche recette (Recipe Editor)</w:t>
      </w:r>
    </w:p>
    <w:p>
      <w:pPr>
        <w:spacing w:after="160"/>
      </w:pPr>
      <w:r>
        <w:rPr>
          <w:rFonts w:ascii="Arial" w:cs="Arial" w:eastAsia="Arial" w:hAnsi="Arial"/>
          <w:sz w:val="22"/>
          <w:szCs w:val="22"/>
        </w:rPr>
        <w:t xml:space="preserve">Chaque Prep et Product dispose d'un éditeur de directives de préparation accessible en double-cliquant sur l'icône recette dans la fenêtre. On y rédige les étapes de préparation pour garantir la constance en cuisine. Un rapport formaté (Reports → Recipes → Single Prep/Product) permet d'imprimer une fiche recette propre pour affichage en cuisine.</w:t>
      </w:r>
    </w:p>
    <w:p>
      <w:pPr>
        <w:pStyle w:val="Heading1"/>
        <w:pageBreakBefore/>
      </w:pPr>
      <w:r>
        <w:t xml:space="preserve">Chapitre 5 — Gestion avancée : Item and Recipe Management</w:t>
      </w:r>
    </w:p>
    <w:p>
      <w:pPr>
        <w:spacing w:after="160"/>
      </w:pPr>
      <w:r>
        <w:rPr>
          <w:rFonts w:ascii="Arial" w:cs="Arial" w:eastAsia="Arial" w:hAnsi="Arial"/>
          <w:sz w:val="22"/>
          <w:szCs w:val="22"/>
        </w:rPr>
        <w:t xml:space="preserve">La fenêtre Item and Recipe Management (I.R.M.) est l'une des plus puissantes du logiciel : elle affiche, pour chaque Item ou Prep sélectionné, la liste complète des recettes qui le contiennent — extrêmement utile avant de supprimer ou modifier un ingrédient largement utilisé.</w:t>
      </w:r>
    </w:p>
    <w:p>
      <w:pPr>
        <w:pStyle w:val="Heading2"/>
      </w:pPr>
      <w:r>
        <w:t xml:space="preserve">Remplacer un ingrédient dans plusieurs recettes (Replace)</w:t>
      </w:r>
    </w:p>
    <w:p>
      <w:pPr>
        <w:spacing w:after="160"/>
      </w:pPr>
      <w:r>
        <w:rPr>
          <w:rFonts w:ascii="Arial" w:cs="Arial" w:eastAsia="Arial" w:hAnsi="Arial"/>
          <w:sz w:val="22"/>
          <w:szCs w:val="22"/>
        </w:rPr>
        <w:t xml:space="preserve">Si un fournisseur change de produit (par exemple, remplacer la chair de crabe bleu par du crabe royal dans toutes les recettes qui l'utilisent), la fonction Replace permet de sélectionner l'item d'origine, de surligner une ou plusieurs recettes qui le contiennent (CTRL ou SHIFT + clic pour une sélection multiple), puis de choisir le nouvel ingrédient dans la fenêtre Find/Replace — la substitution s'applique à toutes les recettes sélectionnées en une seule opération.</w:t>
      </w:r>
    </w:p>
    <w:p>
      <w:pPr>
        <w:pStyle w:val="Heading2"/>
      </w:pPr>
      <w:r>
        <w:t xml:space="preserve">Amalgamate Items — fusionner les doublons</w:t>
      </w:r>
    </w:p>
    <w:p>
      <w:pPr>
        <w:spacing w:after="160"/>
      </w:pPr>
      <w:r>
        <w:rPr>
          <w:rFonts w:ascii="Arial" w:cs="Arial" w:eastAsia="Arial" w:hAnsi="Arial"/>
          <w:sz w:val="22"/>
          <w:szCs w:val="22"/>
        </w:rPr>
        <w:t xml:space="preserve">Il arrive qu'un même item soit entré deux fois sous des noms légèrement différents — par exemple « Green Peppers » et « Peppers - Green » — typiquement lorsqu'un fournisseur change un conditionnement ou qu'un item n'a pas été retrouvé lors d'une saisie précédente. La fonction Amalgamate fusionne ces deux fiches en une seule.</w:t>
      </w:r>
    </w:p>
    <w:p>
      <w:pPr>
        <w:spacing w:after="160"/>
      </w:pPr>
      <w:r>
        <w:rPr>
          <w:rFonts w:ascii="Arial" w:cs="Arial" w:eastAsia="Arial" w:hAnsi="Arial"/>
          <w:sz w:val="22"/>
          <w:szCs w:val="22"/>
        </w:rPr>
        <w:t xml:space="preserve">Procédure : ouvrir Item and Recipe Management → Advanced → onglet Amalgamate, sélectionner l'item Master (celui qui doit rester) et l'item Duplicate (celui à éliminer), puis cliquer Amalgamate. Tous les montants d'inventaire, l'historique d'achats et les Sales Mix sont regroupés et rapportés sous l'item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Condition technique</w:t>
            </w:r>
          </w:p>
          <w:p>
            <w:pPr>
              <w:spacing w:after="0"/>
            </w:pPr>
            <w:r>
              <w:rPr>
                <w:rFonts w:ascii="Arial" w:cs="Arial" w:eastAsia="Arial" w:hAnsi="Arial"/>
                <w:sz w:val="21"/>
                <w:szCs w:val="21"/>
              </w:rPr>
              <w:t xml:space="preserve">Seuls deux items partageant exactement la même unité de mesure de recette (UOM) peuvent être amalgamés. Impossible de fusionner un item suivi en livres avec un item suivi en litres.</w:t>
            </w:r>
          </w:p>
        </w:tc>
      </w:tr>
    </w:tbl>
    <w:p>
      <w:pPr>
        <w:spacing w:after="160"/>
      </w:pPr>
      <w:r>
        <w:rPr>
          <w:rFonts w:ascii="Arial" w:cs="Arial" w:eastAsia="Arial" w:hAnsi="Arial"/>
          <w:sz w:val="22"/>
          <w:szCs w:val="22"/>
        </w:rPr>
        <w:t xml:space="preserve">Après la fusion, il reste deux étapes manuelles : marquer l'item Duplicate comme Inactive dans la fenêtre I.R.M., puis utiliser la fonction Replace pour le retirer de toute recette où il apparaîtrait encore.</w:t>
      </w:r>
    </w:p>
    <w:p>
      <w:pPr>
        <w:pStyle w:val="Heading2"/>
      </w:pPr>
      <w:r>
        <w:t xml:space="preserve">Associate Items — dupliquer vers un nouveau fournisseur</w:t>
      </w:r>
    </w:p>
    <w:p>
      <w:pPr>
        <w:spacing w:after="160"/>
      </w:pPr>
      <w:r>
        <w:rPr>
          <w:rFonts w:ascii="Arial" w:cs="Arial" w:eastAsia="Arial" w:hAnsi="Arial"/>
          <w:sz w:val="22"/>
          <w:szCs w:val="22"/>
        </w:rPr>
        <w:t xml:space="preserve">Lorsqu'un même lot d'items doit être configuré pour un nouveau fournisseur (et non un seul ou deux items isolés, auquel cas on utiliserait simplement Alternate Supplier depuis la fiche item), la fonction Associate permet de glisser-déposer plusieurs items en une fois d'un fournisseur source (Copy From) vers un fournisseur cible (Setup For). La même taille de conditionnement et les mêmes informations de commande sont copiées.</w:t>
      </w:r>
    </w:p>
    <w:p>
      <w:pPr>
        <w:pStyle w:val="Heading2"/>
      </w:pPr>
      <w:r>
        <w:t xml:space="preserve">Item Copy (OCPremier uniquement)</w:t>
      </w:r>
    </w:p>
    <w:p>
      <w:pPr>
        <w:spacing w:after="160"/>
      </w:pPr>
      <w:r>
        <w:rPr>
          <w:rFonts w:ascii="Arial" w:cs="Arial" w:eastAsia="Arial" w:hAnsi="Arial"/>
          <w:sz w:val="22"/>
          <w:szCs w:val="22"/>
        </w:rPr>
        <w:t xml:space="preserve">En mode multi-établissements, Item Copy permet de copier plusieurs items, Preps ou Products d'un établissement vers un autre en une seule opération glisser-déposer. Copier un Prep ou un Product entraîne automatiquement la copie de tous ses ingrédients vers le nouvel 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Si un item porte des factures, ventes ou données d'inventaire associées, il NE PEUT PAS être supprimé définitivement — seulement marqué Inactive. La suppression définitive exige d'abord d'effacer l'historique concerné via File → Delete Data.</w:t>
            </w:r>
          </w:p>
        </w:tc>
      </w:tr>
    </w:tbl>
    <w:p>
      <w:pPr>
        <w:pStyle w:val="Heading1"/>
        <w:pageBreakBefore/>
      </w:pPr>
      <w:r>
        <w:t xml:space="preserve">Chapitre 6 — Comptage d'inventaire</w:t>
      </w:r>
    </w:p>
    <w:p>
      <w:pPr>
        <w:spacing w:after="160"/>
      </w:pPr>
      <w:r>
        <w:rPr>
          <w:rFonts w:ascii="Arial" w:cs="Arial" w:eastAsia="Arial" w:hAnsi="Arial"/>
          <w:sz w:val="22"/>
          <w:szCs w:val="22"/>
        </w:rPr>
        <w:t xml:space="preserve">Compter son inventaire régulièrement — hebdomadairement au minimum, parfois quotidiennement pour les opérations à fort volume — est la pierre angulaire de la fiabilité de tout le système.</w:t>
      </w:r>
    </w:p>
    <w:p>
      <w:pPr>
        <w:pStyle w:val="Heading2"/>
      </w:pPr>
      <w:r>
        <w:t xml:space="preserve">L'assistant de configuration d'inventaire</w:t>
      </w:r>
    </w:p>
    <w:p>
      <w:pPr>
        <w:spacing w:after="160"/>
      </w:pPr>
      <w:r>
        <w:rPr>
          <w:rFonts w:ascii="Arial" w:cs="Arial" w:eastAsia="Arial" w:hAnsi="Arial"/>
          <w:sz w:val="22"/>
          <w:szCs w:val="22"/>
        </w:rPr>
        <w:t xml:space="preserve">Chaque nouveau comptage démarre par un assistant qui demande :</w:t>
      </w:r>
    </w:p>
    <w:p>
      <w:pPr>
        <w:pStyle w:val="ListParagraph"/>
        <w:numPr>
          <w:ilvl w:val="0"/>
          <w:numId w:val="3"/>
        </w:numPr>
        <w:spacing w:after="100"/>
      </w:pPr>
      <w:r>
        <w:rPr>
          <w:rFonts w:ascii="Arial" w:cs="Arial" w:eastAsia="Arial" w:hAnsi="Arial"/>
          <w:sz w:val="22"/>
          <w:szCs w:val="22"/>
        </w:rPr>
        <w:t xml:space="preserve">La date de clôture du comptage — un inventaire de clôture représente le stock au moment de la fermeture (si vous comptez le lundi matin avant ouverture, la date de clôture est le dimanche soir).</w:t>
      </w:r>
    </w:p>
    <w:p>
      <w:pPr>
        <w:pStyle w:val="ListParagraph"/>
        <w:numPr>
          <w:ilvl w:val="0"/>
          <w:numId w:val="3"/>
        </w:numPr>
        <w:spacing w:after="100"/>
      </w:pPr>
      <w:r>
        <w:rPr>
          <w:rFonts w:ascii="Arial" w:cs="Arial" w:eastAsia="Arial" w:hAnsi="Arial"/>
          <w:sz w:val="22"/>
          <w:szCs w:val="22"/>
        </w:rPr>
        <w:t xml:space="preserve">Le type de comptage : All Items, Key Items, Category, Group, ou Inventory List.</w:t>
      </w:r>
    </w:p>
    <w:p>
      <w:pPr>
        <w:pStyle w:val="ListParagraph"/>
        <w:numPr>
          <w:ilvl w:val="0"/>
          <w:numId w:val="3"/>
        </w:numPr>
        <w:spacing w:after="100"/>
      </w:pPr>
      <w:r>
        <w:rPr>
          <w:rFonts w:ascii="Arial" w:cs="Arial" w:eastAsia="Arial" w:hAnsi="Arial"/>
          <w:sz w:val="22"/>
          <w:szCs w:val="22"/>
        </w:rPr>
        <w:t xml:space="preserve">Si plusieurs feuilles de comptage sont nécessaires (par exemple, un responsable bière, un responsable spiritueux et un responsable cuisine complétant chacun leur propre liste séparément).</w:t>
      </w:r>
    </w:p>
    <w:p>
      <w:pPr>
        <w:pStyle w:val="Heading2"/>
      </w:pPr>
      <w:r>
        <w:t xml:space="preserve">Listes d'inventaire personnalisées</w:t>
      </w:r>
    </w:p>
    <w:p>
      <w:pPr>
        <w:spacing w:after="160"/>
      </w:pPr>
      <w:r>
        <w:rPr>
          <w:rFonts w:ascii="Arial" w:cs="Arial" w:eastAsia="Arial" w:hAnsi="Arial"/>
          <w:sz w:val="22"/>
          <w:szCs w:val="22"/>
        </w:rPr>
        <w:t xml:space="preserve">Les Inventory Lists permettent de créer des sous-listes nommées (« Bar list », « Liquor list », « Food list ») en glissant les items dans l'ordre souhaité — utile pour répartir le travail de comptage entre plusieurs responsables.</w:t>
      </w:r>
    </w:p>
    <w:p>
      <w:pPr>
        <w:spacing w:after="160"/>
      </w:pPr>
      <w:r>
        <w:rPr>
          <w:rFonts w:ascii="Arial" w:cs="Arial" w:eastAsia="Arial" w:hAnsi="Arial"/>
          <w:sz w:val="22"/>
          <w:szCs w:val="22"/>
        </w:rPr>
        <w:t xml:space="preserve">Les Custom Inventory Lists vont plus loin : elles permettent de réordonner les items pour qu'ils correspondent exactement à l'ordre physique des étagères en réserve, accélérant considérablement le comptage manuel.</w:t>
      </w:r>
    </w:p>
    <w:p>
      <w:pPr>
        <w:pStyle w:val="Heading2"/>
      </w:pPr>
      <w:r>
        <w:t xml:space="preserve">Méthodes de tri des feuilles de comptage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Tri</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emplacement de stockage, puis par groupe à l'intérieur (ex. : Réfrigérateur → Légumes → Citrons).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Uniquement par groupe, classé alphabétiquement à l'intérieur.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catégorie (Food, Beer, etc.).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Dans l'ordre exact défini manuellement (correspond à l'agencement physique de l'étagère).</w:t>
            </w:r>
          </w:p>
        </w:tc>
      </w:tr>
    </w:tbl>
    <w:p>
      <w:pPr>
        <w:spacing w:after="160"/>
      </w:pPr>
      <w:r>
        <w:t xml:space="preserve"/>
      </w:r>
    </w:p>
    <w:p>
      <w:pPr>
        <w:pStyle w:val="Heading2"/>
      </w:pPr>
      <w:r>
        <w:t xml:space="preserve">Saisir les comptages</w:t>
      </w:r>
    </w:p>
    <w:p>
      <w:pPr>
        <w:spacing w:after="160"/>
      </w:pPr>
      <w:r>
        <w:rPr>
          <w:rFonts w:ascii="Arial" w:cs="Arial" w:eastAsia="Arial" w:hAnsi="Arial"/>
          <w:sz w:val="22"/>
          <w:szCs w:val="22"/>
        </w:rPr>
        <w:t xml:space="preserve">Les quantités se saisissent par unité d'achat, unité de comptage et unité de recette. Une fois la saisie terminée, cliquer Summarize compile l'ensemble des comptages (toutes localisations et tailles de conditionnement confondues) dans la fenêtre Inventory Summary, où la valeur du stock est calculée selon la méthode choisie en préférences (FIFO, Last Cost, ou Average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Vérification avant sauvegarde</w:t>
            </w:r>
          </w:p>
          <w:p>
            <w:pPr>
              <w:spacing w:after="0"/>
            </w:pPr>
            <w:r>
              <w:rPr>
                <w:rFonts w:ascii="Arial" w:cs="Arial" w:eastAsia="Arial" w:hAnsi="Arial"/>
                <w:sz w:val="21"/>
                <w:szCs w:val="21"/>
              </w:rPr>
              <w:t xml:space="preserve">Avant de cliquer Save Inventory, comparez toujours les comptages physiques et la valeur calculée. Une erreur de saisie classique : 25 livres de poivrons à 114,00 $ au lieu de 2,5 livres à 11,40 $ — une virgule mal placée peut fausser tout un rapport hebdomadaire.</w:t>
            </w:r>
          </w:p>
        </w:tc>
      </w:tr>
    </w:tbl>
    <w:p>
      <w:pPr>
        <w:spacing w:after="160"/>
      </w:pPr>
      <w:r>
        <w:rPr>
          <w:rFonts w:ascii="Arial" w:cs="Arial" w:eastAsia="Arial" w:hAnsi="Arial"/>
          <w:sz w:val="22"/>
          <w:szCs w:val="22"/>
        </w:rPr>
        <w:t xml:space="preserve">Le logiciel demandera de confirmer que toutes les Factures, Ventes quotidiennes, Sales Mix et Pertes (Waste) ont bien été saisies jusqu'à cette date avant de finaliser — une étape critique puisque Optimum Control ajuste automatiquement les niveaux de stock en fonction de ces quatre modules.</w:t>
      </w:r>
    </w:p>
    <w:p>
      <w:pPr>
        <w:pStyle w:val="Heading2"/>
      </w:pPr>
      <w:r>
        <w:t xml:space="preserve">Ajuster un comptage après coup (Adjust)</w:t>
      </w:r>
    </w:p>
    <w:p>
      <w:pPr>
        <w:spacing w:after="160"/>
      </w:pPr>
      <w:r>
        <w:rPr>
          <w:rFonts w:ascii="Arial" w:cs="Arial" w:eastAsia="Arial" w:hAnsi="Arial"/>
          <w:sz w:val="22"/>
          <w:szCs w:val="22"/>
        </w:rPr>
        <w:t xml:space="preserve">Une erreur de comptage repérée après sauvegarde se corrige via Inventory → Adjust Inventory : rechercher l'item concerné, entrer le Actual on Hand correct, et indiquer (optionnellement, ou obligatoirement si configuré ainsi en préférences) une raison de l'ajustement. Les montants ajustés apparaissent marqués d'un astérisque dans le rapport Usage Summary.</w:t>
      </w:r>
    </w:p>
    <w:p>
      <w:pPr>
        <w:pStyle w:val="Heading2"/>
      </w:pPr>
      <w:r>
        <w:t xml:space="preserve">Supprimer un inventaire</w:t>
      </w:r>
    </w:p>
    <w:p>
      <w:pPr>
        <w:spacing w:after="160"/>
      </w:pPr>
      <w:r>
        <w:rPr>
          <w:rFonts w:ascii="Arial" w:cs="Arial" w:eastAsia="Arial" w:hAnsi="Arial"/>
          <w:sz w:val="22"/>
          <w:szCs w:val="22"/>
        </w:rPr>
        <w:t xml:space="preserve">En cas d'erreur majeure, un inventaire entier peut être supprimé et recommencé via Inventory → Delete Inventory — une sauvegarde préalable de la base de données est fortement recommandée, et un code de confirmation est demandé avant la suppression définitive.</w:t>
      </w:r>
    </w:p>
    <w:p>
      <w:pPr>
        <w:pStyle w:val="Heading1"/>
        <w:pageBreakBefore/>
      </w:pPr>
      <w:r>
        <w:t xml:space="preserve">Chapitre 7 — Commandes et appels d'offres fournisseurs</w:t>
      </w:r>
    </w:p>
    <w:p>
      <w:pPr>
        <w:spacing w:after="160"/>
      </w:pPr>
      <w:r>
        <w:rPr>
          <w:rFonts w:ascii="Arial" w:cs="Arial" w:eastAsia="Arial" w:hAnsi="Arial"/>
          <w:sz w:val="22"/>
          <w:szCs w:val="22"/>
        </w:rPr>
        <w:t xml:space="preserve">Au-delà de la simple saisie de factures, Optimum Control offre un module complet de gestion des commandes : feuilles de commande imprimables, commandes structurées par fournisseur, prévisions automatiques basées sur l'historique de ventes, et même un système d'appels d'offres pour comparer activement les prix entre fournisseurs.</w:t>
      </w:r>
    </w:p>
    <w:p>
      <w:pPr>
        <w:pStyle w:val="Heading2"/>
      </w:pPr>
      <w:r>
        <w:t xml:space="preserve">Feuilles de commande (Order Sheets)</w:t>
      </w:r>
    </w:p>
    <w:p>
      <w:pPr>
        <w:spacing w:after="160"/>
      </w:pPr>
      <w:r>
        <w:rPr>
          <w:rFonts w:ascii="Arial" w:cs="Arial" w:eastAsia="Arial" w:hAnsi="Arial"/>
          <w:sz w:val="22"/>
          <w:szCs w:val="22"/>
        </w:rPr>
        <w:t xml:space="preserve">Via Reports → Monthly Order Sheet ou Inventory Order Form, on génère une feuille de commande filtrable par fournisseur, groupe ou catégorie — pratique pour qu'un responsable boisson n'imprime que les produits liquides, par exemple.</w:t>
      </w:r>
    </w:p>
    <w:p>
      <w:pPr>
        <w:pStyle w:val="Heading2"/>
      </w:pPr>
      <w:r>
        <w:t xml:space="preserve">Créer une commande structurée</w:t>
      </w:r>
    </w:p>
    <w:p>
      <w:pPr>
        <w:spacing w:after="160"/>
      </w:pPr>
      <w:r>
        <w:rPr>
          <w:rFonts w:ascii="Arial" w:cs="Arial" w:eastAsia="Arial" w:hAnsi="Arial"/>
          <w:sz w:val="22"/>
          <w:szCs w:val="22"/>
        </w:rPr>
        <w:t xml:space="preserve">La fenêtre New Order Worksheet permet de bâtir une commande pour un fournisseur unique ou pour tous les fournisseurs simultanément. Le champ Default To propose deux options : Last Supplier (le dernier fournisseur ayant livré l'item) ou Best Bid Price (le fournisseur offrant le meilleur prix actif, voir Bids ci-dessous).</w:t>
      </w:r>
    </w:p>
    <w:p>
      <w:pPr>
        <w:spacing w:after="160"/>
      </w:pPr>
      <w:r>
        <w:rPr>
          <w:rFonts w:ascii="Arial" w:cs="Arial" w:eastAsia="Arial" w:hAnsi="Arial"/>
          <w:sz w:val="22"/>
          <w:szCs w:val="22"/>
        </w:rPr>
        <w:t xml:space="preserve">Une fois la commande complétée et validée (Create), un numéro de Purchase Order optionnel peut être attribué avant export ou impression.</w:t>
      </w:r>
    </w:p>
    <w:p>
      <w:pPr>
        <w:pStyle w:val="Heading2"/>
      </w:pPr>
      <w:r>
        <w:t xml:space="preserve">Modèles de commande (Order Templates)</w:t>
      </w:r>
    </w:p>
    <w:p>
      <w:pPr>
        <w:spacing w:after="160"/>
      </w:pPr>
      <w:r>
        <w:rPr>
          <w:rFonts w:ascii="Arial" w:cs="Arial" w:eastAsia="Arial" w:hAnsi="Arial"/>
          <w:sz w:val="22"/>
          <w:szCs w:val="22"/>
        </w:rPr>
        <w:t xml:space="preserve">Pour les fournisseurs commandés régulièrement avec une liste d'items récurrente, un Template évite de re-sélectionner chaque item à chaque commande. Sauvegarder, charger et supprimer des modèles se fait directement depuis la fenêtre de commande.</w:t>
      </w:r>
    </w:p>
    <w:p>
      <w:pPr>
        <w:pStyle w:val="Heading2"/>
      </w:pPr>
      <w:r>
        <w:t xml:space="preserve">Prévision de commande (Forecasting Orders)</w:t>
      </w:r>
    </w:p>
    <w:p>
      <w:pPr>
        <w:spacing w:after="160"/>
      </w:pPr>
      <w:r>
        <w:rPr>
          <w:rFonts w:ascii="Arial" w:cs="Arial" w:eastAsia="Arial" w:hAnsi="Arial"/>
          <w:sz w:val="22"/>
          <w:szCs w:val="22"/>
        </w:rPr>
        <w:t xml:space="preserve">À partir des données du rapport Usage Summary, le logiciel peut générer une commande prévisionnelle automatique :</w:t>
      </w:r>
    </w:p>
    <w:p>
      <w:pPr>
        <w:pStyle w:val="ListParagraph"/>
        <w:numPr>
          <w:ilvl w:val="0"/>
          <w:numId w:val="3"/>
        </w:numPr>
        <w:spacing w:after="100"/>
      </w:pPr>
      <w:r>
        <w:rPr>
          <w:rFonts w:ascii="Arial" w:cs="Arial" w:eastAsia="Arial" w:hAnsi="Arial"/>
          <w:sz w:val="22"/>
          <w:szCs w:val="22"/>
        </w:rPr>
        <w:t xml:space="preserve">Forecast By Sales Volume — basé sur un montant de ventes budgété (recommandé pour les périodes chargées).</w:t>
      </w:r>
    </w:p>
    <w:p>
      <w:pPr>
        <w:pStyle w:val="ListParagraph"/>
        <w:numPr>
          <w:ilvl w:val="0"/>
          <w:numId w:val="3"/>
        </w:numPr>
        <w:spacing w:after="100"/>
      </w:pPr>
      <w:r>
        <w:rPr>
          <w:rFonts w:ascii="Arial" w:cs="Arial" w:eastAsia="Arial" w:hAnsi="Arial"/>
          <w:sz w:val="22"/>
          <w:szCs w:val="22"/>
        </w:rPr>
        <w:t xml:space="preserve">Forecast By Days — basé sur un nombre de jours à couvrir (3, 7, 14, 30...).</w:t>
      </w:r>
    </w:p>
    <w:p>
      <w:pPr>
        <w:pStyle w:val="ListParagraph"/>
        <w:numPr>
          <w:ilvl w:val="0"/>
          <w:numId w:val="3"/>
        </w:numPr>
        <w:spacing w:after="100"/>
      </w:pPr>
      <w:r>
        <w:rPr>
          <w:rFonts w:ascii="Arial" w:cs="Arial" w:eastAsia="Arial" w:hAnsi="Arial"/>
          <w:sz w:val="22"/>
          <w:szCs w:val="22"/>
        </w:rPr>
        <w:t xml:space="preserve">Adjust for current stock levels — déduit le stock déjà en main du montant suggéré.</w:t>
      </w:r>
    </w:p>
    <w:p>
      <w:pPr>
        <w:pStyle w:val="ListParagraph"/>
        <w:numPr>
          <w:ilvl w:val="0"/>
          <w:numId w:val="3"/>
        </w:numPr>
        <w:spacing w:after="100"/>
      </w:pPr>
      <w:r>
        <w:rPr>
          <w:rFonts w:ascii="Arial" w:cs="Arial" w:eastAsia="Arial" w:hAnsi="Arial"/>
          <w:sz w:val="22"/>
          <w:szCs w:val="22"/>
        </w:rPr>
        <w:t xml:space="preserve">Round to nearest case — arrondit les quantités à la caisse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w:t>
            </w:r>
          </w:p>
          <w:p>
            <w:pPr>
              <w:spacing w:after="0"/>
            </w:pPr>
            <w:r>
              <w:rPr>
                <w:rFonts w:ascii="Arial" w:cs="Arial" w:eastAsia="Arial" w:hAnsi="Arial"/>
                <w:sz w:val="21"/>
                <w:szCs w:val="21"/>
              </w:rPr>
              <w:t xml:space="preserve">Il reste 1 pot de cornichons en stock. Sur la base de l'usage habituel, le système calcule qu'il en faudrait 3 pour couvrir la période. Avec « Adjust for current stock levels » activé, la feuille prévisionnelle ne suggérera que 2 pots — le pot déjà en stock étant déduit automatiquement.</w:t>
            </w:r>
          </w:p>
        </w:tc>
      </w:tr>
    </w:tbl>
    <w:p>
      <w:pPr>
        <w:pStyle w:val="Heading2"/>
      </w:pPr>
      <w:r>
        <w:t xml:space="preserve">Appels d'offres fournisseurs (Bids)</w:t>
      </w:r>
    </w:p>
    <w:p>
      <w:pPr>
        <w:spacing w:after="160"/>
      </w:pPr>
      <w:r>
        <w:rPr>
          <w:rFonts w:ascii="Arial" w:cs="Arial" w:eastAsia="Arial" w:hAnsi="Arial"/>
          <w:sz w:val="22"/>
          <w:szCs w:val="22"/>
        </w:rPr>
        <w:t xml:space="preserve">Le système de Bids permet de comparer activement les prix entre fournisseurs et d'attribuer chaque commande au plus offrant — un mécanisme qui peut représenter des économies substantielles sur une année complète.</w:t>
      </w:r>
    </w:p>
    <w:p>
      <w:pPr>
        <w:pStyle w:val="Heading3"/>
      </w:pPr>
      <w:r>
        <w:t xml:space="preserve">Configurer les items éligibles aux appels d'offres</w:t>
      </w:r>
    </w:p>
    <w:p>
      <w:pPr>
        <w:spacing w:after="160"/>
      </w:pPr>
      <w:r>
        <w:rPr>
          <w:rFonts w:ascii="Arial" w:cs="Arial" w:eastAsia="Arial" w:hAnsi="Arial"/>
          <w:sz w:val="22"/>
          <w:szCs w:val="22"/>
        </w:rPr>
        <w:t xml:space="preserve">Dans Purchasing → Supplier Item Recap, cocher Accept Bids? pour chaque item destiné à recevoir des offres comparatives (ou cocher la case globale pour tout sélectionner d'un coup).</w:t>
      </w:r>
    </w:p>
    <w:p>
      <w:pPr>
        <w:pStyle w:val="Heading3"/>
      </w:pPr>
      <w:r>
        <w:t xml:space="preserve">Demander des offres</w:t>
      </w:r>
    </w:p>
    <w:p>
      <w:pPr>
        <w:spacing w:after="160"/>
      </w:pPr>
      <w:r>
        <w:rPr>
          <w:rFonts w:ascii="Arial" w:cs="Arial" w:eastAsia="Arial" w:hAnsi="Arial"/>
          <w:sz w:val="22"/>
          <w:szCs w:val="22"/>
        </w:rPr>
        <w:t xml:space="preserve">Deux méthodes sont disponibles : demander des offres à un seul fournisseur à la fois (Purchasing → Bid List, onglet Manual — impression/fax ou export .csv à transmettre par email), ou demander simultanément à tous les fournisseurs concernés depuis la fenêtre de commande (bouton Request Bids), qui génère automatiquement les emails ou feuilles imprimées nécessaires.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d'échange</w:t>
            </w:r>
          </w:p>
          <w:p>
            <w:pPr>
              <w:spacing w:after="0"/>
            </w:pPr>
            <w:r>
              <w:rPr>
                <w:rFonts w:ascii="Arial" w:cs="Arial" w:eastAsia="Arial" w:hAnsi="Arial"/>
                <w:sz w:val="21"/>
                <w:szCs w:val="21"/>
              </w:rPr>
              <w:t xml:space="preserve">Les offres s'échangent au format .csv (compatible Excel). Le fournisseur reçoit le fichier, y inscrit ses prix et une date d'expiration, puis le renvoie. Il est essentiel que le fichier soit réimporté tel quel — un fichier sauvegardé au format Excel natif (.xlsx) ne sera pas reconnu à l'import.</w:t>
            </w:r>
          </w:p>
        </w:tc>
      </w:tr>
    </w:tbl>
    <w:p>
      <w:pPr>
        <w:pStyle w:val="Heading3"/>
      </w:pPr>
      <w:r>
        <w:t xml:space="preserve">Utiliser les meilleures offres dans une commande</w:t>
      </w:r>
    </w:p>
    <w:p>
      <w:pPr>
        <w:spacing w:after="160"/>
      </w:pPr>
      <w:r>
        <w:rPr>
          <w:rFonts w:ascii="Arial" w:cs="Arial" w:eastAsia="Arial" w:hAnsi="Arial"/>
          <w:sz w:val="22"/>
          <w:szCs w:val="22"/>
        </w:rPr>
        <w:t xml:space="preserve">Une fois les offres importées, sélectionner Best Bid Price dans le champ Default To d'une nouvelle commande fait apparaître en bleu tous les items disposant d'une offre active, et le logiciel sélectionne automatiquement le fournisseur le moins cher pour chaque ligne (recherche uniquement parmi les offres encore valides, non expirées). Il reste possible de forcer un autre fournisseur ligne par ligne via clic droit → Select.</w:t>
      </w:r>
    </w:p>
    <w:p>
      <w:pPr>
        <w:spacing w:after="160"/>
      </w:pPr>
      <w:r>
        <w:rPr>
          <w:rFonts w:ascii="Arial" w:cs="Arial" w:eastAsia="Arial" w:hAnsi="Arial"/>
          <w:sz w:val="22"/>
          <w:szCs w:val="22"/>
        </w:rPr>
        <w:t xml:space="preserve">Lors de la réception de la facture correspondante, les prix négociés via Bid sont automatiquement appliqués comme coûts unitaires.</w:t>
      </w:r>
    </w:p>
    <w:p>
      <w:pPr>
        <w:pStyle w:val="Heading1"/>
        <w:pageBreakBefore/>
      </w:pPr>
      <w:r>
        <w:t xml:space="preserve">Chapitre 8 — Facturation</w:t>
      </w:r>
    </w:p>
    <w:p>
      <w:pPr>
        <w:spacing w:after="160"/>
      </w:pPr>
      <w:r>
        <w:rPr>
          <w:rFonts w:ascii="Arial" w:cs="Arial" w:eastAsia="Arial" w:hAnsi="Arial"/>
          <w:sz w:val="22"/>
          <w:szCs w:val="22"/>
        </w:rPr>
        <w:t xml:space="preserve">Une fois la commande reçue, vous recevez une facture du fournisseur (bill, ticket, etc.) — pour des fournitures d'inventaire ou pour des dépenses générales (service de courrier, nettoyage). C'est la facturation qui fait réellement entrer le stock dans le système.</w:t>
      </w:r>
    </w:p>
    <w:p>
      <w:pPr>
        <w:pStyle w:val="Heading2"/>
      </w:pPr>
      <w:r>
        <w:t xml:space="preserve">Saisir une facture</w:t>
      </w:r>
    </w:p>
    <w:p>
      <w:pPr>
        <w:spacing w:after="160"/>
      </w:pPr>
      <w:r>
        <w:rPr>
          <w:rFonts w:ascii="Arial" w:cs="Arial" w:eastAsia="Arial" w:hAnsi="Arial"/>
          <w:sz w:val="22"/>
          <w:szCs w:val="22"/>
        </w:rPr>
        <w:t xml:space="preserve">Lors de la sélection du fournisseur, la liste de gauche se peuple automatiquement de tous les items et conditionnements déjà configurés pour ce fournisseur — glisser-déposer, recherche par nom, ou recherche par Order Code pour ajouter rapidement chaque ligne.</w:t>
      </w:r>
    </w:p>
    <w:p>
      <w:pPr>
        <w:pStyle w:val="Heading3"/>
      </w:pPr>
      <w:r>
        <w:t xml:space="preserve">Le mécanisme exact du Price Override</w:t>
      </w:r>
    </w:p>
    <w:p>
      <w:pPr>
        <w:spacing w:after="160"/>
      </w:pPr>
      <w:r>
        <w:rPr>
          <w:rFonts w:ascii="Arial" w:cs="Arial" w:eastAsia="Arial" w:hAnsi="Arial"/>
          <w:sz w:val="22"/>
          <w:szCs w:val="22"/>
        </w:rPr>
        <w:t xml:space="preserve">Lorsque le prix unitaire saisi diffère de celui déjà enregistré dans la fiche item, une case (O) Price Override se coche automatiquement à côté de la ligne concernée. Cette case autorise le nouveau prix à s'appliquer à cette ligne de facture. Au moment de sauvegarder, si des prix ont changé, une fenêtre Update Pricing for Selected Items propose un choix décisif :</w:t>
      </w:r>
    </w:p>
    <w:p>
      <w:pPr>
        <w:pStyle w:val="ListParagraph"/>
        <w:numPr>
          <w:ilvl w:val="0"/>
          <w:numId w:val="3"/>
        </w:numPr>
        <w:spacing w:after="100"/>
      </w:pPr>
      <w:r>
        <w:rPr>
          <w:rFonts w:ascii="Arial" w:cs="Arial" w:eastAsia="Arial" w:hAnsi="Arial"/>
          <w:sz w:val="22"/>
          <w:szCs w:val="22"/>
        </w:rPr>
        <w:t xml:space="preserve">Cocher la case = le changement de prix est permanent. Le coût de la recette sera mis à jour pour tous les calculs futurs.</w:t>
      </w:r>
    </w:p>
    <w:p>
      <w:pPr>
        <w:pStyle w:val="ListParagraph"/>
        <w:numPr>
          <w:ilvl w:val="0"/>
          <w:numId w:val="3"/>
        </w:numPr>
        <w:spacing w:after="100"/>
      </w:pPr>
      <w:r>
        <w:rPr>
          <w:rFonts w:ascii="Arial" w:cs="Arial" w:eastAsia="Arial" w:hAnsi="Arial"/>
          <w:sz w:val="22"/>
          <w:szCs w:val="22"/>
        </w:rPr>
        <w:t xml:space="preserve">Laisser décoché = le changement de prix concerne uniquement cette facture (cas d'une hausse ponctuelle, d'une erreur fournisseur). Le coût standard de la recette reste inchangé.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Pourquoi c'est important</w:t>
            </w:r>
          </w:p>
          <w:p>
            <w:pPr>
              <w:spacing w:after="0"/>
            </w:pPr>
            <w:r>
              <w:rPr>
                <w:rFonts w:ascii="Arial" w:cs="Arial" w:eastAsia="Arial" w:hAnsi="Arial"/>
                <w:sz w:val="21"/>
                <w:szCs w:val="21"/>
              </w:rPr>
              <w:t xml:space="preserve">Ce mécanisme évite qu'une variation ponctuelle de prix (rupture de stock chez le fournisseur, promotion exceptionnelle) ne fausse durablement le coût théorique de toutes vos recettes. C'est l'utilisateur qui décide, facture par facture, si un changement de prix doit se propager ou rester isolé.</w:t>
            </w:r>
          </w:p>
        </w:tc>
      </w:tr>
    </w:tbl>
    <w:p>
      <w:pPr>
        <w:pStyle w:val="Heading2"/>
      </w:pPr>
      <w:r>
        <w:t xml:space="preserve">Demander un crédit en cours de saisie de facture</w:t>
      </w:r>
    </w:p>
    <w:p>
      <w:pPr>
        <w:spacing w:after="160"/>
      </w:pPr>
      <w:r>
        <w:rPr>
          <w:rFonts w:ascii="Arial" w:cs="Arial" w:eastAsia="Arial" w:hAnsi="Arial"/>
          <w:sz w:val="22"/>
          <w:szCs w:val="22"/>
        </w:rPr>
        <w:t xml:space="preserve">Si une partie de la marchandise reçue est endommagée ou périmée, on peut directement demander un crédit pendant la saisie de la facture (bouton Request Credit). Le montant total facturé reste saisi normalement (la facture s'équilibre), mais le stock retourné n'est PAS ajouté à l'inventaire — le crédit demandé apparaît dans la fenêtre Credit Reconciliation, prêt à être rapproché lorsque la note de crédit du fournisseur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Limite importante</w:t>
            </w:r>
          </w:p>
          <w:p>
            <w:pPr>
              <w:spacing w:after="0"/>
            </w:pPr>
            <w:r>
              <w:rPr>
                <w:rFonts w:ascii="Arial" w:cs="Arial" w:eastAsia="Arial" w:hAnsi="Arial"/>
                <w:sz w:val="21"/>
                <w:szCs w:val="21"/>
              </w:rPr>
              <w:t xml:space="preserve">Une fois la facture sauvegardée, il est impossible de la rouvrir pour y demander un crédit a posteriori. Le crédit doit alors être saisi manuellement (Invoices → New → Credit), mais ce type de crédit manuel n'apparaîtra PAS dans la fenêtre de rapprochement automatique.</w:t>
            </w:r>
          </w:p>
        </w:tc>
      </w:tr>
    </w:tbl>
    <w:p>
      <w:pPr>
        <w:pStyle w:val="Heading2"/>
      </w:pPr>
      <w:r>
        <w:t xml:space="preserve">Rapprocher les crédits en attente (Credit Reconciliation)</w:t>
      </w:r>
    </w:p>
    <w:p>
      <w:pPr>
        <w:spacing w:after="160"/>
      </w:pPr>
      <w:r>
        <w:rPr>
          <w:rFonts w:ascii="Arial" w:cs="Arial" w:eastAsia="Arial" w:hAnsi="Arial"/>
          <w:sz w:val="22"/>
          <w:szCs w:val="22"/>
        </w:rPr>
        <w:t xml:space="preserve">Cette fenêtre liste tous les crédits demandés en attente de réception. Lorsque la note de crédit arrive enfin du fournisseur, on coche Received, on saisit le numéro de crédit, la date et le montant total (qui doit s'équilibrer exactement), puis Process. Le crédit traité apparaît ensuite dans les rapports de facture sous le type « R ».</w:t>
      </w:r>
    </w:p>
    <w:p>
      <w:pPr>
        <w:pStyle w:val="Heading2"/>
      </w:pPr>
      <w:r>
        <w:t xml:space="preserve">Import automatique de factures — EDI Invoice Import</w:t>
      </w:r>
    </w:p>
    <w:p>
      <w:pPr>
        <w:spacing w:after="160"/>
      </w:pPr>
      <w:r>
        <w:rPr>
          <w:rFonts w:ascii="Arial" w:cs="Arial" w:eastAsia="Arial" w:hAnsi="Arial"/>
          <w:sz w:val="22"/>
          <w:szCs w:val="22"/>
        </w:rPr>
        <w:t xml:space="preserve">Module optionnel qui télécharge les factures numériques directement, en mettant à jour automatiquement les prix, les niveaux de stock et les comptes — un gain de temps considérable (une facture de 3 pages saisie en quelques minutes). Le fournisseur doit pouvoir générer un fichier au format EDI 810 ou .csv, déposé sur un serveur FTP ou envoyé par email.</w:t>
      </w:r>
    </w:p>
    <w:p>
      <w:pPr>
        <w:pStyle w:val="Heading3"/>
      </w:pPr>
      <w:r>
        <w:t xml:space="preserve">Configuration EDI — étapes générales</w:t>
      </w:r>
    </w:p>
    <w:p>
      <w:pPr>
        <w:pStyle w:val="ListParagraph"/>
        <w:numPr>
          <w:ilvl w:val="0"/>
          <w:numId w:val="6"/>
        </w:numPr>
        <w:spacing w:after="100"/>
      </w:pPr>
      <w:r>
        <w:rPr>
          <w:rFonts w:ascii="Arial" w:cs="Arial" w:eastAsia="Arial" w:hAnsi="Arial"/>
          <w:sz w:val="22"/>
          <w:szCs w:val="22"/>
        </w:rPr>
        <w:t xml:space="preserve">Choisir le format de fichier : EDI 810 ou CSV.</w:t>
      </w:r>
    </w:p>
    <w:p>
      <w:pPr>
        <w:pStyle w:val="ListParagraph"/>
        <w:numPr>
          <w:ilvl w:val="0"/>
          <w:numId w:val="6"/>
        </w:numPr>
        <w:spacing w:after="100"/>
      </w:pPr>
      <w:r>
        <w:rPr>
          <w:rFonts w:ascii="Arial" w:cs="Arial" w:eastAsia="Arial" w:hAnsi="Arial"/>
          <w:sz w:val="22"/>
          <w:szCs w:val="22"/>
        </w:rPr>
        <w:t xml:space="preserve">Indiquer l'extension de fichier recherchée (ex. : .810 ou .csv).</w:t>
      </w:r>
    </w:p>
    <w:p>
      <w:pPr>
        <w:pStyle w:val="ListParagraph"/>
        <w:numPr>
          <w:ilvl w:val="0"/>
          <w:numId w:val="6"/>
        </w:numPr>
        <w:spacing w:after="100"/>
      </w:pPr>
      <w:r>
        <w:rPr>
          <w:rFonts w:ascii="Arial" w:cs="Arial" w:eastAsia="Arial" w:hAnsi="Arial"/>
          <w:sz w:val="22"/>
          <w:szCs w:val="22"/>
        </w:rPr>
        <w:t xml:space="preserve">Définir le dossier local où seront déposés les fichiers téléchargés (le dossier doit exister et être accessible en lecture/écriture).</w:t>
      </w:r>
    </w:p>
    <w:p>
      <w:pPr>
        <w:pStyle w:val="ListParagraph"/>
        <w:numPr>
          <w:ilvl w:val="0"/>
          <w:numId w:val="6"/>
        </w:numPr>
        <w:spacing w:after="100"/>
      </w:pPr>
      <w:r>
        <w:rPr>
          <w:rFonts w:ascii="Arial" w:cs="Arial" w:eastAsia="Arial" w:hAnsi="Arial"/>
          <w:sz w:val="22"/>
          <w:szCs w:val="22"/>
        </w:rPr>
        <w:t xml:space="preserve">Renseigner les informations de connexion FTP fournies par le représentant du fournisseur : adresse serveur, nom d'utilisateur, mot de passe.</w:t>
      </w:r>
    </w:p>
    <w:p>
      <w:pPr>
        <w:pStyle w:val="Heading3"/>
      </w:pPr>
      <w:r>
        <w:t xml:space="preserve">Configuration spécifique au format CSV</w:t>
      </w:r>
    </w:p>
    <w:p>
      <w:pPr>
        <w:spacing w:after="160"/>
      </w:pPr>
      <w:r>
        <w:rPr>
          <w:rFonts w:ascii="Arial" w:cs="Arial" w:eastAsia="Arial" w:hAnsi="Arial"/>
          <w:sz w:val="22"/>
          <w:szCs w:val="22"/>
        </w:rPr>
        <w:t xml:space="preserve">Pour un fichier CSV, il faut indiquer précisément quelle colonne contient quelle donnée — numéro de facture, numéro client, total, date (avec son format jour/mois/année), puis au niveau des lignes : code article, description fournisseur, quantité, coût unitaire, unité de mesure, total de ligne. Une fonction Preview permet de visualiser le fichier avant de finaliser le mapping des colonnes.</w:t>
      </w:r>
    </w:p>
    <w:p>
      <w:pPr>
        <w:pStyle w:val="Heading3"/>
      </w:pPr>
      <w:r>
        <w:t xml:space="preserve">Importer et traiter les fichiers EDI</w:t>
      </w:r>
    </w:p>
    <w:p>
      <w:pPr>
        <w:spacing w:after="160"/>
      </w:pPr>
      <w:r>
        <w:rPr>
          <w:rFonts w:ascii="Arial" w:cs="Arial" w:eastAsia="Arial" w:hAnsi="Arial"/>
          <w:sz w:val="22"/>
          <w:szCs w:val="22"/>
        </w:rPr>
        <w:t xml:space="preserve">Dans Purchasing → EDI Invoice Import, sélectionner le fournisseur puis cliquer Get Invoices pour récupérer les fichiers en attente. Chaque facture affiche un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Facture importée et sauvegardée sans problème.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Errors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 erreurs ont été détectées — cliquer pour les consulter et les corriger.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Invoice Not in Balance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total ne s'équilibre pas — souvent une taxe manquante à saisir.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Imported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Facture complète, importée avec succès.</w:t>
            </w:r>
          </w:p>
        </w:tc>
      </w:tr>
    </w:tbl>
    <w:p>
      <w:pPr>
        <w:spacing w:after="160"/>
      </w:pPr>
      <w:r>
        <w:t xml:space="preserve"/>
      </w:r>
    </w:p>
    <w:p>
      <w:pPr>
        <w:pStyle w:val="Heading3"/>
      </w:pPr>
      <w:r>
        <w:t xml:space="preserve">Corriger les erreurs d'import EDI</w:t>
      </w:r>
    </w:p>
    <w:p>
      <w:pPr>
        <w:spacing w:after="160"/>
      </w:pPr>
      <w:r>
        <w:rPr>
          <w:rFonts w:ascii="Arial" w:cs="Arial" w:eastAsia="Arial" w:hAnsi="Arial"/>
          <w:sz w:val="22"/>
          <w:szCs w:val="22"/>
        </w:rPr>
        <w:t xml:space="preserve">TracRite insiste : ayez la facture papier sous les yeux pour corriger correctement les erreurs. Pour chaque ligne en erreur, un menu déroulant Select Option propose un diagnostic adapté :</w:t>
      </w:r>
    </w:p>
    <w:p>
      <w:pPr>
        <w:pStyle w:val="ListParagraph"/>
        <w:numPr>
          <w:ilvl w:val="0"/>
          <w:numId w:val="3"/>
        </w:numPr>
        <w:spacing w:after="100"/>
      </w:pPr>
      <w:r>
        <w:rPr>
          <w:rFonts w:ascii="Arial" w:cs="Arial" w:eastAsia="Arial" w:hAnsi="Arial"/>
          <w:sz w:val="22"/>
          <w:szCs w:val="22"/>
        </w:rPr>
        <w:t xml:space="preserve">Create new item — ouvre la fenêtre Items pré-remplie avec les informations fournisseur déjà extraites du fichier ; il suffit de copier la description fournisseur dans le champ Description et de compléter l'unité de recette.</w:t>
      </w:r>
    </w:p>
    <w:p>
      <w:pPr>
        <w:pStyle w:val="ListParagraph"/>
        <w:numPr>
          <w:ilvl w:val="0"/>
          <w:numId w:val="3"/>
        </w:numPr>
        <w:spacing w:after="100"/>
      </w:pPr>
      <w:r>
        <w:rPr>
          <w:rFonts w:ascii="Arial" w:cs="Arial" w:eastAsia="Arial" w:hAnsi="Arial"/>
          <w:sz w:val="22"/>
          <w:szCs w:val="22"/>
        </w:rPr>
        <w:t xml:space="preserve">Add new Case size — ajoute un nouveau conditionnement à un item existant (vérifier soigneusement la taille de caisse sur la facture papier).</w:t>
      </w:r>
    </w:p>
    <w:p>
      <w:pPr>
        <w:pStyle w:val="ListParagraph"/>
        <w:numPr>
          <w:ilvl w:val="0"/>
          <w:numId w:val="3"/>
        </w:numPr>
        <w:spacing w:after="100"/>
      </w:pPr>
      <w:r>
        <w:rPr>
          <w:rFonts w:ascii="Arial" w:cs="Arial" w:eastAsia="Arial" w:hAnsi="Arial"/>
          <w:sz w:val="22"/>
          <w:szCs w:val="22"/>
        </w:rPr>
        <w:t xml:space="preserve">Modify case size — corrige le Order Code existant lorsque le fournisseur l'a changé.</w:t>
      </w:r>
    </w:p>
    <w:p>
      <w:pPr>
        <w:pStyle w:val="ListParagraph"/>
        <w:numPr>
          <w:ilvl w:val="0"/>
          <w:numId w:val="3"/>
        </w:numPr>
        <w:spacing w:after="100"/>
      </w:pPr>
      <w:r>
        <w:rPr>
          <w:rFonts w:ascii="Arial" w:cs="Arial" w:eastAsia="Arial" w:hAnsi="Arial"/>
          <w:sz w:val="22"/>
          <w:szCs w:val="22"/>
        </w:rPr>
        <w:t xml:space="preserve">General Expense — pour les lignes qui ne sont pas des items d'inventaire (frais de livraison, taxes) ; on choisit alors le compte comptable de destination.</w:t>
      </w:r>
    </w:p>
    <w:p>
      <w:pPr>
        <w:pStyle w:val="ListParagraph"/>
        <w:numPr>
          <w:ilvl w:val="0"/>
          <w:numId w:val="3"/>
        </w:numPr>
        <w:spacing w:after="100"/>
      </w:pPr>
      <w:r>
        <w:rPr>
          <w:rFonts w:ascii="Arial" w:cs="Arial" w:eastAsia="Arial" w:hAnsi="Arial"/>
          <w:sz w:val="22"/>
          <w:szCs w:val="22"/>
        </w:rPr>
        <w:t xml:space="preserve">Ignore — reporte la correction à plus tard ; la ligne est sauvegardée en dépense générale temporaire, mais DOIT être corrigée ultérieurement dans la facture, sinon elle restera mal classée.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alias d'unité</w:t>
            </w:r>
          </w:p>
          <w:p>
            <w:pPr>
              <w:spacing w:after="0"/>
            </w:pPr>
            <w:r>
              <w:rPr>
                <w:rFonts w:ascii="Arial" w:cs="Arial" w:eastAsia="Arial" w:hAnsi="Arial"/>
                <w:sz w:val="21"/>
                <w:szCs w:val="21"/>
              </w:rPr>
              <w:t xml:space="preserve">Si le fournisseur indique systématiquement « CA » pour caisse plutôt que « cs », il est plus efficace de créer un UOM Alias une fois pour toutes (Purchasing → Suppliers → UOM Alias) que de corriger l'erreur facture après facture.</w:t>
            </w:r>
          </w:p>
        </w:tc>
      </w:tr>
    </w:tbl>
    <w:p>
      <w:pPr>
        <w:pStyle w:val="Heading2"/>
      </w:pPr>
      <w:r>
        <w:t xml:space="preserve">Modifier la date d'une facture</w:t>
      </w:r>
    </w:p>
    <w:p>
      <w:pPr>
        <w:spacing w:after="160"/>
      </w:pPr>
      <w:r>
        <w:rPr>
          <w:rFonts w:ascii="Arial" w:cs="Arial" w:eastAsia="Arial" w:hAnsi="Arial"/>
          <w:sz w:val="22"/>
          <w:szCs w:val="22"/>
        </w:rPr>
        <w:t xml:space="preserve">Si une facture a été saisie à la mauvaise date (provoquant un usage anormalement haut une semaine et bas la suivante), Change Invoice Date permet de la corriger après coup. Important : cette correction ne réajuste pas rétroactivement les niveaux de stock, mais donne une information correcte dans les rapports pour la plage de dates concernée.</w:t>
      </w:r>
    </w:p>
    <w:p>
      <w:pPr>
        <w:pStyle w:val="Heading1"/>
        <w:pageBreakBefore/>
      </w:pPr>
      <w:r>
        <w:t xml:space="preserve">Chapitre 9 — Ventes et Sales Mix</w:t>
      </w:r>
    </w:p>
    <w:p>
      <w:pPr>
        <w:spacing w:after="160"/>
      </w:pPr>
      <w:r>
        <w:rPr>
          <w:rFonts w:ascii="Arial" w:cs="Arial" w:eastAsia="Arial" w:hAnsi="Arial"/>
          <w:sz w:val="22"/>
          <w:szCs w:val="22"/>
        </w:rPr>
        <w:t xml:space="preserve">Le Sales Mix est l'enregistrement de ce qui a réellement été vendu — la porte de sortie du stock. Il peut être importé automatiquement depuis le système de caisse (POS) ou saisi manuellement à partir des rubans de caisse (Till Tape).</w:t>
      </w:r>
    </w:p>
    <w:p>
      <w:pPr>
        <w:pStyle w:val="Heading2"/>
      </w:pPr>
      <w:r>
        <w:t xml:space="preserve">Les quatre états d'une vente importée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État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Importée et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produit POS correspond à un Product Optimum Control déjà créé — aucune action requise.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Mismatched (incohérente)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 description POS a changé légèrement (bouton renommé) — nécessite Switch ou Unlink Product.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Unlinked (non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Aucun Product Optimum Control n'est associé à ce POS ID — nécessite Link To ou Create Product.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Pending (en attente)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Mise de côté volontairement pour traitement ultérieur via Pending Sales Mix.</w:t>
            </w:r>
          </w:p>
        </w:tc>
      </w:tr>
    </w:tbl>
    <w:p>
      <w:pPr>
        <w:spacing w:after="160"/>
      </w:pPr>
      <w:r>
        <w:t xml:space="preserve"/>
      </w:r>
    </w:p>
    <w:p>
      <w:pPr>
        <w:pStyle w:val="Heading2"/>
      </w:pPr>
      <w:r>
        <w:t xml:space="preserve">Configurer l'import POS</w:t>
      </w:r>
    </w:p>
    <w:p>
      <w:pPr>
        <w:spacing w:after="160"/>
      </w:pPr>
      <w:r>
        <w:rPr>
          <w:rFonts w:ascii="Arial" w:cs="Arial" w:eastAsia="Arial" w:hAnsi="Arial"/>
          <w:sz w:val="22"/>
          <w:szCs w:val="22"/>
        </w:rPr>
        <w:t xml:space="preserve">Avant le premier import, Setup → Configure POS définit le format de fichier attendu du système de caisse (de nombreuses configurations prédéfinies existent ; une Custom Configuration peut être créée avec l'aide du support TracRite si votre POS n'est pas listé).</w:t>
      </w:r>
    </w:p>
    <w:p>
      <w:pPr>
        <w:pStyle w:val="Heading2"/>
      </w:pPr>
      <w:r>
        <w:t xml:space="preserve">Lier les produits POS aux Products Optimum Control</w:t>
      </w:r>
    </w:p>
    <w:p>
      <w:pPr>
        <w:spacing w:after="160"/>
      </w:pPr>
      <w:r>
        <w:rPr>
          <w:rFonts w:ascii="Arial" w:cs="Arial" w:eastAsia="Arial" w:hAnsi="Arial"/>
          <w:sz w:val="22"/>
          <w:szCs w:val="22"/>
        </w:rPr>
        <w:t xml:space="preserve">La fonction Link Products to POS importe automatiquement Description, POS ID, prix de vente et groupe de ventes directement depuis le fichier d'export POS — il ne reste plus qu'à ajouter les ingrédients pour compléter chaque recette.</w:t>
      </w:r>
    </w:p>
    <w:p>
      <w:pPr>
        <w:spacing w:after="160"/>
      </w:pPr>
      <w:r>
        <w:rPr>
          <w:rFonts w:ascii="Arial" w:cs="Arial" w:eastAsia="Arial" w:hAnsi="Arial"/>
          <w:sz w:val="22"/>
          <w:szCs w:val="22"/>
        </w:rPr>
        <w:t xml:space="preserve">Si la même recette a déjà été créée manuellement sans numéro POS assigné, un clic droit sur la ligne correspondante dans la liste d'import affiche les recettes Optimum Control sans POS ID assigné — double-cliquer effectue l'association sans dupliquer la recette.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Piège des groupes sensibles à la casse</w:t>
            </w:r>
          </w:p>
          <w:p>
            <w:pPr>
              <w:spacing w:after="0"/>
            </w:pPr>
            <w:r>
              <w:rPr>
                <w:rFonts w:ascii="Arial" w:cs="Arial" w:eastAsia="Arial" w:hAnsi="Arial"/>
                <w:sz w:val="21"/>
                <w:szCs w:val="21"/>
              </w:rPr>
              <w:t xml:space="preserve">Si votre système POS utilise le groupe « ADD-ONS » (en majuscules) et qu'Optimum Control contient déjà un groupe « Add-Ons », le logiciel les considère comme deux groupes DIFFÉRENTS. Lorsqu'il demande de créer un nouveau groupe, répondre NON et sélectionner manuellement le groupe existant dans la liste évite la duplication.</w:t>
            </w:r>
          </w:p>
        </w:tc>
      </w:tr>
    </w:tbl>
    <w:p>
      <w:pPr>
        <w:pStyle w:val="Heading2"/>
      </w:pPr>
      <w:r>
        <w:t xml:space="preserve">Ignorer certains identifiants POS</w:t>
      </w:r>
    </w:p>
    <w:p>
      <w:pPr>
        <w:spacing w:after="160"/>
      </w:pPr>
      <w:r>
        <w:rPr>
          <w:rFonts w:ascii="Arial" w:cs="Arial" w:eastAsia="Arial" w:hAnsi="Arial"/>
          <w:sz w:val="22"/>
          <w:szCs w:val="22"/>
        </w:rPr>
        <w:t xml:space="preserve">Chaque bouton d'un système de caisse possède un numéro PLU — y compris des boutons qui ne représentent pas un produit vendable (« To Go », « Bien cuit », « Sans glace »). La fonction Ignore POS ID permet de les exclure définitivement de l'import. Attention : un POS ID ignoré par erreur peut empêcher l'import de ventes légitimes plus tard — la liste complète des identifiants ignorés reste consultable et modifiable à tout moment depuis Sales Mix → Ignored POS IDs.</w:t>
      </w:r>
    </w:p>
    <w:p>
      <w:pPr>
        <w:pStyle w:val="Heading2"/>
      </w:pPr>
      <w:r>
        <w:t xml:space="preserve">Importer depuis le POS</w:t>
      </w:r>
    </w:p>
    <w:p>
      <w:pPr>
        <w:spacing w:after="160"/>
      </w:pPr>
      <w:r>
        <w:rPr>
          <w:rFonts w:ascii="Arial" w:cs="Arial" w:eastAsia="Arial" w:hAnsi="Arial"/>
          <w:sz w:val="22"/>
          <w:szCs w:val="22"/>
        </w:rPr>
        <w:t xml:space="preserve">Sélectionner le dossier où le système de caisse dépose ses fichiers d'export (Save POS Dir mémorise ce chemin pour les imports futurs), puis choisir la date de clôture du Sales Mix (généralement la veille). Le logiciel compare visuellement, pour chaque produit, le prix de vente enregistré dans Optimum Control (en gris foncé) et le prix moyen réellement constaté dans le fichier importé (en gris clair) — tout écart apparaît en rouge, toute correspondance en vert, offrant une vérification rapide avant sauvegarde.</w:t>
      </w:r>
    </w:p>
    <w:p>
      <w:pPr>
        <w:spacing w:after="160"/>
      </w:pPr>
      <w:r>
        <w:rPr>
          <w:rFonts w:ascii="Arial" w:cs="Arial" w:eastAsia="Arial" w:hAnsi="Arial"/>
          <w:sz w:val="22"/>
          <w:szCs w:val="22"/>
        </w:rPr>
        <w:t xml:space="preserve">Après un import réussi, le fichier source est automatiquement renommé avec la date et l'extension .occ, évitant ainsi un double import accidentel du même fichier.</w:t>
      </w:r>
    </w:p>
    <w:p>
      <w:pPr>
        <w:pStyle w:val="Heading2"/>
      </w:pPr>
      <w:r>
        <w:t xml:space="preserve">Sales Mix en attente (Pending Sales Mix)</w:t>
      </w:r>
    </w:p>
    <w:p>
      <w:pPr>
        <w:spacing w:after="160"/>
      </w:pPr>
      <w:r>
        <w:rPr>
          <w:rFonts w:ascii="Arial" w:cs="Arial" w:eastAsia="Arial" w:hAnsi="Arial"/>
          <w:sz w:val="22"/>
          <w:szCs w:val="22"/>
        </w:rPr>
        <w:t xml:space="preserve">Lorsqu'un import révèle des produits non liés et que vous choisissez de ne pas les traiter immédiatement, le logiciel propose de stocker les ventes non liées comme Pending — permettant de traiter d'abord les produits déjà configurés, puis de revenir plus tard créer ou lier les recettes manquantes. Au prochain login, si des ventes en attente existent, une invite propose de les traiter.</w:t>
      </w:r>
    </w:p>
    <w:p>
      <w:pPr>
        <w:pStyle w:val="Heading2"/>
      </w:pPr>
      <w:r>
        <w:t xml:space="preserve">Saisie manuelle — Till Tape</w:t>
      </w:r>
    </w:p>
    <w:p>
      <w:pPr>
        <w:spacing w:after="160"/>
      </w:pPr>
      <w:r>
        <w:rPr>
          <w:rFonts w:ascii="Arial" w:cs="Arial" w:eastAsia="Arial" w:hAnsi="Arial"/>
          <w:sz w:val="22"/>
          <w:szCs w:val="22"/>
        </w:rPr>
        <w:t xml:space="preserve">Pour les opérations sans import POS automatisé, on peut configurer une Till Tape List reproduisant exactement l'ordre du ruban de caisse physique (par description ou par PLU), puis saisir manuellement le nombre vendu de chaque produit pour une date donnée. Attention : une fois sauvegardée, une saisie Till Tape ne peut pas être annulée directement — il faut supprimer le Sales Mix entier et ressaisir.</w:t>
      </w:r>
    </w:p>
    <w:p>
      <w:pPr>
        <w:pStyle w:val="Heading2"/>
      </w:pPr>
      <w:r>
        <w:t xml:space="preserve">Rerun Sales Mix — corriger une recette après coup</w:t>
      </w:r>
    </w:p>
    <w:p>
      <w:pPr>
        <w:spacing w:after="160"/>
      </w:pPr>
      <w:r>
        <w:rPr>
          <w:rFonts w:ascii="Arial" w:cs="Arial" w:eastAsia="Arial" w:hAnsi="Arial"/>
          <w:sz w:val="22"/>
          <w:szCs w:val="22"/>
        </w:rPr>
        <w:t xml:space="preserve">Si une recette contenait une erreur (mauvais ingrédient, mauvaise quantité) au moment où un Sales Mix a été traité, il n'est pas nécessaire de tout ressaisir. Il suffit de corriger la recette (Item, Prep ou Product), puis d'ouvrir le Sales Mix concerné et de cliquer Rerun Sales Mix : le logiciel remet le stock à son état précédent (annule l'extraction avec l'ancienne recette) puis ré-extrait le stock selon la recette corrigée.</w:t>
      </w:r>
    </w:p>
    <w:p>
      <w:pPr>
        <w:pStyle w:val="Heading2"/>
      </w:pPr>
      <w:r>
        <w:t xml:space="preserve">Détailler les pertes (Waste Detailing)</w:t>
      </w:r>
    </w:p>
    <w:p>
      <w:pPr>
        <w:spacing w:after="160"/>
      </w:pPr>
      <w:r>
        <w:rPr>
          <w:rFonts w:ascii="Arial" w:cs="Arial" w:eastAsia="Arial" w:hAnsi="Arial"/>
          <w:sz w:val="22"/>
          <w:szCs w:val="22"/>
        </w:rPr>
        <w:t xml:space="preserve">Les pertes (produit périmé, échappé au sol, trop cuit) se déclarent via Sales → Waste, en sélectionnant l'Item, le Prep ou le Product concerné, la quantité perdue, et une raison. Cette perte s'ajoute à l'usage théorique (Ideal) dans le rapport Usage Summary, évitant qu'elle ne ressorte comme un écart inexpliqué.</w:t>
      </w:r>
    </w:p>
    <w:p>
      <w:pPr>
        <w:pStyle w:val="Heading1"/>
        <w:pageBreakBefore/>
      </w:pPr>
      <w:r>
        <w:t xml:space="preserve">Chapitre 10 — Ventes et informations financières quotidiennes</w:t>
      </w:r>
    </w:p>
    <w:p>
      <w:pPr>
        <w:spacing w:after="160"/>
      </w:pPr>
      <w:r>
        <w:rPr>
          <w:rFonts w:ascii="Arial" w:cs="Arial" w:eastAsia="Arial" w:hAnsi="Arial"/>
          <w:sz w:val="22"/>
          <w:szCs w:val="22"/>
        </w:rPr>
        <w:t xml:space="preserve">Distincte du Sales Mix (qui suit quoi a été vendu), la Daily Sales Summary suit combien d'argent est entré — la photographie financière de la journée, généralement issue du rapport de fin de journée du POS ou de la caisse enregistreuse.</w:t>
      </w:r>
    </w:p>
    <w:p>
      <w:pPr>
        <w:pStyle w:val="Heading2"/>
      </w:pPr>
      <w:r>
        <w:t xml:space="preserve">Saisir les ventes quotidiennes</w:t>
      </w:r>
    </w:p>
    <w:p>
      <w:pPr>
        <w:spacing w:after="160"/>
      </w:pPr>
      <w:r>
        <w:rPr>
          <w:rFonts w:ascii="Arial" w:cs="Arial" w:eastAsia="Arial" w:hAnsi="Arial"/>
          <w:sz w:val="22"/>
          <w:szCs w:val="22"/>
        </w:rPr>
        <w:t xml:space="preserve">Le champ Gross Sales est requis pour une bonne précision des rapports. Il est recommandé d'y ajouter également les ventes par catégorie (Sales Category) et les pertes. Le Total Sales Entered par catégorie doit obligatoirement correspondre au montant total des Gross Sales.</w:t>
      </w:r>
    </w:p>
    <w:p>
      <w:pPr>
        <w:spacing w:after="160"/>
      </w:pPr>
      <w:r>
        <w:rPr>
          <w:rFonts w:ascii="Arial" w:cs="Arial" w:eastAsia="Arial" w:hAnsi="Arial"/>
          <w:sz w:val="22"/>
          <w:szCs w:val="22"/>
        </w:rPr>
        <w:t xml:space="preserve">Une seule saisie de ventes par jour et par établissement est autorisée.</w:t>
      </w:r>
    </w:p>
    <w:p>
      <w:pPr>
        <w:pStyle w:val="Heading2"/>
      </w:pPr>
      <w:r>
        <w:t xml:space="preserve">Coupons et spéciaux</w:t>
      </w:r>
    </w:p>
    <w:p>
      <w:pPr>
        <w:spacing w:after="160"/>
      </w:pPr>
      <w:r>
        <w:rPr>
          <w:rFonts w:ascii="Arial" w:cs="Arial" w:eastAsia="Arial" w:hAnsi="Arial"/>
          <w:sz w:val="22"/>
          <w:szCs w:val="22"/>
        </w:rPr>
        <w:t xml:space="preserve">Les onglets Coupons et Specials permettent de détailler précisément les remises accordées. Pour chaque coupon ou spécial utilisé, on sélectionne sa description dans une liste préconfigurée, on entre la quantité, et le montant de remise se calcule automatiquement (avec possibilité de l'ajuster manuellement via la case « O »).</w:t>
      </w:r>
    </w:p>
    <w:p>
      <w:pPr>
        <w:spacing w:after="160"/>
      </w:pPr>
      <w:r>
        <w:rPr>
          <w:rFonts w:ascii="Arial" w:cs="Arial" w:eastAsia="Arial" w:hAnsi="Arial"/>
          <w:sz w:val="22"/>
          <w:szCs w:val="22"/>
        </w:rPr>
        <w:t xml:space="preserve">De nouveaux coupons ou spéciaux se créent directement depuis ces onglets (Create Coupon / Create Special). Les entrées actives s'affichent en bleu, les entrées expirées en rouge.</w:t>
      </w:r>
    </w:p>
    <w:p>
      <w:pPr>
        <w:pStyle w:val="Heading2"/>
      </w:pPr>
      <w:r>
        <w:t xml:space="preserve">Le détail complet des ventes (Detail tab)</w:t>
      </w:r>
    </w:p>
    <w:p>
      <w:pPr>
        <w:spacing w:after="160"/>
      </w:pPr>
      <w:r>
        <w:rPr>
          <w:rFonts w:ascii="Arial" w:cs="Arial" w:eastAsia="Arial" w:hAnsi="Arial"/>
          <w:sz w:val="22"/>
          <w:szCs w:val="22"/>
        </w:rPr>
        <w:t xml:space="preserve">C'est ici que se construit la formule complète de réconciliation des ventes d'une journée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calcul</w:t>
            </w:r>
          </w:p>
          <w:p>
            <w:pPr>
              <w:spacing w:after="0"/>
            </w:pPr>
            <w:r>
              <w:rPr>
                <w:rFonts w:ascii="Arial" w:cs="Arial" w:eastAsia="Arial" w:hAnsi="Arial"/>
                <w:sz w:val="21"/>
                <w:szCs w:val="21"/>
              </w:rPr>
              <w:t xml:space="preserve">Gross Sales = Cash C.I.D. (argent en caisse) + Cash Payouts + Spéciaux + Coupons + Remises (employé et autres) − Toutes les taxes. Net Sales = Gross Sales − (Coupons + Remises + Spéciaux).</w:t>
            </w:r>
          </w:p>
        </w:tc>
      </w:tr>
    </w:tbl>
    <w:p>
      <w:pPr>
        <w:spacing w:after="160"/>
      </w:pPr>
      <w:r>
        <w:rPr>
          <w:rFonts w:ascii="Arial" w:cs="Arial" w:eastAsia="Arial" w:hAnsi="Arial"/>
          <w:sz w:val="22"/>
          <w:szCs w:val="22"/>
        </w:rPr>
        <w:t xml:space="preserve">Cash C.I.D. (Cash in Drawer) représente la totalité de l'argent (espèces, chèques, encaissements carte) qui devrait se trouver en caisse à la fermeture, taxes comprises. Si votre caisse n'inclut pas automatiquement la taxe collectée dans ce total, il faut l'ajouter manuellement pour que les calculs de Gross et Net Sales restent corrects.</w:t>
      </w:r>
    </w:p>
    <w:p>
      <w:pPr>
        <w:pStyle w:val="Heading3"/>
      </w:pPr>
      <w:r>
        <w:t xml:space="preserve">Suivi de la main-d'œuvre (Labour)</w:t>
      </w:r>
    </w:p>
    <w:p>
      <w:pPr>
        <w:spacing w:after="160"/>
      </w:pPr>
      <w:r>
        <w:rPr>
          <w:rFonts w:ascii="Arial" w:cs="Arial" w:eastAsia="Arial" w:hAnsi="Arial"/>
          <w:sz w:val="22"/>
          <w:szCs w:val="22"/>
        </w:rPr>
        <w:t xml:space="preserve">À partir du salaire horaire moyen défini en préférences (File → Preferences → Average Hourly Wage), des heures travaillées et du nombre de clients, le logiciel calcule automatiquement un pourcentage de main-d'œuvre (Labour Percent) et un ticket moyen (Ticket Average = Gross Sales ÷ Customer Count) — des indicateurs de gestion utiles, sans prétendre remplacer un système de paie.</w:t>
      </w:r>
    </w:p>
    <w:p>
      <w:pPr>
        <w:pStyle w:val="Heading2"/>
      </w:pPr>
      <w:r>
        <w:t xml:space="preserve">Détailler les versements en espèces (Payouts)</w:t>
      </w:r>
    </w:p>
    <w:p>
      <w:pPr>
        <w:spacing w:after="160"/>
      </w:pPr>
      <w:r>
        <w:rPr>
          <w:rFonts w:ascii="Arial" w:cs="Arial" w:eastAsia="Arial" w:hAnsi="Arial"/>
          <w:sz w:val="22"/>
          <w:szCs w:val="22"/>
        </w:rPr>
        <w:t xml:space="preserve">Lorsque de l'argent sort directement de la caisse pour une dépense ponctuelle (livraison, petite fourniture), le détail des Payouts génère automatiquement une facture interne préfixée « CP » (Cash Payout), classée par compte de dépense — fortement recommandé car cette information alimente directement le rapport de Grand Livre (G/L).</w:t>
      </w:r>
    </w:p>
    <w:p>
      <w:pPr>
        <w:pStyle w:val="Heading2"/>
      </w:pPr>
      <w:r>
        <w:t xml:space="preserve">Cartes de crédit additionnelles</w:t>
      </w:r>
    </w:p>
    <w:p>
      <w:pPr>
        <w:spacing w:after="160"/>
      </w:pPr>
      <w:r>
        <w:rPr>
          <w:rFonts w:ascii="Arial" w:cs="Arial" w:eastAsia="Arial" w:hAnsi="Arial"/>
          <w:sz w:val="22"/>
          <w:szCs w:val="22"/>
        </w:rPr>
        <w:t xml:space="preserve">Une liste des cartes de crédit courantes est fournie par défaut ; il est possible d'en ajouter d'autres (Daily Sales → Deposits → Add Credit Card), ou de détourner cette fonction pour suivre des comptes clients à crédit (employés, entreprises partenaires).</w:t>
      </w:r>
    </w:p>
    <w:p>
      <w:pPr>
        <w:pStyle w:val="Heading2"/>
      </w:pPr>
      <w:r>
        <w:t xml:space="preserve">Le budget prévisionnel (Budget Worksheet)</w:t>
      </w:r>
    </w:p>
    <w:p>
      <w:pPr>
        <w:spacing w:after="160"/>
      </w:pPr>
      <w:r>
        <w:rPr>
          <w:rFonts w:ascii="Arial" w:cs="Arial" w:eastAsia="Arial" w:hAnsi="Arial"/>
          <w:sz w:val="22"/>
          <w:szCs w:val="22"/>
        </w:rPr>
        <w:t xml:space="preserve">Permet d'entrer un budget projeté par poste (Revenus, Coût des ventes, Dépenses) pour une période donnée. Une fois les ventes réelles saisies pour la même période, le rapport Budget Variance compare automatiquement le réel au budgété et affiche le revenu net résultant.</w:t>
      </w:r>
    </w:p>
    <w:p>
      <w:pPr>
        <w:pStyle w:val="Heading1"/>
        <w:pageBreakBefore/>
      </w:pPr>
      <w:r>
        <w:t xml:space="preserve">Chapitre 11 — Retail Sales, Catering et Buffets</w:t>
      </w:r>
    </w:p>
    <w:p>
      <w:pPr>
        <w:pStyle w:val="Heading2"/>
      </w:pPr>
      <w:r>
        <w:t xml:space="preserve">Retail Sales (module optionnel)</w:t>
      </w:r>
    </w:p>
    <w:p>
      <w:pPr>
        <w:spacing w:after="160"/>
      </w:pPr>
      <w:r>
        <w:rPr>
          <w:rFonts w:ascii="Arial" w:cs="Arial" w:eastAsia="Arial" w:hAnsi="Arial"/>
          <w:sz w:val="22"/>
          <w:szCs w:val="22"/>
        </w:rPr>
        <w:t xml:space="preserve">Ce module permet de « vendre » des items, Preps ou Products à des clients en dehors du système de caisse classique — typiquement dans un modèle de commissariat de cuisine centrale qui fournit des plats préparés à d'autres établissements ou points de vente.</w:t>
      </w:r>
    </w:p>
    <w:p>
      <w:pPr>
        <w:spacing w:after="160"/>
      </w:pPr>
      <w:r>
        <w:rPr>
          <w:rFonts w:ascii="Arial" w:cs="Arial" w:eastAsia="Arial" w:hAnsi="Arial"/>
          <w:sz w:val="22"/>
          <w:szCs w:val="22"/>
        </w:rPr>
        <w:t xml:space="preserve">On y crée une facture de vente (avec génération automatique optionnelle du numéro), associée à un client (avec ses informations de facturation et de livraison), et on y ajoute les items/preps/produits vendus. La tarification utilisée est le prix de vente normal pour les Products, et un prix majoré (selon le pourcentage de coût défini en préférences, identique à celui du Catering Wizard) pour les Items et Preps vendus directement. Une fois la vente finalisée, le stock correspondant est extrait comme un Sales Mix classique.</w:t>
      </w:r>
    </w:p>
    <w:p>
      <w:pPr>
        <w:pStyle w:val="Heading2"/>
      </w:pPr>
      <w:r>
        <w:t xml:space="preserve">Catering Wizard</w:t>
      </w:r>
    </w:p>
    <w:p>
      <w:pPr>
        <w:spacing w:after="160"/>
      </w:pPr>
      <w:r>
        <w:rPr>
          <w:rFonts w:ascii="Arial" w:cs="Arial" w:eastAsia="Arial" w:hAnsi="Arial"/>
          <w:sz w:val="22"/>
          <w:szCs w:val="22"/>
        </w:rPr>
        <w:t xml:space="preserve">Le Catering Wizard permet de planifier et chiffrer un événement traiteur en détail : menu, stratégie de prix, listes d'achat, fiches de préparation et confirmation imprimable pour le client.</w:t>
      </w:r>
    </w:p>
    <w:p>
      <w:pPr>
        <w:pStyle w:val="Heading3"/>
      </w:pPr>
      <w:r>
        <w:t xml:space="preserve">Trois façons de fixer le prix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Selling Price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prix de vente total est fixé manuellement ; le logiciel calcule le pourcentage de coût résultant et le prix par couvert.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Cover Price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prix par couvert (par personne) est fixé manuellement ; le total et le pourcentage de coût en découlent.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Cost Percentage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de coût visé est fixé manuellement (ex. : 36 %) ; le logiciel calcule le prix de vente nécessaire pour l'atteindre.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 aux prix affichés dans le Wizard</w:t>
            </w:r>
          </w:p>
          <w:p>
            <w:pPr>
              <w:spacing w:after="0"/>
            </w:pPr>
            <w:r>
              <w:rPr>
                <w:rFonts w:ascii="Arial" w:cs="Arial" w:eastAsia="Arial" w:hAnsi="Arial"/>
                <w:sz w:val="21"/>
                <w:szCs w:val="21"/>
              </w:rPr>
              <w:t xml:space="preserve">Lors de l'ajout d'Items ou de Preps à un événement, le prix affiché dans la fenêtre est le prix COÛTANT uniquement (et non un prix de vente) — il peut être modifié manuellement si vous calculez par prix de vente. Pour les Products déjà créés, c'est leur prix de vente au menu qui s'affiche automatiquement.</w:t>
            </w:r>
          </w:p>
        </w:tc>
      </w:tr>
    </w:tbl>
    <w:p>
      <w:pPr>
        <w:spacing w:after="160"/>
      </w:pPr>
      <w:r>
        <w:rPr>
          <w:rFonts w:ascii="Arial" w:cs="Arial" w:eastAsia="Arial" w:hAnsi="Arial"/>
          <w:sz w:val="22"/>
          <w:szCs w:val="22"/>
        </w:rPr>
        <w:t xml:space="preserve">Une fois l'événement complété, plusieurs sorties sont disponibles : Shopping List (liste d'achat des stocks requis), Prep List (fiche de préparation cuisine avec quantités calculées), Print Contract (confirmation de menu et de prix pour le client), et Extract Stock (qui retire effectivement le stock de l'inventaire au moment voulu).</w:t>
      </w:r>
    </w:p>
    <w:p>
      <w:pPr>
        <w:pStyle w:val="Heading2"/>
      </w:pPr>
      <w:r>
        <w:t xml:space="preserve">Buffet Wizard</w:t>
      </w:r>
    </w:p>
    <w:p>
      <w:pPr>
        <w:spacing w:after="160"/>
      </w:pPr>
      <w:r>
        <w:rPr>
          <w:rFonts w:ascii="Arial" w:cs="Arial" w:eastAsia="Arial" w:hAnsi="Arial"/>
          <w:sz w:val="22"/>
          <w:szCs w:val="22"/>
        </w:rPr>
        <w:t xml:space="preserve">Le principe diffère légèrement du Catering : pour chaque item du buffet, on suit la quantité Open (mise en place au départ), Add (réapprovisionnement en cours de service), End (quantité retournée non consommée) et Waste (jetée, non retournée en stock). Le coût servi réel se calcule à partir de ces quatre valeurs, pour un coût par personne et un pourcentage de coût de vente précis.</w:t>
      </w:r>
    </w:p>
    <w:p>
      <w:pPr>
        <w:spacing w:after="160"/>
      </w:pPr>
      <w:r>
        <w:rPr>
          <w:rFonts w:ascii="Arial" w:cs="Arial" w:eastAsia="Arial" w:hAnsi="Arial"/>
          <w:sz w:val="22"/>
          <w:szCs w:val="22"/>
        </w:rPr>
        <w:t xml:space="preserve">Le bouton Reset permet de réutiliser rapidement la même liste d'items pour organiser un buffet similaire sans tout reconstruire.</w:t>
      </w:r>
    </w:p>
    <w:p>
      <w:pPr>
        <w:pStyle w:val="Heading2"/>
      </w:pPr>
      <w:r>
        <w:t xml:space="preserve">Types de couverts (Cover Types)</w:t>
      </w:r>
    </w:p>
    <w:p>
      <w:pPr>
        <w:spacing w:after="160"/>
      </w:pPr>
      <w:r>
        <w:rPr>
          <w:rFonts w:ascii="Arial" w:cs="Arial" w:eastAsia="Arial" w:hAnsi="Arial"/>
          <w:sz w:val="22"/>
          <w:szCs w:val="22"/>
        </w:rPr>
        <w:t xml:space="preserve">Communs au Catering et au Buffet Wizard, les Cover Types (Adulte, Senior, Enfant, ou simplement « Couvert ») permettent de différencier les tarifs. Si l'événement est également ressaisi dans le système de caisse, un POS ID# peut être assigné au type de couvert pour qu'Optimum Control ignore automatiquement cette entrée lors de l'import POS — évitant un double comptage de la vente.</w:t>
      </w:r>
    </w:p>
    <w:p>
      <w:pPr>
        <w:pStyle w:val="Heading1"/>
        <w:pageBreakBefore/>
      </w:pPr>
      <w:r>
        <w:t xml:space="preserve">Chapitre 12 — Configuration du système</w:t>
      </w:r>
    </w:p>
    <w:p>
      <w:pPr>
        <w:spacing w:after="160"/>
      </w:pPr>
      <w:r>
        <w:rPr>
          <w:rFonts w:ascii="Arial" w:cs="Arial" w:eastAsia="Arial" w:hAnsi="Arial"/>
          <w:sz w:val="22"/>
          <w:szCs w:val="22"/>
        </w:rPr>
        <w:t xml:space="preserve">Le Setup Menu regroupe les outils de configuration structurelle du logiciel : comptabilité, catégories, unités, classification de masse.</w:t>
      </w:r>
    </w:p>
    <w:p>
      <w:pPr>
        <w:pStyle w:val="Heading2"/>
      </w:pPr>
      <w:r>
        <w:t xml:space="preserve">Synchroniser les données (Synchronize Data)</w:t>
      </w:r>
    </w:p>
    <w:p>
      <w:pPr>
        <w:spacing w:after="160"/>
      </w:pPr>
      <w:r>
        <w:rPr>
          <w:rFonts w:ascii="Arial" w:cs="Arial" w:eastAsia="Arial" w:hAnsi="Arial"/>
          <w:sz w:val="22"/>
          <w:szCs w:val="22"/>
        </w:rPr>
        <w:t xml:space="preserve">Optimum Control est conçu pour s'auto-synchroniser : dès qu'un prix d'item change, les Preps et Products qui le contiennent se recalculent automatiquement. Synchronize Data force néanmoins une resynchronisation manuelle complète de tous les Items, Preps et Products — un filet de sécurité à utiliser ponctuellement plutôt qu'un réflexe quotidien.</w:t>
      </w:r>
    </w:p>
    <w:p>
      <w:pPr>
        <w:pStyle w:val="Heading2"/>
      </w:pPr>
      <w:r>
        <w:t xml:space="preserve">Plan comptable (Chart of Accounts)</w:t>
      </w:r>
    </w:p>
    <w:p>
      <w:pPr>
        <w:spacing w:after="160"/>
      </w:pPr>
      <w:r>
        <w:rPr>
          <w:rFonts w:ascii="Arial" w:cs="Arial" w:eastAsia="Arial" w:hAnsi="Arial"/>
          <w:sz w:val="22"/>
          <w:szCs w:val="22"/>
        </w:rPr>
        <w:t xml:space="preserve">Toute entreprise doit tenir des registres comptables. Le Chart of Accounts (COA) liste les comptes utilisés, classés en cinq types : Asset, Expense, Income, Liability, et Cost of Sales. Chaque compte peut recevoir une GL Accounting Reference — le nom ou code utilisé dans votre logiciel comptable externe (essentiel pour l'export comptable).</w:t>
      </w:r>
    </w:p>
    <w:p>
      <w:pPr>
        <w:spacing w:after="160"/>
      </w:pPr>
      <w:r>
        <w:rPr>
          <w:rFonts w:ascii="Arial" w:cs="Arial" w:eastAsia="Arial" w:hAnsi="Arial"/>
          <w:sz w:val="22"/>
          <w:szCs w:val="22"/>
        </w:rPr>
        <w:t xml:space="preserve">Les comptes affichés en grisé sont des comptes système par défaut (non renommables), mais leur référence GL reste personnalisable. Les sous-comptes se créent en faisant précéder le nom du compte parent d'un tiret (ex. : « Cost of Sales - Food - Spices » sous « Cost of Sales - Food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Correspondance comptable</w:t>
            </w:r>
          </w:p>
          <w:p>
            <w:pPr>
              <w:spacing w:after="0"/>
            </w:pPr>
            <w:r>
              <w:rPr>
                <w:rFonts w:ascii="Arial" w:cs="Arial" w:eastAsia="Arial" w:hAnsi="Arial"/>
                <w:sz w:val="21"/>
                <w:szCs w:val="21"/>
              </w:rPr>
              <w:t xml:space="preserve">Exemple de correspondance typique : « Food Cost » dans Optimum Control → référence GL « 5-1000 » dans le logiciel comptable. Il est essentiel que les noms de fournisseurs correspondent EXACTEMENT entre les deux systèmes (mêmes tirets, mêmes majuscules, même espacement) pour que l'export fonctionne correctement.</w:t>
            </w:r>
          </w:p>
        </w:tc>
      </w:tr>
    </w:tbl>
    <w:p>
      <w:pPr>
        <w:spacing w:after="160"/>
      </w:pPr>
      <w:r>
        <w:rPr>
          <w:rFonts w:ascii="Arial" w:cs="Arial" w:eastAsia="Arial" w:hAnsi="Arial"/>
          <w:sz w:val="22"/>
          <w:szCs w:val="22"/>
        </w:rPr>
        <w:t xml:space="preserve">Deux types d'export sont disponibles vers le système comptable : Purchases (détail des factures par compte) et Sales Report (informations financières des ventes — ventes brutes, coupons, remises, dépôts). Seuls QuickBooks et MYOB acceptent nativement le format Sales détaillé ; les autres systèmes comptables ne reçoivent que l'export Purchases dans un format généraliste.</w:t>
      </w:r>
    </w:p>
    <w:p>
      <w:pPr>
        <w:pStyle w:val="Heading2"/>
      </w:pPr>
      <w:r>
        <w:t xml:space="preserve">Catégories de vente (Sales Categories)</w:t>
      </w:r>
    </w:p>
    <w:p>
      <w:pPr>
        <w:spacing w:after="160"/>
      </w:pPr>
      <w:r>
        <w:rPr>
          <w:rFonts w:ascii="Arial" w:cs="Arial" w:eastAsia="Arial" w:hAnsi="Arial"/>
          <w:sz w:val="22"/>
          <w:szCs w:val="22"/>
        </w:rPr>
        <w:t xml:space="preserve">Les Sales Categories distinguent les coûts de Food, Liquor, Beer, Wine et Misc dans le rapport Usage Summary. Chaque Item/Product Group doit obligatoirement être rattaché à une catégorie de ventes pour que cette répartition fonctionne. Chaque catégorie possède son propre compte de revenu (Income Account), par défaut relié à Gross Sales, mais personnalisable pour un export comptable plus détaillé.</w:t>
      </w:r>
    </w:p>
    <w:p>
      <w:pPr>
        <w:pStyle w:val="Heading2"/>
      </w:pPr>
      <w:r>
        <w:t xml:space="preserve">Conversions d'unités (Unit Conversions)</w:t>
      </w:r>
    </w:p>
    <w:p>
      <w:pPr>
        <w:spacing w:after="160"/>
      </w:pPr>
      <w:r>
        <w:rPr>
          <w:rFonts w:ascii="Arial" w:cs="Arial" w:eastAsia="Arial" w:hAnsi="Arial"/>
          <w:sz w:val="22"/>
          <w:szCs w:val="22"/>
        </w:rPr>
        <w:t xml:space="preserve">Au-delà des conversions par item (vues au chapitre 3), cette fenêtre liste les conversions générales standards utilisées dans tout le système (28,35 g = 1 once, 1000 ml = 1 litre, etc.) et permet d'en ajouter de nouvelles applicables à toutes les recettes — par exemple si une unité régionale n'est pas couverte par défaut.</w:t>
      </w:r>
    </w:p>
    <w:p>
      <w:pPr>
        <w:pStyle w:val="Heading2"/>
      </w:pPr>
      <w:r>
        <w:t xml:space="preserve">Éditeur de classification de masse (Item Classification Editor)</w:t>
      </w:r>
    </w:p>
    <w:p>
      <w:pPr>
        <w:spacing w:after="160"/>
      </w:pPr>
      <w:r>
        <w:rPr>
          <w:rFonts w:ascii="Arial" w:cs="Arial" w:eastAsia="Arial" w:hAnsi="Arial"/>
          <w:sz w:val="22"/>
          <w:szCs w:val="22"/>
        </w:rPr>
        <w:t xml:space="preserve">Pour effectuer des changements en masse — réaffecter plusieurs items à un nouveau groupe, ou changer leur emplacement de stockage — l'Item Classification Editor évite de rouvrir chaque fiche individuellement. On glisse les items depuis la liste de gauche vers le groupe ou l'emplacement cible à droite ; un indicateur visuel (flèche verte ou croix rouge) signale si le glissement est valide (les items d'inventaire ne peuvent rejoindre que des groupes de type Inventory, les produits que des groupes de type Sales).</w:t>
      </w:r>
    </w:p>
    <w:p>
      <w:pPr>
        <w:pStyle w:val="Heading1"/>
        <w:pageBreakBefore/>
      </w:pPr>
      <w:r>
        <w:t xml:space="preserve">Chapitre 13 — Rapports</w:t>
      </w:r>
    </w:p>
    <w:p>
      <w:pPr>
        <w:spacing w:after="160"/>
      </w:pPr>
      <w:r>
        <w:rPr>
          <w:rFonts w:ascii="Arial" w:cs="Arial" w:eastAsia="Arial" w:hAnsi="Arial"/>
          <w:sz w:val="22"/>
          <w:szCs w:val="22"/>
        </w:rPr>
        <w:t xml:space="preserve">Optimum Control contient plus de 50 rapports détaillés. Tous s'exécutent depuis Reports → Select Report, en choisissant la catégorie (Inventory, Purchasing, Sales, etc.), en remplissant les filtres demandés, puis en cliquant View Report.</w:t>
      </w:r>
    </w:p>
    <w:p>
      <w:pPr>
        <w:pStyle w:val="Heading2"/>
      </w:pPr>
      <w:r>
        <w:t xml:space="preserve">Les trois rapports hebdomadaires recommandés</w:t>
      </w:r>
    </w:p>
    <w:p>
      <w:pPr>
        <w:spacing w:after="160"/>
      </w:pPr>
      <w:r>
        <w:rPr>
          <w:rFonts w:ascii="Arial" w:cs="Arial" w:eastAsia="Arial" w:hAnsi="Arial"/>
          <w:sz w:val="22"/>
          <w:szCs w:val="22"/>
        </w:rPr>
        <w:t xml:space="preserve">Sur la cinquantaine de rapports disponibles, TracRite recommande d'en exécuter régulièrement seulement trois pour garder le contrôle de l'opération :</w:t>
      </w:r>
    </w:p>
    <w:p>
      <w:pPr>
        <w:pStyle w:val="ListParagraph"/>
        <w:numPr>
          <w:ilvl w:val="0"/>
          <w:numId w:val="7"/>
        </w:numPr>
        <w:spacing w:after="100"/>
      </w:pPr>
      <w:r>
        <w:rPr>
          <w:rFonts w:ascii="Arial" w:cs="Arial" w:eastAsia="Arial" w:hAnsi="Arial"/>
          <w:sz w:val="22"/>
          <w:szCs w:val="22"/>
        </w:rPr>
        <w:t xml:space="preserve">Usage Summary — actual versus theoretical usage. Le rapport le plus puissant du système.</w:t>
      </w:r>
    </w:p>
    <w:p>
      <w:pPr>
        <w:pStyle w:val="ListParagraph"/>
        <w:numPr>
          <w:ilvl w:val="0"/>
          <w:numId w:val="7"/>
        </w:numPr>
        <w:spacing w:after="100"/>
      </w:pPr>
      <w:r>
        <w:rPr>
          <w:rFonts w:ascii="Arial" w:cs="Arial" w:eastAsia="Arial" w:hAnsi="Arial"/>
          <w:sz w:val="22"/>
          <w:szCs w:val="22"/>
        </w:rPr>
        <w:t xml:space="preserve">Sales Mix by Product — détaille toutes les ventes et le coût de vente pour chaque article du menu.</w:t>
      </w:r>
    </w:p>
    <w:p>
      <w:pPr>
        <w:pStyle w:val="ListParagraph"/>
        <w:numPr>
          <w:ilvl w:val="0"/>
          <w:numId w:val="7"/>
        </w:numPr>
        <w:spacing w:after="100"/>
      </w:pPr>
      <w:r>
        <w:rPr>
          <w:rFonts w:ascii="Arial" w:cs="Arial" w:eastAsia="Arial" w:hAnsi="Arial"/>
          <w:sz w:val="22"/>
          <w:szCs w:val="22"/>
        </w:rPr>
        <w:t xml:space="preserve">Purchase by Item Detail — montre ce qui a été acheté, auprès de qui, avec quels numéros de facture et à quel prix.</w:t>
      </w:r>
    </w:p>
    <w:p>
      <w:pPr>
        <w:pStyle w:val="Heading2"/>
      </w:pPr>
      <w:r>
        <w:t xml:space="preserve">Usage Summary — le rapport central</w:t>
      </w:r>
    </w:p>
    <w:p>
      <w:pPr>
        <w:spacing w:after="160"/>
      </w:pPr>
      <w:r>
        <w:rPr>
          <w:rFonts w:ascii="Arial" w:cs="Arial" w:eastAsia="Arial" w:hAnsi="Arial"/>
          <w:sz w:val="22"/>
          <w:szCs w:val="22"/>
        </w:rPr>
        <w:t xml:space="preserve">Ce rapport compare l'usage Actuel (calculé : Inventaire d'ouverture + Achats − Inventaire de clôture) à l'usage Idéal (calculé à partir des recettes liées au Sales Mix), et affiche l'écart en unités et en valeur.</w:t>
      </w:r>
    </w:p>
    <w:p>
      <w:pPr>
        <w:pStyle w:val="Heading3"/>
      </w:pPr>
      <w:r>
        <w:t xml:space="preserve">Modes d'affichage disponibles</w:t>
      </w:r>
    </w:p>
    <w:p>
      <w:pPr>
        <w:pStyle w:val="ListParagraph"/>
        <w:numPr>
          <w:ilvl w:val="0"/>
          <w:numId w:val="3"/>
        </w:numPr>
        <w:spacing w:after="100"/>
      </w:pPr>
      <w:r>
        <w:rPr>
          <w:rFonts w:ascii="Arial" w:cs="Arial" w:eastAsia="Arial" w:hAnsi="Arial"/>
          <w:sz w:val="22"/>
          <w:szCs w:val="22"/>
        </w:rPr>
        <w:t xml:space="preserve">Amount — tous les items listés par groupe, avec écarts en unités et valeur approximative.</w:t>
      </w:r>
    </w:p>
    <w:p>
      <w:pPr>
        <w:pStyle w:val="ListParagraph"/>
        <w:numPr>
          <w:ilvl w:val="0"/>
          <w:numId w:val="3"/>
        </w:numPr>
        <w:spacing w:after="100"/>
      </w:pPr>
      <w:r>
        <w:rPr>
          <w:rFonts w:ascii="Arial" w:cs="Arial" w:eastAsia="Arial" w:hAnsi="Arial"/>
          <w:sz w:val="22"/>
          <w:szCs w:val="22"/>
        </w:rPr>
        <w:t xml:space="preserve">Top 25 bottom 10 — les 25 items les plus surutilisés et les 10 les plus sous-utilisés sur une seule feuille (sans détail ni filtrage).</w:t>
      </w:r>
    </w:p>
    <w:p>
      <w:pPr>
        <w:pStyle w:val="ListParagraph"/>
        <w:numPr>
          <w:ilvl w:val="0"/>
          <w:numId w:val="3"/>
        </w:numPr>
        <w:spacing w:after="100"/>
      </w:pPr>
      <w:r>
        <w:rPr>
          <w:rFonts w:ascii="Arial" w:cs="Arial" w:eastAsia="Arial" w:hAnsi="Arial"/>
          <w:sz w:val="22"/>
          <w:szCs w:val="22"/>
        </w:rPr>
        <w:t xml:space="preserve">Group totals — totaux et écarts par groupe, en valeur.</w:t>
      </w:r>
    </w:p>
    <w:p>
      <w:pPr>
        <w:pStyle w:val="ListParagraph"/>
        <w:numPr>
          <w:ilvl w:val="0"/>
          <w:numId w:val="3"/>
        </w:numPr>
        <w:spacing w:after="100"/>
      </w:pPr>
      <w:r>
        <w:rPr>
          <w:rFonts w:ascii="Arial" w:cs="Arial" w:eastAsia="Arial" w:hAnsi="Arial"/>
          <w:sz w:val="22"/>
          <w:szCs w:val="22"/>
        </w:rPr>
        <w:t xml:space="preserve">Value — tous les items classés par valeur.</w:t>
      </w:r>
    </w:p>
    <w:p>
      <w:pPr>
        <w:spacing w:after="160"/>
      </w:pPr>
      <w:r>
        <w:rPr>
          <w:rFonts w:ascii="Arial" w:cs="Arial" w:eastAsia="Arial" w:hAnsi="Arial"/>
          <w:sz w:val="22"/>
          <w:szCs w:val="22"/>
        </w:rPr>
        <w:t xml:space="preserve">Les items marqués Actualize (voir chapitre 3) apparaissent avec un astérisque (*) à côté du montant idéal, signalant que l'usage actuel a été forcé égal à l'usage idéal pour neutraliser l'écart structurel.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de navigation</w:t>
            </w:r>
          </w:p>
          <w:p>
            <w:pPr>
              <w:spacing w:after="0"/>
            </w:pPr>
            <w:r>
              <w:rPr>
                <w:rFonts w:ascii="Arial" w:cs="Arial" w:eastAsia="Arial" w:hAnsi="Arial"/>
                <w:sz w:val="21"/>
                <w:szCs w:val="21"/>
              </w:rPr>
              <w:t xml:space="preserve">Double-cliquer sur les montants Purchases dans le rapport affiche le détail des achats correspondants. Double-cliquer sur les montants Ideal affiche les recettes qui ont consommé cet item — un vrai outil d'enquête, pas seulement un tableau statique.</w:t>
            </w:r>
          </w:p>
        </w:tc>
      </w:tr>
    </w:tbl>
    <w:p>
      <w:pPr>
        <w:pStyle w:val="Heading2"/>
      </w:pPr>
      <w:r>
        <w:t xml:space="preserve">Analyse du coût de vente (Cost of Sales Analysis)</w:t>
      </w:r>
    </w:p>
    <w:p>
      <w:pPr>
        <w:spacing w:after="160"/>
      </w:pPr>
      <w:r>
        <w:rPr>
          <w:rFonts w:ascii="Arial" w:cs="Arial" w:eastAsia="Arial" w:hAnsi="Arial"/>
          <w:sz w:val="22"/>
          <w:szCs w:val="22"/>
        </w:rPr>
        <w:t xml:space="preserve">Compare l'usage réel sur jusqu'à 4 cycles d'inventaire consécutifs, avec une tendance en pourcentage par groupe — utile pour repérer si le coût d'un groupe (ex. : Viandes) dérive progressivement à la hausse sur plusieurs périodes.</w:t>
      </w:r>
    </w:p>
    <w:p>
      <w:pPr>
        <w:pStyle w:val="Heading2"/>
      </w:pPr>
      <w:r>
        <w:t xml:space="preserve">Rapport d'activité par item (Item Activity Report)</w:t>
      </w:r>
    </w:p>
    <w:p>
      <w:pPr>
        <w:spacing w:after="160"/>
      </w:pPr>
      <w:r>
        <w:rPr>
          <w:rFonts w:ascii="Arial" w:cs="Arial" w:eastAsia="Arial" w:hAnsi="Arial"/>
          <w:sz w:val="22"/>
          <w:szCs w:val="22"/>
        </w:rPr>
        <w:t xml:space="preserve">Montre l'activité d'achat et de vente pour un item ou tous les items, dans les unités par défaut configurées en fiche item. Filtrable par groupe, par item spécifique, ou par texte contenu dans la description (par exemple « carr » pour retrouver toutes les variantes de carottes).</w:t>
      </w:r>
    </w:p>
    <w:p>
      <w:pPr>
        <w:pStyle w:val="Heading2"/>
      </w:pPr>
      <w:r>
        <w:t xml:space="preserve">Ventes projetées (Projected Sales Report)</w:t>
      </w:r>
    </w:p>
    <w:p>
      <w:pPr>
        <w:spacing w:after="160"/>
      </w:pPr>
      <w:r>
        <w:rPr>
          <w:rFonts w:ascii="Arial" w:cs="Arial" w:eastAsia="Arial" w:hAnsi="Arial"/>
          <w:sz w:val="22"/>
          <w:szCs w:val="22"/>
        </w:rPr>
        <w:t xml:space="preserve">Calcule la moyenne quotidienne des ventes déjà enregistrées sur une période, puis projette cette moyenne sur le nombre de jours d'ouverture restants — utile pour estimer le chiffre d'affaires de fin de mois ou de fin d'année. Le rapport indique aussi le cumul de coûts de main-d'œuvre et le nombre cumulé de clients.</w:t>
      </w:r>
    </w:p>
    <w:p>
      <w:pPr>
        <w:pStyle w:val="Heading2"/>
      </w:pPr>
      <w:r>
        <w:t xml:space="preserve">Étiquettes code-barres (Barcode Labels)</w:t>
      </w:r>
    </w:p>
    <w:p>
      <w:pPr>
        <w:spacing w:after="160"/>
      </w:pPr>
      <w:r>
        <w:rPr>
          <w:rFonts w:ascii="Arial" w:cs="Arial" w:eastAsia="Arial" w:hAnsi="Arial"/>
          <w:sz w:val="22"/>
          <w:szCs w:val="22"/>
        </w:rPr>
        <w:t xml:space="preserve">Permet d'imprimer des étiquettes code-barres pour les Items, Preps ou Products (un seul type à la fois). Une limite technique notable : seule l'imprimante d'étiquettes Brother P-Touch GL-570 est officiellement supportée.</w:t>
      </w:r>
    </w:p>
    <w:p>
      <w:pPr>
        <w:pStyle w:val="Heading2"/>
      </w:pPr>
      <w:r>
        <w:t xml:space="preserve">Export comptable (Export Accounting Data)</w:t>
      </w:r>
    </w:p>
    <w:p>
      <w:pPr>
        <w:spacing w:after="160"/>
      </w:pPr>
      <w:r>
        <w:rPr>
          <w:rFonts w:ascii="Arial" w:cs="Arial" w:eastAsia="Arial" w:hAnsi="Arial"/>
          <w:sz w:val="22"/>
          <w:szCs w:val="22"/>
        </w:rPr>
        <w:t xml:space="preserve">Exporte les Achats et/ou les Ventes vers votre système comptable. Par défaut, seules les factures non encore exportées s'affichent — il reste possible de réexporter des factures déjà traitées, mais avec prudence pour éviter les doublons côté comptabilité. En mode multi-établissements, un onglet Transfers permet également d'exporter les transferts de stock entre établissements.</w:t>
      </w:r>
    </w:p>
    <w:p>
      <w:pPr>
        <w:pStyle w:val="Heading1"/>
        <w:pageBreakBefore/>
      </w:pPr>
      <w:r>
        <w:t xml:space="preserve">Chapitre 14 — Tutoriel pas-à-pas : le Food Cost de Joe's Burger Palace</w:t>
      </w:r>
    </w:p>
    <w:p>
      <w:pPr>
        <w:spacing w:after="160"/>
      </w:pPr>
      <w:r>
        <w:rPr>
          <w:rFonts w:ascii="Arial" w:cs="Arial" w:eastAsia="Arial" w:hAnsi="Arial"/>
          <w:sz w:val="22"/>
          <w:szCs w:val="22"/>
        </w:rPr>
        <w:t xml:space="preserve">Ce tutoriel, tiré du manuel officiel, reproduit à la main exactement ce qu'Optimum Control automatise. Le comprendre une fois en détail rend la logique du logiciel totalement transparente.</w:t>
      </w:r>
    </w:p>
    <w:p>
      <w:pPr>
        <w:pStyle w:val="Heading2"/>
      </w:pPr>
      <w:r>
        <w:t xml:space="preserve">Le problème de Joe</w:t>
      </w:r>
    </w:p>
    <w:p>
      <w:pPr>
        <w:spacing w:after="160"/>
      </w:pPr>
      <w:r>
        <w:rPr>
          <w:rFonts w:ascii="Arial" w:cs="Arial" w:eastAsia="Arial" w:hAnsi="Arial"/>
          <w:sz w:val="22"/>
          <w:szCs w:val="22"/>
        </w:rPr>
        <w:t xml:space="preserve">Joe's Burger Palace vend un hamburger quart de livre. Joe ne sait pas combien ce hamburger lui coûte réellement à produire, et peine à comprendre pourquoi sa marge ne suit pas.</w:t>
      </w:r>
    </w:p>
    <w:p>
      <w:pPr>
        <w:spacing w:after="160"/>
      </w:pPr>
      <w:r>
        <w:rPr>
          <w:rFonts w:ascii="Arial" w:cs="Arial" w:eastAsia="Arial" w:hAnsi="Arial"/>
          <w:sz w:val="22"/>
          <w:szCs w:val="22"/>
        </w:rPr>
        <w:t xml:space="preserve">La méthode enseignée par TracRite consiste à décomposer chaque item acheté selon trois questions :</w:t>
      </w:r>
    </w:p>
    <w:p>
      <w:pPr>
        <w:pStyle w:val="ListParagraph"/>
        <w:numPr>
          <w:ilvl w:val="0"/>
          <w:numId w:val="8"/>
        </w:numPr>
        <w:spacing w:after="100"/>
      </w:pPr>
      <w:r>
        <w:rPr>
          <w:rFonts w:ascii="Arial" w:cs="Arial" w:eastAsia="Arial" w:hAnsi="Arial"/>
          <w:sz w:val="22"/>
          <w:szCs w:val="22"/>
        </w:rPr>
        <w:t xml:space="preserve">Comment l'achetez-vous ? (à la caisse, au sac, au kilo...)</w:t>
      </w:r>
    </w:p>
    <w:p>
      <w:pPr>
        <w:pStyle w:val="ListParagraph"/>
        <w:numPr>
          <w:ilvl w:val="0"/>
          <w:numId w:val="8"/>
        </w:numPr>
        <w:spacing w:after="100"/>
      </w:pPr>
      <w:r>
        <w:rPr>
          <w:rFonts w:ascii="Arial" w:cs="Arial" w:eastAsia="Arial" w:hAnsi="Arial"/>
          <w:sz w:val="22"/>
          <w:szCs w:val="22"/>
        </w:rPr>
        <w:t xml:space="preserve">Comment le comptez-vous à l'inventaire ? (toujours à la caisse, ou décomposé en bocaux, en livres...)</w:t>
      </w:r>
    </w:p>
    <w:p>
      <w:pPr>
        <w:pStyle w:val="ListParagraph"/>
        <w:numPr>
          <w:ilvl w:val="0"/>
          <w:numId w:val="8"/>
        </w:numPr>
        <w:spacing w:after="100"/>
      </w:pPr>
      <w:r>
        <w:rPr>
          <w:rFonts w:ascii="Arial" w:cs="Arial" w:eastAsia="Arial" w:hAnsi="Arial"/>
          <w:sz w:val="22"/>
          <w:szCs w:val="22"/>
        </w:rPr>
        <w:t xml:space="preserve">Comment l'utilisez-vous en recette ? (à l'once, à l'unité...)</w:t>
      </w:r>
    </w:p>
    <w:p>
      <w:pPr>
        <w:spacing w:after="160"/>
      </w:pPr>
      <w:r>
        <w:rPr>
          <w:rFonts w:ascii="Arial" w:cs="Arial" w:eastAsia="Arial" w:hAnsi="Arial"/>
          <w:sz w:val="22"/>
          <w:szCs w:val="22"/>
        </w:rPr>
        <w:t xml:space="preserve">Règle d'or : décomposer systématiquement jusqu'à l'once (ou le gramme) pour les items mesurés en poids ou en volume, et jusqu'à l'unité (each) pour les items utilisés individuellement.</w:t>
      </w:r>
    </w:p>
    <w:p>
      <w:pPr>
        <w:pStyle w:val="Heading2"/>
      </w:pPr>
      <w:r>
        <w:t xml:space="preserve">Les achats de Joe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de la caisse</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Taille de caisse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Unités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Pains à burger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1,65 $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 (une douzaine)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chacun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Boulettes de bœuf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20,43 $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 boulettes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chacune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34,00 $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 boîtes de 100 oz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boîtes de 100 oz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 tranchés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10 000 tranches (un seau)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6 000 pièces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pièce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Tomates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 pièces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 (après coupe)</w:t>
            </w:r>
          </w:p>
        </w:tc>
      </w:tr>
    </w:tbl>
    <w:p>
      <w:pPr>
        <w:spacing w:after="160"/>
      </w:pPr>
      <w:r>
        <w:t xml:space="preserve"/>
      </w:r>
    </w:p>
    <w:p>
      <w:pPr>
        <w:pStyle w:val="Heading2"/>
      </w:pPr>
      <w:r>
        <w:t xml:space="preserve">Calcul du coût unitaire de chaque ingrédient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Pains à burger</w:t>
            </w:r>
          </w:p>
          <w:p>
            <w:pPr>
              <w:spacing w:after="0"/>
            </w:pPr>
            <w:r>
              <w:rPr>
                <w:rFonts w:ascii="Arial" w:cs="Arial" w:eastAsia="Arial" w:hAnsi="Arial"/>
                <w:sz w:val="21"/>
                <w:szCs w:val="21"/>
              </w:rPr>
              <w:t xml:space="preserve">1,65 $ ÷ 12 = 0,1375 $, soit environ 13,7 cents par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Boulettes de bœuf</w:t>
            </w:r>
          </w:p>
          <w:p>
            <w:pPr>
              <w:spacing w:after="0"/>
            </w:pPr>
            <w:r>
              <w:rPr>
                <w:rFonts w:ascii="Arial" w:cs="Arial" w:eastAsia="Arial" w:hAnsi="Arial"/>
                <w:sz w:val="21"/>
                <w:szCs w:val="21"/>
              </w:rPr>
              <w:t xml:space="preserve">20,43 $ ÷ 66 = 0,309 $, soit environ 30,9 cents par boulette.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Ketchup</w:t>
            </w:r>
          </w:p>
          <w:p>
            <w:pPr>
              <w:spacing w:after="0"/>
            </w:pPr>
            <w:r>
              <w:rPr>
                <w:rFonts w:ascii="Arial" w:cs="Arial" w:eastAsia="Arial" w:hAnsi="Arial"/>
                <w:sz w:val="21"/>
                <w:szCs w:val="21"/>
              </w:rPr>
              <w:t xml:space="preserve">34,00 $ pour six boîtes de 100 oz = 600 oz au total. 34,00 $ ÷ 600 = 0,0566 $, soit environ 5,6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Moutarde</w:t>
            </w:r>
          </w:p>
          <w:p>
            <w:pPr>
              <w:spacing w:after="0"/>
            </w:pPr>
            <w:r>
              <w:rPr>
                <w:rFonts w:ascii="Arial" w:cs="Arial" w:eastAsia="Arial" w:hAnsi="Arial"/>
                <w:sz w:val="21"/>
                <w:szCs w:val="21"/>
              </w:rPr>
              <w:t xml:space="preserve">8,00 $ pour deux boîtes de 100 oz = 200 oz au total. 8,00 $ ÷ 200 = 0,04 $, soit 4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Cornichons tranchés</w:t>
            </w:r>
          </w:p>
          <w:p>
            <w:pPr>
              <w:spacing w:after="0"/>
            </w:pPr>
            <w:r>
              <w:rPr>
                <w:rFonts w:ascii="Arial" w:cs="Arial" w:eastAsia="Arial" w:hAnsi="Arial"/>
                <w:sz w:val="21"/>
                <w:szCs w:val="21"/>
              </w:rPr>
              <w:t xml:space="preserve">26,00 $ ÷ 10 000 tranches = 0,0026 $, soit environ 0,26 cent par tranche.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Emballage burger</w:t>
            </w:r>
          </w:p>
          <w:p>
            <w:pPr>
              <w:spacing w:after="0"/>
            </w:pPr>
            <w:r>
              <w:rPr>
                <w:rFonts w:ascii="Arial" w:cs="Arial" w:eastAsia="Arial" w:hAnsi="Arial"/>
                <w:sz w:val="21"/>
                <w:szCs w:val="21"/>
              </w:rPr>
              <w:t xml:space="preserve">88,00 $ ÷ 6 000 pièces = 0,0146 $, soit environ 1,46 cent par pièce.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Tomates</w:t>
            </w:r>
          </w:p>
          <w:p>
            <w:pPr>
              <w:spacing w:after="0"/>
            </w:pPr>
            <w:r>
              <w:rPr>
                <w:rFonts w:ascii="Arial" w:cs="Arial" w:eastAsia="Arial" w:hAnsi="Arial"/>
                <w:sz w:val="21"/>
                <w:szCs w:val="21"/>
              </w:rPr>
              <w:t xml:space="preserve">25,00 $ ÷ 120 tomates = 0,2333 $ par tomate. Avec environ 12 tranches obtenues par tomate, le coût par tranche est de 0,2333 ÷ 12 ≈ 1,94 cent.</w:t>
            </w:r>
          </w:p>
        </w:tc>
      </w:tr>
    </w:tbl>
    <w:p>
      <w:pPr>
        <w:pStyle w:val="Heading2"/>
      </w:pPr>
      <w:r>
        <w:t xml:space="preserve">Composition du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Ingrédient</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 (0,137 $)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 de bœuf</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 (0,309 $)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0,26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0,78 cent (0,0078 $)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Tranches de tomate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1,94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3,88 cents (0,038 $)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5,6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 cents (0,028 $)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p>
      <w:pPr>
        <w:spacing w:after="160"/>
      </w:pPr>
      <w:r>
        <w:rPr>
          <w:rFonts w:ascii="Arial" w:cs="Arial" w:eastAsia="Arial" w:hAnsi="Arial"/>
          <w:sz w:val="22"/>
          <w:szCs w:val="22"/>
        </w:rPr>
        <w:t xml:space="preserve">Coût total ingrédients alimentaires : 54,06 cents (0,5406 $).</w:t>
      </w:r>
    </w:p>
    <w:p>
      <w:pPr>
        <w:pStyle w:val="Heading2"/>
      </w:pPr>
      <w:r>
        <w:t xml:space="preserve">Ajouter les coûts d'emballage</w:t>
      </w:r>
    </w:p>
    <w:p>
      <w:pPr>
        <w:spacing w:after="160"/>
      </w:pPr>
      <w:r>
        <w:rPr>
          <w:rFonts w:ascii="Arial" w:cs="Arial" w:eastAsia="Arial" w:hAnsi="Arial"/>
          <w:sz w:val="22"/>
          <w:szCs w:val="22"/>
        </w:rPr>
        <w:t xml:space="preserve">Joe doit aussi inclure l'emballage et les serviettes servis avec chaque hamburger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Article papier</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 (0,0146 $)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Serviette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Coût de vente total</w:t>
            </w:r>
          </w:p>
          <w:p>
            <w:pPr>
              <w:spacing w:after="0"/>
            </w:pPr>
            <w:r>
              <w:rPr>
                <w:rFonts w:ascii="Arial" w:cs="Arial" w:eastAsia="Arial" w:hAnsi="Arial"/>
                <w:sz w:val="21"/>
                <w:szCs w:val="21"/>
              </w:rPr>
              <w:t xml:space="preserve">0,5406 $ (nourriture) + 0,0346 $ (papier) = 0,5552 $ — soit 55,52 cents pour produire un seul hamburger, emballage compris.</w:t>
            </w:r>
          </w:p>
        </w:tc>
      </w:tr>
    </w:tbl>
    <w:p>
      <w:pPr>
        <w:pStyle w:val="Heading2"/>
      </w:pPr>
      <w:r>
        <w:t xml:space="preserve">Calculer le prix de vente cible</w:t>
      </w:r>
    </w:p>
    <w:p>
      <w:pPr>
        <w:spacing w:after="160"/>
      </w:pPr>
      <w:r>
        <w:rPr>
          <w:rFonts w:ascii="Arial" w:cs="Arial" w:eastAsia="Arial" w:hAnsi="Arial"/>
          <w:sz w:val="22"/>
          <w:szCs w:val="22"/>
        </w:rPr>
        <w:t xml:space="preserve">Joe vise un coût de vente (nourriture + papier) de 33 %. La formule est simple : coût ÷ pourcentage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prix de vente</w:t>
            </w:r>
          </w:p>
          <w:p>
            <w:pPr>
              <w:spacing w:after="0"/>
            </w:pPr>
            <w:r>
              <w:rPr>
                <w:rFonts w:ascii="Arial" w:cs="Arial" w:eastAsia="Arial" w:hAnsi="Arial"/>
                <w:sz w:val="21"/>
                <w:szCs w:val="21"/>
              </w:rPr>
              <w:t xml:space="preserve">57,52 cents ÷ 33 % = 189,81 cents, soit un prix de vente cible d'environ 1,89 $ pour atteindre exactement 33 % de coût de vente.</w:t>
            </w:r>
          </w:p>
        </w:tc>
      </w:tr>
    </w:tbl>
    <w:p>
      <w:pPr>
        <w:spacing w:after="160"/>
      </w:pPr>
      <w:r>
        <w:rPr>
          <w:rFonts w:ascii="Arial" w:cs="Arial" w:eastAsia="Arial" w:hAnsi="Arial"/>
          <w:sz w:val="22"/>
          <w:szCs w:val="22"/>
        </w:rPr>
        <w:t xml:space="preserve">Si Joe garde son coût alimentaire sous contrôle de cette façon — pour chaque article du menu — il est en bonne voie pour réaliser une marge saine sur l'ensemble de son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Ce que fait Optimum Control automatiquement</w:t>
            </w:r>
          </w:p>
          <w:p>
            <w:pPr>
              <w:spacing w:after="0"/>
            </w:pPr>
            <w:r>
              <w:rPr>
                <w:rFonts w:ascii="Arial" w:cs="Arial" w:eastAsia="Arial" w:hAnsi="Arial"/>
                <w:sz w:val="21"/>
                <w:szCs w:val="21"/>
              </w:rPr>
              <w:t xml:space="preserve">Tout ce calcul manuel — décomposition des unités d'achat, conversion vers l'unité de recette, calcul du coût total d'une recette, calcul du prix de vente selon un pourcentage cible — est exactement ce que les fenêtres Items, Preps et Products effectuent automatiquement dès que les items sont correctement configurés. Comprendre cette mécanique manuelle aide à diagnostiquer un coût de recette qui semble incohérent : il suffit de revérifier la décomposition des unités à la source.</w:t>
            </w:r>
          </w:p>
        </w:tc>
      </w:tr>
    </w:tbl>
    <w:p>
      <w:pPr>
        <w:pStyle w:val="Heading1"/>
        <w:pageBreakBefore/>
      </w:pPr>
      <w:r>
        <w:t xml:space="preserve">Chapitre 15 — Sauvegarde, restauration et maintenance</w:t>
      </w:r>
    </w:p>
    <w:p>
      <w:pPr>
        <w:pStyle w:val="Heading2"/>
      </w:pPr>
      <w:r>
        <w:t xml:space="preserve">Sauvegarder la base de données</w:t>
      </w:r>
    </w:p>
    <w:p>
      <w:pPr>
        <w:spacing w:after="160"/>
      </w:pPr>
      <w:r>
        <w:rPr>
          <w:rFonts w:ascii="Arial" w:cs="Arial" w:eastAsia="Arial" w:hAnsi="Arial"/>
          <w:sz w:val="22"/>
          <w:szCs w:val="22"/>
        </w:rPr>
        <w:t xml:space="preserve">Le bouton Backup Data (Button Bar ou File → Backup Data) compresse automatiquement la base de données vers l'emplacement choisi. TracRite recommande fortement de sauvegarder vers un support externe (clé USB, disque réseau, disque dur externe) plutôt que sur le disque local, en cas de panne de l'ordinateur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Une sauvegarde par jour</w:t>
            </w:r>
          </w:p>
          <w:p>
            <w:pPr>
              <w:spacing w:after="0"/>
            </w:pPr>
            <w:r>
              <w:rPr>
                <w:rFonts w:ascii="Arial" w:cs="Arial" w:eastAsia="Arial" w:hAnsi="Arial"/>
                <w:sz w:val="21"/>
                <w:szCs w:val="21"/>
              </w:rPr>
              <w:t xml:space="preserve">Une seule sauvegarde par jour est autorisée par défaut sous le même nom de fichier. Pour en effectuer plusieurs dans la même journée, il faut modifier manuellement le nom du fichier de sauvegarde (ex. : ajouter « _2 » à la fin du nom).</w:t>
            </w:r>
          </w:p>
        </w:tc>
      </w:tr>
    </w:tbl>
    <w:p>
      <w:pPr>
        <w:spacing w:after="160"/>
      </w:pPr>
      <w:r>
        <w:rPr>
          <w:rFonts w:ascii="Arial" w:cs="Arial" w:eastAsia="Arial" w:hAnsi="Arial"/>
          <w:sz w:val="22"/>
          <w:szCs w:val="22"/>
        </w:rPr>
        <w:t xml:space="preserve">Chaque sauvegarde crée un nouveau fichier daté plutôt que d'écraser la précédente — pensez à supprimer périodiquement les anciens fichiers de sauvegarde pour libérer de l'espace disque, en conservant toujours au moins 2 à 3 jeux récents en cas de corruption.</w:t>
      </w:r>
    </w:p>
    <w:p>
      <w:pPr>
        <w:pStyle w:val="Heading2"/>
      </w:pPr>
      <w:r>
        <w:t xml:space="preserve">Restaurer une sauvegarde</w:t>
      </w:r>
    </w:p>
    <w:p>
      <w:pPr>
        <w:spacing w:after="160"/>
      </w:pPr>
      <w:r>
        <w:rPr>
          <w:rFonts w:ascii="Arial" w:cs="Arial" w:eastAsia="Arial" w:hAnsi="Arial"/>
          <w:sz w:val="22"/>
          <w:szCs w:val="22"/>
        </w:rPr>
        <w:t xml:space="preserve">La restauration se fait uniquement depuis l'écran de connexion (bouton Backup/Restore), jamais pendant qu'Optimum Control est ouvert. On sélectionne le fichier de sauvegarde voulu, puis Restore Data.</w:t>
      </w:r>
    </w:p>
    <w:p>
      <w:pPr>
        <w:pStyle w:val="Heading2"/>
      </w:pPr>
      <w:r>
        <w:t xml:space="preserve">Supprimer les anciennes données (Delete Data)</w:t>
      </w:r>
    </w:p>
    <w:p>
      <w:pPr>
        <w:spacing w:after="160"/>
      </w:pPr>
      <w:r>
        <w:rPr>
          <w:rFonts w:ascii="Arial" w:cs="Arial" w:eastAsia="Arial" w:hAnsi="Arial"/>
          <w:sz w:val="22"/>
          <w:szCs w:val="22"/>
        </w:rPr>
        <w:t xml:space="preserve">Pour conserver de bonnes performances, TracRite recommande de purger les données anciennes une à deux fois par an via File → Delete Data, en sélectionnant une date de coupure et le type de données à effacer (factures, ventes quotidiennes, inventaire).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Avant de supprimer</w:t>
            </w:r>
          </w:p>
          <w:p>
            <w:pPr>
              <w:spacing w:after="0"/>
            </w:pPr>
            <w:r>
              <w:rPr>
                <w:rFonts w:ascii="Arial" w:cs="Arial" w:eastAsia="Arial" w:hAnsi="Arial"/>
                <w:sz w:val="21"/>
                <w:szCs w:val="21"/>
              </w:rPr>
              <w:t xml:space="preserve">Sauvegardez systématiquement votre base de données avant toute suppression, et imprimez au préalable tout rapport dont vous souhaitez conserver une trace permanente. Il n'est pas recommandé de supprimer des données de moins de 90 jours.</w:t>
            </w:r>
          </w:p>
        </w:tc>
      </w:tr>
    </w:tbl>
    <w:p>
      <w:pPr>
        <w:pStyle w:val="Heading1"/>
        <w:pageBreakBefore/>
      </w:pPr>
      <w:r>
        <w:t xml:space="preserve">Chapitre 16 — Module Nutrition</w:t>
      </w:r>
    </w:p>
    <w:p>
      <w:pPr>
        <w:spacing w:after="160"/>
      </w:pPr>
      <w:r>
        <w:rPr>
          <w:rFonts w:ascii="Arial" w:cs="Arial" w:eastAsia="Arial" w:hAnsi="Arial"/>
          <w:sz w:val="22"/>
          <w:szCs w:val="22"/>
        </w:rPr>
        <w:t xml:space="preserve">Optimum Control intègre un outil d'analyse nutritionnelle complet, basé par défaut sur la base de données USDA (environ 7000 items). Il permet de générer des étiquettes nutritionnelles conformes et de suivre les allergènes à travers toutes les recettes.</w:t>
      </w:r>
    </w:p>
    <w:p>
      <w:pPr>
        <w:pStyle w:val="Heading2"/>
      </w:pPr>
      <w:r>
        <w:t xml:space="preserve">Flux de travail nutritionnel</w:t>
      </w:r>
    </w:p>
    <w:p>
      <w:pPr>
        <w:pStyle w:val="ListParagraph"/>
        <w:numPr>
          <w:ilvl w:val="0"/>
          <w:numId w:val="9"/>
        </w:numPr>
        <w:spacing w:after="100"/>
      </w:pPr>
      <w:r>
        <w:rPr>
          <w:rFonts w:ascii="Arial" w:cs="Arial" w:eastAsia="Arial" w:hAnsi="Arial"/>
          <w:sz w:val="22"/>
          <w:szCs w:val="22"/>
        </w:rPr>
        <w:t xml:space="preserve">Lier chaque Item d'inventaire à une entrée de référence (USDA ou base personnalisée).</w:t>
      </w:r>
    </w:p>
    <w:p>
      <w:pPr>
        <w:pStyle w:val="ListParagraph"/>
        <w:numPr>
          <w:ilvl w:val="0"/>
          <w:numId w:val="9"/>
        </w:numPr>
        <w:spacing w:after="100"/>
      </w:pPr>
      <w:r>
        <w:rPr>
          <w:rFonts w:ascii="Arial" w:cs="Arial" w:eastAsia="Arial" w:hAnsi="Arial"/>
          <w:sz w:val="22"/>
          <w:szCs w:val="22"/>
        </w:rPr>
        <w:t xml:space="preserve">Calculer la nutrition de chaque recette (Prep et Product), une fois tous les ingrédients liés.</w:t>
      </w:r>
    </w:p>
    <w:p>
      <w:pPr>
        <w:pStyle w:val="ListParagraph"/>
        <w:numPr>
          <w:ilvl w:val="0"/>
          <w:numId w:val="9"/>
        </w:numPr>
        <w:spacing w:after="100"/>
      </w:pPr>
      <w:r>
        <w:rPr>
          <w:rFonts w:ascii="Arial" w:cs="Arial" w:eastAsia="Arial" w:hAnsi="Arial"/>
          <w:sz w:val="22"/>
          <w:szCs w:val="22"/>
        </w:rPr>
        <w:t xml:space="preserve">Choisir ou créer une Nutritional Guideline pour permettre le calcul des pourcentages sur les étiquettes.</w:t>
      </w:r>
    </w:p>
    <w:p>
      <w:pPr>
        <w:pStyle w:val="Heading2"/>
      </w:pPr>
      <w:r>
        <w:t xml:space="preserve">Mettre à jour la base de référence</w:t>
      </w:r>
    </w:p>
    <w:p>
      <w:pPr>
        <w:spacing w:after="160"/>
      </w:pPr>
      <w:r>
        <w:rPr>
          <w:rFonts w:ascii="Arial" w:cs="Arial" w:eastAsia="Arial" w:hAnsi="Arial"/>
          <w:sz w:val="22"/>
          <w:szCs w:val="22"/>
        </w:rPr>
        <w:t xml:space="preserve">Nutrition → Reference Data Import permet de mettre à jour les tables nutritionnelles par catégorie (produits laitiers, viandes, légumes, etc.), avec la date de dernière mise à jour serveur affichée pour chaque catégorie. Le processus s'exécute en arrière-plan, sans bloquer le reste du logiciel.</w:t>
      </w:r>
    </w:p>
    <w:p>
      <w:pPr>
        <w:pStyle w:val="Heading2"/>
      </w:pPr>
      <w:r>
        <w:t xml:space="preserve">Directives nutritionnelles (Nutritional Guidelines)</w:t>
      </w:r>
    </w:p>
    <w:p>
      <w:pPr>
        <w:spacing w:after="160"/>
      </w:pPr>
      <w:r>
        <w:rPr>
          <w:rFonts w:ascii="Arial" w:cs="Arial" w:eastAsia="Arial" w:hAnsi="Arial"/>
          <w:sz w:val="22"/>
          <w:szCs w:val="22"/>
        </w:rPr>
        <w:t xml:space="preserve">Deux guides sont fournis par défaut : USDA et Canada Food Guide. Des guides personnalisés peuvent être créés pour des contextes spécifiques (établissement de soins, régime particulier), en définissant les apports requis pour chaque nutriment.</w:t>
      </w:r>
    </w:p>
    <w:p>
      <w:pPr>
        <w:pStyle w:val="Heading2"/>
      </w:pPr>
      <w:r>
        <w:t xml:space="preserve">Étiquettes nutritionnelles</w:t>
      </w:r>
    </w:p>
    <w:p>
      <w:pPr>
        <w:spacing w:after="160"/>
      </w:pPr>
      <w:r>
        <w:rPr>
          <w:rFonts w:ascii="Arial" w:cs="Arial" w:eastAsia="Arial" w:hAnsi="Arial"/>
          <w:sz w:val="22"/>
          <w:szCs w:val="22"/>
        </w:rPr>
        <w:t xml:space="preserve">L'impression d'étiquettes (Nutrition → Nutrition Labels) nécessite la sélection d'une directive nutritionnelle pour calculer les pourcentages affichés. Les étiquettes peuvent être imprimées sur une imprimante standard, exportées en PDF, ou imprimées en continu sur une imprimante d'étiquettes dédiée.</w:t>
      </w:r>
    </w:p>
    <w:p>
      <w:pPr>
        <w:pStyle w:val="Heading2"/>
      </w:pPr>
      <w:r>
        <w:t xml:space="preserve">Allergènes</w:t>
      </w:r>
    </w:p>
    <w:p>
      <w:pPr>
        <w:spacing w:after="160"/>
      </w:pPr>
      <w:r>
        <w:rPr>
          <w:rFonts w:ascii="Arial" w:cs="Arial" w:eastAsia="Arial" w:hAnsi="Arial"/>
          <w:sz w:val="22"/>
          <w:szCs w:val="22"/>
        </w:rPr>
        <w:t xml:space="preserve">Au-delà du simple marquage par item (voir chapitre 3), un rapport dédié permet d'identifier instantanément, pour un allergène donné, toutes les recettes (Items, Preps ou Products) qui le contiennent — un gain de temps précieux face à une question client ou une exigence réglementaire.</w:t>
      </w:r>
    </w:p>
    <w:p>
      <w:pPr>
        <w:pStyle w:val="Heading1"/>
        <w:pageBreakBefore/>
      </w:pPr>
      <w:r>
        <w:t xml:space="preserve">Chapitre 17 — Enterprise : gestion multi-chaînes</w:t>
      </w:r>
    </w:p>
    <w:p>
      <w:pPr>
        <w:spacing w:after="160"/>
      </w:pPr>
      <w:r>
        <w:rPr>
          <w:rFonts w:ascii="Arial" w:cs="Arial" w:eastAsia="Arial" w:hAnsi="Arial"/>
          <w:sz w:val="22"/>
          <w:szCs w:val="22"/>
        </w:rPr>
        <w:t xml:space="preserve">Le module Enterprise s'adresse aux chaînes multi-établissements : il permet au siège social de maintenir un jeu de recettes synchronisé sur tous les points de vente, et de consulter les données d'inventaire et de ventes consolidées via un système de rapports web.</w:t>
      </w:r>
    </w:p>
    <w:p>
      <w:pPr>
        <w:pStyle w:val="Heading2"/>
      </w:pPr>
      <w:r>
        <w:t xml:space="preserve">Le principe des Consolidation ID</w:t>
      </w:r>
    </w:p>
    <w:p>
      <w:pPr>
        <w:spacing w:after="160"/>
      </w:pPr>
      <w:r>
        <w:rPr>
          <w:rFonts w:ascii="Arial" w:cs="Arial" w:eastAsia="Arial" w:hAnsi="Arial"/>
          <w:sz w:val="22"/>
          <w:szCs w:val="22"/>
        </w:rPr>
        <w:t xml:space="preserve">Chaque item, Prep et Product doit recevoir un identifiant unique de consolidation (Consolidation ID) — préfixé « I » pour les items, « P » pour les Preps, « R » pour les Products (recettes de menu) — qui relie chaque base de données locale au siège social et au système de rapports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Règle absolue</w:t>
            </w:r>
          </w:p>
          <w:p>
            <w:pPr>
              <w:spacing w:after="0"/>
            </w:pPr>
            <w:r>
              <w:rPr>
                <w:rFonts w:ascii="Arial" w:cs="Arial" w:eastAsia="Arial" w:hAnsi="Arial"/>
                <w:sz w:val="21"/>
                <w:szCs w:val="21"/>
              </w:rPr>
              <w:t xml:space="preserve">Les magasins (bases de données « Child ») ne doivent JAMAIS avoir accès aux fenêtres Items, Prep ou Products. Toute création ou modification de recette doit se faire EXCLUSIVEMENT depuis la base de données du siège social (« Head Office »). Les magasins reçoivent les mises à jour, ils ne les créent pas.</w:t>
            </w:r>
          </w:p>
        </w:tc>
      </w:tr>
    </w:tbl>
    <w:p>
      <w:pPr>
        <w:pStyle w:val="Heading2"/>
      </w:pPr>
      <w:r>
        <w:t xml:space="preserve">Deux types de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Droits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 Office (Siège)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Peut créer, modifier et assigner les Consolidation ID. Source unique de vérité pour tous les items, preps et produits.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Child (Établissement)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Peut consulter les Consolidation ID en lecture seule. Ne peut ni ajouter ni modifier.</w:t>
            </w:r>
          </w:p>
        </w:tc>
      </w:tr>
    </w:tbl>
    <w:p>
      <w:pPr>
        <w:spacing w:after="160"/>
      </w:pPr>
      <w:r>
        <w:t xml:space="preserve"/>
      </w:r>
    </w:p>
    <w:p>
      <w:pPr>
        <w:pStyle w:val="Heading2"/>
      </w:pPr>
      <w:r>
        <w:t xml:space="preserve">Démarrer un déploiement Enterprise</w:t>
      </w:r>
    </w:p>
    <w:p>
      <w:pPr>
        <w:spacing w:after="160"/>
      </w:pPr>
      <w:r>
        <w:rPr>
          <w:rFonts w:ascii="Arial" w:cs="Arial" w:eastAsia="Arial" w:hAnsi="Arial"/>
          <w:sz w:val="22"/>
          <w:szCs w:val="22"/>
        </w:rPr>
        <w:t xml:space="preserve">La base de données du siège social doit d'abord contenir TOUS les items, preps et produits pour TOUS les établissements de la chaîne — même les items vendus dans un seul établissement spécifique (par exemple, des tacos au poisson vendus dans un seul restaurant de la chaîne doivent quand même exister dans la base centrale).</w:t>
      </w:r>
    </w:p>
    <w:p>
      <w:pPr>
        <w:pStyle w:val="Heading2"/>
      </w:pPr>
      <w:r>
        <w:t xml:space="preserve">Assigner et exporter les identifiants</w:t>
      </w:r>
    </w:p>
    <w:p>
      <w:pPr>
        <w:spacing w:after="160"/>
      </w:pPr>
      <w:r>
        <w:rPr>
          <w:rFonts w:ascii="Arial" w:cs="Arial" w:eastAsia="Arial" w:hAnsi="Arial"/>
          <w:sz w:val="22"/>
          <w:szCs w:val="22"/>
        </w:rPr>
        <w:t xml:space="preserve">Depuis le siège social, Enterprise → Set Consolidation ID's propose un bouton Assign qui attribue automatiquement un numéro à tous les nouveaux items, preps et produits qui n'en ont pas encore (l'attribution manuelle est techniquement possible mais déconseillée — fastidieuse et sans réel bénéfice).</w:t>
      </w:r>
    </w:p>
    <w:p>
      <w:pPr>
        <w:spacing w:after="160"/>
      </w:pPr>
      <w:r>
        <w:rPr>
          <w:rFonts w:ascii="Arial" w:cs="Arial" w:eastAsia="Arial" w:hAnsi="Arial"/>
          <w:sz w:val="22"/>
          <w:szCs w:val="22"/>
        </w:rPr>
        <w:t xml:space="preserve">Une fois les identifiants assignés, un jeu de données complet doit être exporté (Enterprise → Export) puis téléversé sur le site OCEnterprise — toute nouvelle création au siège social nécessite un nouvel export et un nouveau téléversement complet, pas seulement de l'élément ajouté.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Items en rouge dans la liste d'export</w:t>
            </w:r>
          </w:p>
          <w:p>
            <w:pPr>
              <w:spacing w:after="0"/>
            </w:pPr>
            <w:r>
              <w:rPr>
                <w:rFonts w:ascii="Arial" w:cs="Arial" w:eastAsia="Arial" w:hAnsi="Arial"/>
                <w:sz w:val="21"/>
                <w:szCs w:val="21"/>
              </w:rPr>
              <w:t xml:space="preserve">Tout item ou recette apparaissant en ROUGE dans la fenêtre d'export ne possède pas encore de Consolidation ID — il doit être réglé avant l'export, sans quoi il sera tout simplement exclu du jeu de données envoyé aux établissements.</w:t>
            </w:r>
          </w:p>
        </w:tc>
      </w:tr>
    </w:tbl>
    <w:p>
      <w:pPr>
        <w:pStyle w:val="Heading2"/>
      </w:pPr>
      <w:r>
        <w:t xml:space="preserve">Régions et fournisseurs</w:t>
      </w:r>
    </w:p>
    <w:p>
      <w:pPr>
        <w:spacing w:after="160"/>
      </w:pPr>
      <w:r>
        <w:rPr>
          <w:rFonts w:ascii="Arial" w:cs="Arial" w:eastAsia="Arial" w:hAnsi="Arial"/>
          <w:sz w:val="22"/>
          <w:szCs w:val="22"/>
        </w:rPr>
        <w:t xml:space="preserve">Si différentes régions de la chaîne utilisent des fournisseurs différents avec des tailles de conditionnement différentes, la fonction Enterprise – Setting Regions permet de régionaliser les fournisseurs : lors de l'export, seuls les fournisseurs rattachés à la région choisie seront inclus dans le jeu de données envoyé à cet établissement.</w:t>
      </w:r>
    </w:p>
    <w:p>
      <w:pPr>
        <w:pStyle w:val="Heading2"/>
      </w:pPr>
      <w:r>
        <w:t xml:space="preserve">Réception côté établissement</w:t>
      </w:r>
    </w:p>
    <w:p>
      <w:pPr>
        <w:spacing w:after="160"/>
      </w:pPr>
      <w:r>
        <w:rPr>
          <w:rFonts w:ascii="Arial" w:cs="Arial" w:eastAsia="Arial" w:hAnsi="Arial"/>
          <w:sz w:val="22"/>
          <w:szCs w:val="22"/>
        </w:rPr>
        <w:t xml:space="preserve">Au niveau de chaque magasin, l'import des jeux de recettes peut se faire manuellement (Enterprise → Item/Recipe → Import) ou automatiquement à l'ouverture de session si le paramètre Import Recipe Sets at Startup est activé en préférences — configuration fortement recommandée pour les chaînes, qui garantit que chaque employé démarre toujours avec le jeu de recettes le plus récent.</w:t>
      </w:r>
    </w:p>
    <w:p>
      <w:pPr>
        <w:spacing w:after="160"/>
      </w:pPr>
      <w:r>
        <w:rPr>
          <w:rFonts w:ascii="Arial" w:cs="Arial" w:eastAsia="Arial" w:hAnsi="Arial"/>
          <w:sz w:val="22"/>
          <w:szCs w:val="22"/>
        </w:rPr>
        <w:t xml:space="preserve">Lors de l'import, le comportement diffère selon le scénario : un item totalement nouveau est créé avec les informations du siège ; un item existant avec le même Consolidation ID et le même fournisseur/code voit sa quantité par caisse mise à jour, mais pas son prix ; un item déjà présent sans correspondance de fournisseur reste inchangé ; une recette existante voit ses ingrédients ou son rendement écrasés par la nouvelle version.</w:t>
      </w:r>
    </w:p>
    <w:p>
      <w:pPr>
        <w:pStyle w:val="Heading1"/>
        <w:pageBreakBefore/>
      </w:pPr>
      <w:r>
        <w:t xml:space="preserve">Chapitre 18 — Questions fréquentes</w:t>
      </w:r>
    </w:p>
    <w:p>
      <w:pPr>
        <w:spacing w:after="160"/>
      </w:pPr>
      <w:r>
        <w:rPr>
          <w:rFonts w:ascii="Arial" w:cs="Arial" w:eastAsia="Arial" w:hAnsi="Arial"/>
          <w:sz w:val="22"/>
          <w:szCs w:val="22"/>
        </w:rPr>
        <w:t xml:space="preserve">Cette sélection regroupe les problèmes les plus couramment rencontrés, organisés par thème, avec leur solution issue du manuel officiel.</w:t>
      </w:r>
    </w:p>
    <w:p>
      <w:pPr>
        <w:pStyle w:val="Heading2"/>
      </w:pPr>
      <w:r>
        <w:t xml:space="preserve">Inventaire</w:t>
      </w:r>
    </w:p>
    <w:p>
      <w:pPr>
        <w:pStyle w:val="Heading3"/>
      </w:pPr>
      <w:r>
        <w:t xml:space="preserve">Des items n'apparaissent pas sur la feuille de comptage</w:t>
      </w:r>
    </w:p>
    <w:p>
      <w:pPr>
        <w:spacing w:after="160"/>
      </w:pPr>
      <w:r>
        <w:rPr>
          <w:rFonts w:ascii="Arial" w:cs="Arial" w:eastAsia="Arial" w:hAnsi="Arial"/>
          <w:sz w:val="22"/>
          <w:szCs w:val="22"/>
        </w:rPr>
        <w:t xml:space="preserve">Cause probable : ces items sont marqués Non-Key (voir chapitre 3). Par défaut, la feuille de comptage n'affiche que les Key Items. Cliquer Show All en haut de la fenêtre d'inventaire fait apparaître tous les items, les Non-Key étant alors surlignés en jaune.</w:t>
      </w:r>
    </w:p>
    <w:p>
      <w:pPr>
        <w:pStyle w:val="Heading3"/>
      </w:pPr>
      <w:r>
        <w:t xml:space="preserve">Le total après Summarize est plus élevé que prévu</w:t>
      </w:r>
    </w:p>
    <w:p>
      <w:pPr>
        <w:spacing w:after="160"/>
      </w:pPr>
      <w:r>
        <w:rPr>
          <w:rFonts w:ascii="Arial" w:cs="Arial" w:eastAsia="Arial" w:hAnsi="Arial"/>
          <w:sz w:val="22"/>
          <w:szCs w:val="22"/>
        </w:rPr>
        <w:t xml:space="preserve">Souvent causé par un changement d'emplacement d'un item entre deux comptages : le logiciel conserve encore des comptages liés à un emplacement qui n'est plus visible. Solution : cliquer New sur la feuille de comptage (cela vide tout travail en cours) et ressaisir l'inventaire.</w:t>
      </w:r>
    </w:p>
    <w:p>
      <w:pPr>
        <w:pStyle w:val="Heading3"/>
      </w:pPr>
      <w:r>
        <w:t xml:space="preserve">Des nombres négatifs apparaissent dans les rapports après sauvegarde</w:t>
      </w:r>
    </w:p>
    <w:p>
      <w:pPr>
        <w:spacing w:after="160"/>
      </w:pPr>
      <w:r>
        <w:rPr>
          <w:rFonts w:ascii="Arial" w:cs="Arial" w:eastAsia="Arial" w:hAnsi="Arial"/>
          <w:sz w:val="22"/>
          <w:szCs w:val="22"/>
        </w:rPr>
        <w:t xml:space="preserve">Le logiciel extrait toujours le stock depuis le dernier inventaire sauvegardé. Si des items Non-Key n'ont jamais été réinitialisés ou achetés, le système continue d'extraire depuis la dernière valeur connue, ce qui peut générer des montants négatifs apparents.</w:t>
      </w:r>
    </w:p>
    <w:p>
      <w:pPr>
        <w:pStyle w:val="Heading3"/>
      </w:pPr>
      <w:r>
        <w:t xml:space="preserve">Beaucoup de quantités en stock négatives</w:t>
      </w:r>
    </w:p>
    <w:p>
      <w:pPr>
        <w:spacing w:after="160"/>
      </w:pPr>
      <w:r>
        <w:rPr>
          <w:rFonts w:ascii="Arial" w:cs="Arial" w:eastAsia="Arial" w:hAnsi="Arial"/>
          <w:sz w:val="22"/>
          <w:szCs w:val="22"/>
        </w:rPr>
        <w:t xml:space="preserve">Vérifiez si une facture a été saisie par erreur comme un crédit (cela inverse le sens du mouvement de stock). Si c'est le cas, il faut généralement saisir le montant deux fois : une fois pour ramener l'inventaire à son niveau d'avant l'erreur, une fois pour ajouter correctement le stock.</w:t>
      </w:r>
    </w:p>
    <w:p>
      <w:pPr>
        <w:pStyle w:val="Heading2"/>
      </w:pPr>
      <w:r>
        <w:t xml:space="preserve">Usage Summary</w:t>
      </w:r>
    </w:p>
    <w:p>
      <w:pPr>
        <w:pStyle w:val="Heading3"/>
      </w:pPr>
      <w:r>
        <w:t xml:space="preserve">Aucun pourcentage de coût ne s'affiche</w:t>
      </w:r>
    </w:p>
    <w:p>
      <w:pPr>
        <w:spacing w:after="160"/>
      </w:pPr>
      <w:r>
        <w:rPr>
          <w:rFonts w:ascii="Arial" w:cs="Arial" w:eastAsia="Arial" w:hAnsi="Arial"/>
          <w:sz w:val="22"/>
          <w:szCs w:val="22"/>
        </w:rPr>
        <w:t xml:space="preserve">Les ventes hebdomadaires doivent être saisies dans la fenêtre Daily Sales Summary pour que le rapport puisse calculer un pourcentage de coût de vente.</w:t>
      </w:r>
    </w:p>
    <w:p>
      <w:pPr>
        <w:pStyle w:val="Heading3"/>
      </w:pPr>
      <w:r>
        <w:t xml:space="preserve">Le message « Sales not defined » apparaît à côté d'une catégorie</w:t>
      </w:r>
    </w:p>
    <w:p>
      <w:pPr>
        <w:spacing w:after="160"/>
      </w:pPr>
      <w:r>
        <w:rPr>
          <w:rFonts w:ascii="Arial" w:cs="Arial" w:eastAsia="Arial" w:hAnsi="Arial"/>
          <w:sz w:val="22"/>
          <w:szCs w:val="22"/>
        </w:rPr>
        <w:t xml:space="preserve">Cela signifie que les ventes n'ont pas été détaillées par catégorie dans la fenêtre Daily Sales — seul le montant brut global a été saisi, sans répartition. Il faut utiliser le bouton Detail à côté de Gross Sales pour ventiler les ventes par catégorie.</w:t>
      </w:r>
    </w:p>
    <w:p>
      <w:pPr>
        <w:pStyle w:val="Heading3"/>
      </w:pPr>
      <w:r>
        <w:t xml:space="preserve">Le coût idéal apparaît doublé</w:t>
      </w:r>
    </w:p>
    <w:p>
      <w:pPr>
        <w:spacing w:after="160"/>
      </w:pPr>
      <w:r>
        <w:rPr>
          <w:rFonts w:ascii="Arial" w:cs="Arial" w:eastAsia="Arial" w:hAnsi="Arial"/>
          <w:sz w:val="22"/>
          <w:szCs w:val="22"/>
        </w:rPr>
        <w:t xml:space="preserve">Vérifiez si le même Sales Mix a été sauvegardé deux fois par erreur dans la fenêtre de sélection des Sales Mix — supprimer le doublon résout généralement le problème.</w:t>
      </w:r>
    </w:p>
    <w:p>
      <w:pPr>
        <w:pStyle w:val="Heading3"/>
      </w:pPr>
      <w:r>
        <w:t xml:space="preserve">Aucun usage idéal n'apparaît</w:t>
      </w:r>
    </w:p>
    <w:p>
      <w:pPr>
        <w:spacing w:after="160"/>
      </w:pPr>
      <w:r>
        <w:rPr>
          <w:rFonts w:ascii="Arial" w:cs="Arial" w:eastAsia="Arial" w:hAnsi="Arial"/>
          <w:sz w:val="22"/>
          <w:szCs w:val="22"/>
        </w:rPr>
        <w:t xml:space="preserve">Vérifiez que le Sales Mix a bien été sauvegardé pour la période couverte par le rapport, et que sa date se situe bien dans la plage demandée.</w:t>
      </w:r>
    </w:p>
    <w:p>
      <w:pPr>
        <w:pStyle w:val="Heading2"/>
      </w:pPr>
      <w:r>
        <w:t xml:space="preserve">Sales Mix et import POS</w:t>
      </w:r>
    </w:p>
    <w:p>
      <w:pPr>
        <w:pStyle w:val="Heading3"/>
      </w:pPr>
      <w:r>
        <w:t xml:space="preserve">L'import POS échoue, aucune vente importée</w:t>
      </w:r>
    </w:p>
    <w:p>
      <w:pPr>
        <w:spacing w:after="160"/>
      </w:pPr>
      <w:r>
        <w:rPr>
          <w:rFonts w:ascii="Arial" w:cs="Arial" w:eastAsia="Arial" w:hAnsi="Arial"/>
          <w:sz w:val="22"/>
          <w:szCs w:val="22"/>
        </w:rPr>
        <w:t xml:space="preserve">Vérifiez d'abord que la configuration POS correspond exactement à votre système. Vérifiez ensuite que le fichier n'est pas ouvert dans un autre programme (notepad, Excel) au moment de l'import — un fichier verrouillé ne peut pas être lu. Un caractère parasite dans le champ Dept ID de la fenêtre Store peut également bloquer tout import pour ce département.</w:t>
      </w:r>
    </w:p>
    <w:p>
      <w:pPr>
        <w:pStyle w:val="Heading3"/>
      </w:pPr>
      <w:r>
        <w:t xml:space="preserve">Comment voir le Sales Mix d'une seule journée précise</w:t>
      </w:r>
    </w:p>
    <w:p>
      <w:pPr>
        <w:spacing w:after="160"/>
      </w:pPr>
      <w:r>
        <w:rPr>
          <w:rFonts w:ascii="Arial" w:cs="Arial" w:eastAsia="Arial" w:hAnsi="Arial"/>
          <w:sz w:val="22"/>
          <w:szCs w:val="22"/>
        </w:rPr>
        <w:t xml:space="preserve">Utilisez le rapport Period Product Sales en indiquant la même date comme date de début et de fin, ou ouvrez directement le Sales Mix correspondant depuis la fenêtre de sélection.</w:t>
      </w:r>
    </w:p>
    <w:p>
      <w:pPr>
        <w:pStyle w:val="Heading2"/>
      </w:pPr>
      <w:r>
        <w:t xml:space="preserve">Facturation</w:t>
      </w:r>
    </w:p>
    <w:p>
      <w:pPr>
        <w:pStyle w:val="Heading3"/>
      </w:pPr>
      <w:r>
        <w:t xml:space="preserve">Le total de la facture ne s'équilibre jamais, même quand les chiffres semblent identiques</w:t>
      </w:r>
    </w:p>
    <w:p>
      <w:pPr>
        <w:spacing w:after="160"/>
      </w:pPr>
      <w:r>
        <w:rPr>
          <w:rFonts w:ascii="Arial" w:cs="Arial" w:eastAsia="Arial" w:hAnsi="Arial"/>
          <w:sz w:val="22"/>
          <w:szCs w:val="22"/>
        </w:rPr>
        <w:t xml:space="preserve">Un classique : un montant a été saisi sans appuyer sur TAB pour valider le champ. Resaisir le montant dans Invoice Total puis appuyer sur TAB — l'apparition du symbole monétaire devant le nombre confirme que la valeur a bien été acceptée par le logiciel.</w:t>
      </w:r>
    </w:p>
    <w:p>
      <w:pPr>
        <w:pStyle w:val="Heading3"/>
      </w:pPr>
      <w:r>
        <w:t xml:space="preserve">Un item n'apparaît pas dans la liste lors de la saisie d'une facture</w:t>
      </w:r>
    </w:p>
    <w:p>
      <w:pPr>
        <w:spacing w:after="160"/>
      </w:pPr>
      <w:r>
        <w:rPr>
          <w:rFonts w:ascii="Arial" w:cs="Arial" w:eastAsia="Arial" w:hAnsi="Arial"/>
          <w:sz w:val="22"/>
          <w:szCs w:val="22"/>
        </w:rPr>
        <w:t xml:space="preserve">L'item n'est pas configuré pour ce fournisseur. Ouvrez la fiche de l'item, cliquez sur Alternate Supplier (ou Additional Suppliers/Case Sizes) pour l'associer au fournisseur concerné, sauvegardez, puis retournez à la facture — l'item apparaîtra alors dans la liste.</w:t>
      </w:r>
    </w:p>
    <w:p>
      <w:pPr>
        <w:pStyle w:val="Heading2"/>
      </w:pPr>
      <w:r>
        <w:t xml:space="preserve">Ventes et totaux financiers</w:t>
      </w:r>
    </w:p>
    <w:p>
      <w:pPr>
        <w:pStyle w:val="Heading3"/>
      </w:pPr>
      <w:r>
        <w:t xml:space="preserve">Les montants de vente ne correspondent pas à ceux du point de vente</w:t>
      </w:r>
    </w:p>
    <w:p>
      <w:pPr>
        <w:spacing w:after="160"/>
      </w:pPr>
      <w:r>
        <w:rPr>
          <w:rFonts w:ascii="Arial" w:cs="Arial" w:eastAsia="Arial" w:hAnsi="Arial"/>
          <w:sz w:val="22"/>
          <w:szCs w:val="22"/>
        </w:rPr>
        <w:t xml:space="preserve">Vérifiez que tous les articles vendus possèdent bien une recette et sont traités comme Sales Mix — des items ignorés par erreur (POS ID ignoré) ou des ventes de type Catering traitées séparément du POS peuvent créer un écart apparent.</w:t>
      </w:r>
    </w:p>
    <w:p>
      <w:pPr>
        <w:pStyle w:val="Heading1"/>
        <w:pageBreakBefore/>
      </w:pPr>
      <w:r>
        <w:t xml:space="preserve">Conclusion — Ce qu'il faut retenir d'Optimum Control</w:t>
      </w:r>
    </w:p>
    <w:p>
      <w:pPr>
        <w:spacing w:after="160"/>
      </w:pPr>
      <w:r>
        <w:rPr>
          <w:rFonts w:ascii="Arial" w:cs="Arial" w:eastAsia="Arial" w:hAnsi="Arial"/>
          <w:sz w:val="22"/>
          <w:szCs w:val="22"/>
        </w:rPr>
        <w:t xml:space="preserve">Au-delà des écrans et des boutons, Optimum Control repose sur une poignée de principes simples qui expliquent toutes ses règles de fonctionnement :</w:t>
      </w:r>
    </w:p>
    <w:p>
      <w:pPr>
        <w:pStyle w:val="ListParagraph"/>
        <w:numPr>
          <w:ilvl w:val="0"/>
          <w:numId w:val="3"/>
        </w:numPr>
        <w:spacing w:after="100"/>
      </w:pPr>
      <w:r>
        <w:rPr>
          <w:rFonts w:ascii="Arial" w:cs="Arial" w:eastAsia="Arial" w:hAnsi="Arial"/>
          <w:sz w:val="22"/>
          <w:szCs w:val="22"/>
        </w:rPr>
        <w:t xml:space="preserve">Tout part de la qualité de la saisie des items (unité, case size, order code) — une erreur à ce niveau se propage à tous les calculs en aval.</w:t>
      </w:r>
    </w:p>
    <w:p>
      <w:pPr>
        <w:pStyle w:val="ListParagraph"/>
        <w:numPr>
          <w:ilvl w:val="0"/>
          <w:numId w:val="3"/>
        </w:numPr>
        <w:spacing w:after="100"/>
      </w:pPr>
      <w:r>
        <w:rPr>
          <w:rFonts w:ascii="Arial" w:cs="Arial" w:eastAsia="Arial" w:hAnsi="Arial"/>
          <w:sz w:val="22"/>
          <w:szCs w:val="22"/>
        </w:rPr>
        <w:t xml:space="preserve">Les recettes (Prep et Products) sont le pont entre ce qu'on achète et ce qu'on vend — leur précision détermine la fiabilité du coût théorique.</w:t>
      </w:r>
    </w:p>
    <w:p>
      <w:pPr>
        <w:pStyle w:val="ListParagraph"/>
        <w:numPr>
          <w:ilvl w:val="0"/>
          <w:numId w:val="3"/>
        </w:numPr>
        <w:spacing w:after="100"/>
      </w:pPr>
      <w:r>
        <w:rPr>
          <w:rFonts w:ascii="Arial" w:cs="Arial" w:eastAsia="Arial" w:hAnsi="Arial"/>
          <w:sz w:val="22"/>
          <w:szCs w:val="22"/>
        </w:rPr>
        <w:t xml:space="preserve">Le stock ne bouge que par deux portes : les factures (entrée) et les ventes liées (sortie) — tout le reste sert à vérifier ou corriger ce mouvement théorique.</w:t>
      </w:r>
    </w:p>
    <w:p>
      <w:pPr>
        <w:pStyle w:val="ListParagraph"/>
        <w:numPr>
          <w:ilvl w:val="0"/>
          <w:numId w:val="3"/>
        </w:numPr>
        <w:spacing w:after="100"/>
      </w:pPr>
      <w:r>
        <w:rPr>
          <w:rFonts w:ascii="Arial" w:cs="Arial" w:eastAsia="Arial" w:hAnsi="Arial"/>
          <w:sz w:val="22"/>
          <w:szCs w:val="22"/>
        </w:rPr>
        <w:t xml:space="preserve">Le Price Override décide, facture par facture, si une variation de prix doit se propager durablement au coût des recettes ou rester un incident isolé.</w:t>
      </w:r>
    </w:p>
    <w:p>
      <w:pPr>
        <w:pStyle w:val="ListParagraph"/>
        <w:numPr>
          <w:ilvl w:val="0"/>
          <w:numId w:val="3"/>
        </w:numPr>
        <w:spacing w:after="100"/>
      </w:pPr>
      <w:r>
        <w:rPr>
          <w:rFonts w:ascii="Arial" w:cs="Arial" w:eastAsia="Arial" w:hAnsi="Arial"/>
          <w:sz w:val="22"/>
          <w:szCs w:val="22"/>
        </w:rPr>
        <w:t xml:space="preserve">Le système ne surveille jamais activement à la place de l'utilisateur — il fournit des indicateurs et des rapports, mais la vigilance régulière (hebdomadaire au minimum) reste indispensable.</w:t>
      </w:r>
    </w:p>
    <w:p>
      <w:pPr>
        <w:pStyle w:val="ListParagraph"/>
        <w:numPr>
          <w:ilvl w:val="0"/>
          <w:numId w:val="3"/>
        </w:numPr>
        <w:spacing w:after="100"/>
      </w:pPr>
      <w:r>
        <w:rPr>
          <w:rFonts w:ascii="Arial" w:cs="Arial" w:eastAsia="Arial" w:hAnsi="Arial"/>
          <w:sz w:val="22"/>
          <w:szCs w:val="22"/>
        </w:rPr>
        <w:t xml:space="preserve">La rigueur dans les petites choses (dates de facture exactes, ventes liées correctement, comptages complets) est ce qui rend fiable le calcul des grandes choses (coût réel, marge, rentabilité).</w:t>
      </w:r>
    </w:p>
    <w:p>
      <w:pPr>
        <w:spacing w:after="160"/>
      </w:pPr>
      <w:r>
        <w:t xml:space="preserve"/>
      </w:r>
    </w:p>
    <w:p>
      <w:pPr>
        <w:pStyle w:val="Heading2"/>
      </w:pPr>
      <w:r>
        <w:t xml:space="preserve">Aide-mémoire opérationnel — la routine hebdomadaire type</w:t>
      </w:r>
    </w:p>
    <w:p>
      <w:pPr>
        <w:pStyle w:val="ListParagraph"/>
        <w:numPr>
          <w:ilvl w:val="0"/>
          <w:numId w:val="10"/>
        </w:numPr>
        <w:spacing w:after="100"/>
      </w:pPr>
      <w:r>
        <w:rPr>
          <w:rFonts w:ascii="Arial" w:cs="Arial" w:eastAsia="Arial" w:hAnsi="Arial"/>
          <w:sz w:val="22"/>
          <w:szCs w:val="22"/>
        </w:rPr>
        <w:t xml:space="preserve">Saisir les factures au fur et à mesure de leur réception, dans l'ordre chronologique.</w:t>
      </w:r>
    </w:p>
    <w:p>
      <w:pPr>
        <w:pStyle w:val="ListParagraph"/>
        <w:numPr>
          <w:ilvl w:val="0"/>
          <w:numId w:val="10"/>
        </w:numPr>
        <w:spacing w:after="100"/>
      </w:pPr>
      <w:r>
        <w:rPr>
          <w:rFonts w:ascii="Arial" w:cs="Arial" w:eastAsia="Arial" w:hAnsi="Arial"/>
          <w:sz w:val="22"/>
          <w:szCs w:val="22"/>
        </w:rPr>
        <w:t xml:space="preserve">Importer ou saisir le Sales Mix régulièrement (idéalement hebdomadairement, pour garder la base de données légère et les rapports pertinents).</w:t>
      </w:r>
    </w:p>
    <w:p>
      <w:pPr>
        <w:pStyle w:val="ListParagraph"/>
        <w:numPr>
          <w:ilvl w:val="0"/>
          <w:numId w:val="10"/>
        </w:numPr>
        <w:spacing w:after="100"/>
      </w:pPr>
      <w:r>
        <w:rPr>
          <w:rFonts w:ascii="Arial" w:cs="Arial" w:eastAsia="Arial" w:hAnsi="Arial"/>
          <w:sz w:val="22"/>
          <w:szCs w:val="22"/>
        </w:rPr>
        <w:t xml:space="preserve">Saisir les ventes quotidiennes (Daily Sales) chaque jour pour une précision maximale.</w:t>
      </w:r>
    </w:p>
    <w:p>
      <w:pPr>
        <w:pStyle w:val="ListParagraph"/>
        <w:numPr>
          <w:ilvl w:val="0"/>
          <w:numId w:val="10"/>
        </w:numPr>
        <w:spacing w:after="100"/>
      </w:pPr>
      <w:r>
        <w:rPr>
          <w:rFonts w:ascii="Arial" w:cs="Arial" w:eastAsia="Arial" w:hAnsi="Arial"/>
          <w:sz w:val="22"/>
          <w:szCs w:val="22"/>
        </w:rPr>
        <w:t xml:space="preserve">Détailler les pertes (Waste) au fil de l'eau plutôt qu'en fin de période.</w:t>
      </w:r>
    </w:p>
    <w:p>
      <w:pPr>
        <w:pStyle w:val="ListParagraph"/>
        <w:numPr>
          <w:ilvl w:val="0"/>
          <w:numId w:val="10"/>
        </w:numPr>
        <w:spacing w:after="100"/>
      </w:pPr>
      <w:r>
        <w:rPr>
          <w:rFonts w:ascii="Arial" w:cs="Arial" w:eastAsia="Arial" w:hAnsi="Arial"/>
          <w:sz w:val="22"/>
          <w:szCs w:val="22"/>
        </w:rPr>
        <w:t xml:space="preserve">Avant de clôturer l'inventaire : vérifier que toutes les factures, ventes, Sales Mix et pertes sont bien saisies jusqu'à la date de comptage.</w:t>
      </w:r>
    </w:p>
    <w:p>
      <w:pPr>
        <w:pStyle w:val="ListParagraph"/>
        <w:numPr>
          <w:ilvl w:val="0"/>
          <w:numId w:val="10"/>
        </w:numPr>
        <w:spacing w:after="100"/>
      </w:pPr>
      <w:r>
        <w:rPr>
          <w:rFonts w:ascii="Arial" w:cs="Arial" w:eastAsia="Arial" w:hAnsi="Arial"/>
          <w:sz w:val="22"/>
          <w:szCs w:val="22"/>
        </w:rPr>
        <w:t xml:space="preserve">Compter l'inventaire physique et sauvegarder le comptage.</w:t>
      </w:r>
    </w:p>
    <w:p>
      <w:pPr>
        <w:pStyle w:val="ListParagraph"/>
        <w:numPr>
          <w:ilvl w:val="0"/>
          <w:numId w:val="10"/>
        </w:numPr>
        <w:spacing w:after="100"/>
      </w:pPr>
      <w:r>
        <w:rPr>
          <w:rFonts w:ascii="Arial" w:cs="Arial" w:eastAsia="Arial" w:hAnsi="Arial"/>
          <w:sz w:val="22"/>
          <w:szCs w:val="22"/>
        </w:rPr>
        <w:t xml:space="preserve">Exécuter les trois rapports clés : Usage Summary, Sales Mix by Product, Purchase by Item Detail.</w:t>
      </w:r>
    </w:p>
    <w:p>
      <w:pPr>
        <w:pStyle w:val="ListParagraph"/>
        <w:numPr>
          <w:ilvl w:val="0"/>
          <w:numId w:val="10"/>
        </w:numPr>
        <w:spacing w:after="100"/>
      </w:pPr>
      <w:r>
        <w:rPr>
          <w:rFonts w:ascii="Arial" w:cs="Arial" w:eastAsia="Arial" w:hAnsi="Arial"/>
          <w:sz w:val="22"/>
          <w:szCs w:val="22"/>
        </w:rPr>
        <w:t xml:space="preserve">Sauvegarder la base de données (idéalement quotidiennement, au minimum hebdomadairement).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Ce document couvre l'ensemble des modules du manuel officiel Optimum Control Help File (TracRite Software Inc.) — y compris les sections moins fréquemment utilisées comme l'Enterprise multi-chaînes, les appels d'offres fournisseurs (Bids), le Catering et les Buffets, le module Retail Sales et la Nutrition. Ces sections restent disponibles en référence pour une exploration future selon les besoins de votre exploitation.</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Comprendre Optimum Control</w:t>
    </w:r>
    <w:r>
      <w:rPr>
        <w:rFonts w:ascii="Arial" w:cs="Arial" w:eastAsia="Arial" w:hAnsi="Arial"/>
        <w:color w:val="595959"/>
        <w:sz w:val="16"/>
        <w:szCs w:val="16"/>
      </w:rPr>
      <w:t xml:space="preserve">	Guide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abstractNum w:abstractNumId="30" w15:restartNumberingAfterBreak="0">
    <w:multiLevelType w:val="hybridMultilevel"/>
    <w:lvl w:ilvl="0" w15:tentative="1">
      <w:start w:val="1"/>
      <w:numFmt w:val="decimal"/>
      <w:lvlText w:val="%1."/>
      <w:lvlJc w:val="left"/>
      <w:pPr>
        <w:ind w:left="560" w:hanging="280"/>
      </w:pPr>
    </w:lvl>
  </w:abstractNum>
  <w:abstractNum w:abstractNumId="31" w15:restartNumberingAfterBreak="0">
    <w:multiLevelType w:val="hybridMultilevel"/>
    <w:lvl w:ilvl="0" w15:tentative="1">
      <w:start w:val="1"/>
      <w:numFmt w:val="decimal"/>
      <w:lvlText w:val="%1."/>
      <w:lvlJc w:val="left"/>
      <w:pPr>
        <w:ind w:left="560" w:hanging="280"/>
      </w:pPr>
    </w:lvl>
  </w:abstractNum>
  <w:abstractNum w:abstractNumId="32" w15:restartNumberingAfterBreak="0">
    <w:multiLevelType w:val="hybridMultilevel"/>
    <w:lvl w:ilvl="0" w15:tentative="1">
      <w:start w:val="1"/>
      <w:numFmt w:val="decimal"/>
      <w:lvlText w:val="%1."/>
      <w:lvlJc w:val="left"/>
      <w:pPr>
        <w:ind w:left="560" w:hanging="280"/>
      </w:pPr>
    </w:lvl>
  </w:abstractNum>
  <w:abstractNum w:abstractNumId="3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1E" w:sz="8" w:space="6"/>
      </w:pBdr>
      <w:spacing w:after="28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C997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2026-06-21T09:44:16.988Z</dcterms:created>
  <dcterms:modified xsi:type="dcterms:W3CDTF">2026-06-21T09:44:16.989Z</dcterms:modified>
</cp:coreProperties>
</file>

<file path=docProps/custom.xml><?xml version="1.0" encoding="utf-8"?>
<Properties xmlns="http://schemas.openxmlformats.org/officeDocument/2006/custom-properties" xmlns:vt="http://schemas.openxmlformats.org/officeDocument/2006/docPropsVTypes"/>
</file>