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p>
    <w:p>
      <w:pPr>
        <w:spacing w:after="80" w:before="0"/>
      </w:pPr>
      <w:r>
        <w:rPr>
          <w:rFonts w:ascii="Georgia" w:cs="Georgia" w:eastAsia="Georgia" w:hAnsi="Georgia"/>
          <w:b/>
          <w:bCs/>
          <w:color w:val="2C3340"/>
          <w:sz w:val="56"/>
          <w:szCs w:val="56"/>
        </w:rPr>
        <w:t xml:space="preserve">SchnelPay</w:t>
      </w:r>
      <w:r>
        <w:rPr>
          <w:rFonts w:ascii="Georgia" w:cs="Georgia" w:eastAsia="Georgia" w:hAnsi="Georgia"/>
          <w:color w:val="6B7A8D"/>
          <w:sz w:val="28"/>
          <w:szCs w:val="28"/>
        </w:rPr>
        <w:t xml:space="preserve">  ·  Executive Summary</w:t>
      </w:r>
    </w:p>
    <w:p>
      <w:pPr>
        <w:spacing w:after="60" w:before="0"/>
      </w:pPr>
      <w:r>
        <w:rPr>
          <w:rFonts w:ascii="Georgia" w:cs="Georgia" w:eastAsia="Georgia" w:hAnsi="Georgia"/>
          <w:i/>
          <w:iCs/>
          <w:color w:val="2C3340"/>
          <w:sz w:val="24"/>
          <w:szCs w:val="24"/>
        </w:rPr>
        <w:t xml:space="preserve">Quantum-safe cryptocurrency payment infrastructure for the next decade.</w:t>
      </w:r>
    </w:p>
    <w:p>
      <w:pPr>
        <w:spacing w:after="240" w:before="0"/>
      </w:pPr>
      <w:r>
        <w:rPr>
          <w:rFonts w:ascii="Arial" w:cs="Arial" w:eastAsia="Arial" w:hAnsi="Arial"/>
          <w:color w:val="6B7A8D"/>
          <w:sz w:val="19"/>
          <w:szCs w:val="19"/>
        </w:rPr>
        <w:t xml:space="preserve">Randeep Singh, Founder  ·  </w:t>
      </w:r>
      <w:r>
        <w:rPr>
          <w:rFonts w:ascii="Arial" w:cs="Arial" w:eastAsia="Arial" w:hAnsi="Arial"/>
          <w:color w:val="6B7A8D"/>
          <w:sz w:val="19"/>
          <w:szCs w:val="19"/>
        </w:rPr>
        <w:t xml:space="preserve">hello@schnelpay.com  ·  </w:t>
      </w:r>
      <w:r>
        <w:rPr>
          <w:rFonts w:ascii="Arial" w:cs="Arial" w:eastAsia="Arial" w:hAnsi="Arial"/>
          <w:color w:val="6B7A8D"/>
          <w:sz w:val="19"/>
          <w:szCs w:val="19"/>
        </w:rPr>
        <w:t xml:space="preserve">schnelpay.com  ·  </w:t>
      </w:r>
      <w:r>
        <w:rPr>
          <w:rFonts w:ascii="Arial" w:cs="Arial" w:eastAsia="Arial" w:hAnsi="Arial"/>
          <w:color w:val="6B7A8D"/>
          <w:sz w:val="19"/>
          <w:szCs w:val="19"/>
        </w:rPr>
        <w:t xml:space="preserve">@SchnelPay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$500K</w:t>
            </w:r>
          </w:p>
          <w:p>
            <w:pPr>
              <w:spacing w:after="0" w:before="0"/>
              <w:jc w:val="center"/>
            </w:pPr>
            <w:r>
              <w:rPr>
                <w:rFonts w:ascii="Arial" w:cs="Arial" w:eastAsia="Arial" w:hAnsi="Arial"/>
                <w:color w:val="6B7A8D"/>
                <w:sz w:val="17"/>
                <w:szCs w:val="17"/>
              </w:rPr>
              <w:t xml:space="preserve">Pre-seed raise target</w:t>
            </w:r>
          </w:p>
        </w:tc>
        <w:tc>
          <w:tcPr>
            <w:tcW w:type="dxa" w:w="1872"/>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3</w:t>
            </w:r>
          </w:p>
          <w:p>
            <w:pPr>
              <w:spacing w:after="0" w:before="0"/>
              <w:jc w:val="center"/>
            </w:pPr>
            <w:r>
              <w:rPr>
                <w:rFonts w:ascii="Arial" w:cs="Arial" w:eastAsia="Arial" w:hAnsi="Arial"/>
                <w:color w:val="6B7A8D"/>
                <w:sz w:val="17"/>
                <w:szCs w:val="17"/>
              </w:rPr>
              <w:t xml:space="preserve">Blockchains live (ETH·BTC·SOL)</w:t>
            </w:r>
          </w:p>
        </w:tc>
        <w:tc>
          <w:tcPr>
            <w:tcW w:type="dxa" w:w="1872"/>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0.5%</w:t>
            </w:r>
          </w:p>
          <w:p>
            <w:pPr>
              <w:spacing w:after="0" w:before="0"/>
              <w:jc w:val="center"/>
            </w:pPr>
            <w:r>
              <w:rPr>
                <w:rFonts w:ascii="Arial" w:cs="Arial" w:eastAsia="Arial" w:hAnsi="Arial"/>
                <w:color w:val="6B7A8D"/>
                <w:sz w:val="17"/>
                <w:szCs w:val="17"/>
              </w:rPr>
              <w:t xml:space="preserve">Custodial transaction fee</w:t>
            </w:r>
          </w:p>
        </w:tc>
        <w:tc>
          <w:tcPr>
            <w:tcW w:type="dxa" w:w="1872"/>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Free</w:t>
            </w:r>
          </w:p>
          <w:p>
            <w:pPr>
              <w:spacing w:after="0" w:before="0"/>
              <w:jc w:val="center"/>
            </w:pPr>
            <w:r>
              <w:rPr>
                <w:rFonts w:ascii="Arial" w:cs="Arial" w:eastAsia="Arial" w:hAnsi="Arial"/>
                <w:color w:val="6B7A8D"/>
                <w:sz w:val="17"/>
                <w:szCs w:val="17"/>
              </w:rPr>
              <w:t xml:space="preserve">Non-custodial tier</w:t>
            </w:r>
          </w:p>
        </w:tc>
        <w:tc>
          <w:tcPr>
            <w:tcW w:type="dxa" w:w="1872"/>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6 wks</w:t>
            </w:r>
          </w:p>
          <w:p>
            <w:pPr>
              <w:spacing w:after="0" w:before="0"/>
              <w:jc w:val="center"/>
            </w:pPr>
            <w:r>
              <w:rPr>
                <w:rFonts w:ascii="Arial" w:cs="Arial" w:eastAsia="Arial" w:hAnsi="Arial"/>
                <w:color w:val="6B7A8D"/>
                <w:sz w:val="17"/>
                <w:szCs w:val="17"/>
              </w:rPr>
              <w:t xml:space="preserve">Time to working product</w:t>
            </w:r>
          </w:p>
        </w:tc>
      </w:tr>
    </w:tbl>
    <w:p>
      <w:pPr>
        <w:spacing w:after="60" w:before="240"/>
      </w:pPr>
    </w:p>
    <w:p>
      <w:pPr>
        <w:pBdr>
          <w:bottom w:val="single" w:color="C9A84C" w:sz="3" w:space="4"/>
        </w:pBdr>
        <w:spacing w:after="100" w:before="320"/>
      </w:pPr>
      <w:r>
        <w:rPr>
          <w:rFonts w:ascii="Arial" w:cs="Arial" w:eastAsia="Arial" w:hAnsi="Arial"/>
          <w:b/>
          <w:bCs/>
          <w:caps/>
          <w:color w:val="2C3340"/>
          <w:spacing w:val="20"/>
          <w:sz w:val="22"/>
          <w:szCs w:val="22"/>
        </w:rPr>
        <w:t xml:space="preserve">COMPANY OVERVIEW</w:t>
      </w:r>
    </w:p>
    <w:p>
      <w:pPr>
        <w:spacing w:after="60" w:before="60"/>
      </w:pPr>
    </w:p>
    <w:p>
      <w:pPr>
        <w:spacing w:after="60" w:before="40"/>
      </w:pPr>
      <w:r>
        <w:rPr>
          <w:rFonts w:ascii="Arial" w:cs="Arial" w:eastAsia="Arial" w:hAnsi="Arial"/>
          <w:color w:val="2C3340"/>
          <w:sz w:val="20"/>
          <w:szCs w:val="20"/>
        </w:rPr>
        <w:t xml:space="preserve">SchnelPay is a live cryptocurrency payment platform built on post-quantum cryptographic standards. We enable individuals and businesses to send, receive, and manage payments across Bitcoin, Ethereum, and Solana — protected by QuantumShield™, our proprietary hybrid authentication layer certified to NIST FIPS 204.</w:t>
      </w:r>
    </w:p>
    <w:p>
      <w:pPr>
        <w:spacing w:after="60" w:before="60"/>
      </w:pPr>
    </w:p>
    <w:p>
      <w:pPr>
        <w:spacing w:after="60" w:before="40"/>
      </w:pPr>
      <w:r>
        <w:rPr>
          <w:rFonts w:ascii="Arial" w:cs="Arial" w:eastAsia="Arial" w:hAnsi="Arial"/>
          <w:color w:val="2C3340"/>
          <w:sz w:val="20"/>
          <w:szCs w:val="20"/>
        </w:rPr>
        <w:t xml:space="preserve">The platform is fully operational. Three public-facing products are live today: a marketing site at schnelpay.com, a user dashboard at dashboard.schnelpay.com, and a REST API at api.schnelpay.com. MoonPay fiat on-ramp integration has been sandbox-tested end-to-end. Transak KYB is submitted and pending production approval.</w:t>
      </w:r>
    </w:p>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THE PROBLEM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80" w:before="0"/>
            </w:pPr>
            <w:r>
              <w:rPr>
                <w:rFonts w:ascii="Arial" w:cs="Arial" w:eastAsia="Arial" w:hAnsi="Arial"/>
                <w:b/>
                <w:bCs/>
                <w:color w:val="2C3340"/>
                <w:sz w:val="20"/>
                <w:szCs w:val="20"/>
              </w:rPr>
              <w:t xml:space="preserve">Chargebacks — $125B annual cost</w:t>
            </w:r>
          </w:p>
          <w:p>
            <w:pPr>
              <w:spacing w:after="60" w:before="40"/>
            </w:pPr>
            <w:r>
              <w:rPr>
                <w:rFonts w:ascii="Arial" w:cs="Arial" w:eastAsia="Arial" w:hAnsi="Arial"/>
                <w:color w:val="2C3340"/>
                <w:sz w:val="20"/>
                <w:szCs w:val="20"/>
              </w:rPr>
              <w:t xml:space="preserve">Credit card transactions are reversible by design. Merchants lose $125 billion annually to chargebacks — including 'friendly fraud' where legitimate purchases are disputed. No payment processor has solved this. Blockchain does: transactions are cryptographically final.</w:t>
            </w:r>
          </w:p>
          <w:p>
            <w:pPr>
              <w:spacing w:after="60" w:before="60"/>
            </w:pPr>
          </w:p>
          <w:p>
            <w:pPr>
              <w:spacing w:after="80" w:before="0"/>
            </w:pPr>
            <w:r>
              <w:rPr>
                <w:rFonts w:ascii="Arial" w:cs="Arial" w:eastAsia="Arial" w:hAnsi="Arial"/>
                <w:b/>
                <w:bCs/>
                <w:color w:val="2C3340"/>
                <w:sz w:val="20"/>
                <w:szCs w:val="20"/>
              </w:rPr>
              <w:t xml:space="preserve">Quantum threat — 5 to 10 year window</w:t>
            </w:r>
          </w:p>
          <w:p>
            <w:pPr>
              <w:spacing w:after="60" w:before="40"/>
            </w:pPr>
            <w:r>
              <w:rPr>
                <w:rFonts w:ascii="Arial" w:cs="Arial" w:eastAsia="Arial" w:hAnsi="Arial"/>
                <w:color w:val="2C3340"/>
                <w:sz w:val="20"/>
                <w:szCs w:val="20"/>
              </w:rPr>
              <w:t xml:space="preserve">RSA and ECC encryption — the cryptographic foundation of every payment network on earth — will be broken by quantum computers within a decade. Nation-state actors are already collecting encrypted financial data today to decrypt later. NIST published FIPS 204 in 2024 and mandated migration for all federal systems. Payment infrastructure has not started migrating.</w:t>
            </w:r>
          </w:p>
        </w:tc>
        <w:tc>
          <w:tcPr>
            <w:tcW w:type="dxa" w:w="468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80" w:before="0"/>
            </w:pPr>
            <w:r>
              <w:rPr>
                <w:rFonts w:ascii="Arial" w:cs="Arial" w:eastAsia="Arial" w:hAnsi="Arial"/>
                <w:b/>
                <w:bCs/>
                <w:color w:val="2C3340"/>
                <w:sz w:val="20"/>
                <w:szCs w:val="20"/>
              </w:rPr>
              <w:t xml:space="preserve">Fragmented multi-chain infrastructure</w:t>
            </w:r>
          </w:p>
          <w:p>
            <w:pPr>
              <w:spacing w:after="60" w:before="40"/>
            </w:pPr>
            <w:r>
              <w:rPr>
                <w:rFonts w:ascii="Arial" w:cs="Arial" w:eastAsia="Arial" w:hAnsi="Arial"/>
                <w:color w:val="2C3340"/>
                <w:sz w:val="20"/>
                <w:szCs w:val="20"/>
              </w:rPr>
              <w:t xml:space="preserve">Businesses accepting BTC, ETH, and SOL today must integrate three separate systems, three dashboards, and three fee structures. There is no unified payment platform that handles multi-chain natively.</w:t>
            </w:r>
          </w:p>
          <w:p>
            <w:pPr>
              <w:spacing w:after="60" w:before="60"/>
            </w:pPr>
          </w:p>
          <w:p>
            <w:pPr>
              <w:spacing w:after="80" w:before="0"/>
            </w:pPr>
            <w:r>
              <w:rPr>
                <w:rFonts w:ascii="Arial" w:cs="Arial" w:eastAsia="Arial" w:hAnsi="Arial"/>
                <w:b/>
                <w:bCs/>
                <w:color w:val="2C3340"/>
                <w:sz w:val="20"/>
                <w:szCs w:val="20"/>
              </w:rPr>
              <w:t xml:space="preserve">Cross-border friction — 6%+ and 3-5 days</w:t>
            </w:r>
          </w:p>
          <w:p>
            <w:pPr>
              <w:spacing w:after="60" w:before="40"/>
            </w:pPr>
            <w:r>
              <w:rPr>
                <w:rFonts w:ascii="Arial" w:cs="Arial" w:eastAsia="Arial" w:hAnsi="Arial"/>
                <w:color w:val="2C3340"/>
                <w:sz w:val="20"/>
                <w:szCs w:val="20"/>
              </w:rPr>
              <w:t xml:space="preserve">$150 trillion in annual cross-border payment volume moves through infrastructure designed in the 1970s. International wire transfers are slow, expensive, and opaque. Crypto settles in seconds globally for fractions of a cent.</w:t>
            </w:r>
          </w:p>
        </w:tc>
      </w:tr>
    </w:tbl>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THE SOLUTION — WHAT MAKES SCHNELPAY DIFFERENT</w:t>
      </w:r>
    </w:p>
    <w:p>
      <w:pPr>
        <w:spacing w:after="60" w:before="60"/>
      </w:pPr>
    </w:p>
    <w:p>
      <w:pPr>
        <w:spacing w:after="60" w:before="40"/>
      </w:pPr>
      <w:r>
        <w:rPr>
          <w:rFonts w:ascii="Arial" w:cs="Arial" w:eastAsia="Arial" w:hAnsi="Arial"/>
          <w:color w:val="2C3340"/>
          <w:sz w:val="20"/>
          <w:szCs w:val="20"/>
        </w:rPr>
        <w:t xml:space="preserve">SchnelPay is built on three differentiators that no competitor currently offers simultaneously:</w:t>
      </w:r>
    </w:p>
    <w:p>
      <w:pPr>
        <w:spacing w:after="60" w:before="60"/>
      </w:pPr>
    </w:p>
    <w:p>
      <w:pPr>
        <w:spacing w:after="60" w:before="160"/>
      </w:pPr>
      <w:r>
        <w:rPr>
          <w:rFonts w:ascii="Georgia" w:cs="Georgia" w:eastAsia="Georgia" w:hAnsi="Georgia"/>
          <w:b/>
          <w:bCs/>
          <w:color w:val="C9A84C"/>
          <w:sz w:val="22"/>
          <w:szCs w:val="22"/>
        </w:rPr>
        <w:t xml:space="preserve">1  </w:t>
      </w:r>
      <w:r>
        <w:rPr>
          <w:rFonts w:ascii="Georgia" w:cs="Georgia" w:eastAsia="Georgia" w:hAnsi="Georgia"/>
          <w:b/>
          <w:bCs/>
          <w:color w:val="2C3340"/>
          <w:sz w:val="22"/>
          <w:szCs w:val="22"/>
        </w:rPr>
        <w:t xml:space="preserve">Quantum-safe authentication — built in from day one</w:t>
      </w:r>
    </w:p>
    <w:p>
      <w:pPr>
        <w:spacing w:after="60" w:before="40"/>
      </w:pPr>
      <w:r>
        <w:rPr>
          <w:rFonts w:ascii="Arial" w:cs="Arial" w:eastAsia="Arial" w:hAnsi="Arial"/>
          <w:color w:val="2C3340"/>
          <w:sz w:val="20"/>
          <w:szCs w:val="20"/>
        </w:rPr>
        <w:t xml:space="preserve">QuantumShield™ uses ML-DSA-65 (Module-Lattice Digital Signature Algorithm) combined with ECDSA in a hybrid approach. This is not an add-on — it is the foundation of every authentication token issued by the platform. ML-DSA-65 is the algorithm published in NIST FIPS 204, the post-quantum cryptography standard the US government mandated in August 2024.</w:t>
      </w:r>
    </w:p>
    <w:p>
      <w:pPr>
        <w:spacing w:after="60" w:before="60"/>
      </w:pPr>
    </w:p>
    <w:p>
      <w:pPr>
        <w:spacing w:after="60" w:before="40"/>
      </w:pPr>
      <w:r>
        <w:rPr>
          <w:rFonts w:ascii="Arial" w:cs="Arial" w:eastAsia="Arial" w:hAnsi="Arial"/>
          <w:color w:val="6B7A8D"/>
          <w:sz w:val="20"/>
          <w:szCs w:val="20"/>
        </w:rPr>
        <w:t xml:space="preserve">No major crypto payment platform — Coinbase Commerce, BitPay, CoinGate, or OpenNode — offers post-quantum authentication. Migrating an existing platform to post-quantum cryptography requires rearchitecting the entire authentication stack. SchnelPay built it correctly from the beginning. A patent attorney brief has been prepared for this implementation.</w:t>
      </w:r>
    </w:p>
    <w:p>
      <w:pPr>
        <w:spacing w:after="60" w:before="160"/>
      </w:pPr>
      <w:r>
        <w:rPr>
          <w:rFonts w:ascii="Georgia" w:cs="Georgia" w:eastAsia="Georgia" w:hAnsi="Georgia"/>
          <w:b/>
          <w:bCs/>
          <w:color w:val="C9A84C"/>
          <w:sz w:val="22"/>
          <w:szCs w:val="22"/>
        </w:rPr>
        <w:t xml:space="preserve">2  </w:t>
      </w:r>
      <w:r>
        <w:rPr>
          <w:rFonts w:ascii="Georgia" w:cs="Georgia" w:eastAsia="Georgia" w:hAnsi="Georgia"/>
          <w:b/>
          <w:bCs/>
          <w:color w:val="2C3340"/>
          <w:sz w:val="22"/>
          <w:szCs w:val="22"/>
        </w:rPr>
        <w:t xml:space="preserve">Multi-chain unified infrastructure with stablecoin support</w:t>
      </w:r>
    </w:p>
    <w:p>
      <w:pPr>
        <w:spacing w:after="60" w:before="40"/>
      </w:pPr>
      <w:r>
        <w:rPr>
          <w:rFonts w:ascii="Arial" w:cs="Arial" w:eastAsia="Arial" w:hAnsi="Arial"/>
          <w:color w:val="2C3340"/>
          <w:sz w:val="20"/>
          <w:szCs w:val="20"/>
        </w:rPr>
        <w:t xml:space="preserve">SchnelPay supports Bitcoin, Ethereum, and Solana natively — not through third-party aggregators. Real-time balance checking connects directly to Infura (Ethereum), Blockchain.com (Bitcoin), and public Solana RPC endpoints. ERC-20 stablecoins — USDC, USDT, and DAI — are supported for merchants who want dollar-pegged settlement without crypto volatility.</w:t>
      </w:r>
    </w:p>
    <w:p>
      <w:pPr>
        <w:spacing w:after="60" w:before="60"/>
      </w:pPr>
    </w:p>
    <w:p>
      <w:pPr>
        <w:spacing w:after="60" w:before="40"/>
      </w:pPr>
      <w:r>
        <w:rPr>
          <w:rFonts w:ascii="Arial" w:cs="Arial" w:eastAsia="Arial" w:hAnsi="Arial"/>
          <w:color w:val="6B7A8D"/>
          <w:sz w:val="20"/>
          <w:szCs w:val="20"/>
        </w:rPr>
        <w:t xml:space="preserve">A single SchnelPay account connects unlimited wallets across all three chains, tracks all transaction history in one place, and exports a unified CSV for tax reporting. No competitor offers this without multiple integrations.</w:t>
      </w:r>
    </w:p>
    <w:p>
      <w:pPr>
        <w:spacing w:after="60" w:before="160"/>
      </w:pPr>
      <w:r>
        <w:rPr>
          <w:rFonts w:ascii="Georgia" w:cs="Georgia" w:eastAsia="Georgia" w:hAnsi="Georgia"/>
          <w:b/>
          <w:bCs/>
          <w:color w:val="C9A84C"/>
          <w:sz w:val="22"/>
          <w:szCs w:val="22"/>
        </w:rPr>
        <w:t xml:space="preserve">3  </w:t>
      </w:r>
      <w:r>
        <w:rPr>
          <w:rFonts w:ascii="Georgia" w:cs="Georgia" w:eastAsia="Georgia" w:hAnsi="Georgia"/>
          <w:b/>
          <w:bCs/>
          <w:color w:val="2C3340"/>
          <w:sz w:val="22"/>
          <w:szCs w:val="22"/>
        </w:rPr>
        <w:t xml:space="preserve">Dual custody model — free non-custodial and 0.5% managed custodial</w:t>
      </w:r>
    </w:p>
    <w:p>
      <w:pPr>
        <w:spacing w:after="60" w:before="40"/>
      </w:pPr>
      <w:r>
        <w:rPr>
          <w:rFonts w:ascii="Arial" w:cs="Arial" w:eastAsia="Arial" w:hAnsi="Arial"/>
          <w:color w:val="2C3340"/>
          <w:sz w:val="20"/>
          <w:szCs w:val="20"/>
        </w:rPr>
        <w:t xml:space="preserve">SchnelPay serves two distinct markets from one platform. Non-custodial accounts are free — users control their own keys, no KYC required, zero platform fees beyond network costs. Custodial accounts are 0.5% per transaction — SchnelPay manages key storage for businesses that want simplicity. At 0.5%, SchnelPay undercuts Stripe (2.9% + $0.30), Coinbase Commerce (1%), and every major competitor on price while offering superior security.</w:t>
      </w:r>
    </w:p>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COMPETITIVE POSITION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0D9C8" w:sz="1"/>
              <w:left w:val="single" w:color="E0D9C8" w:sz="1"/>
              <w:bottom w:val="single" w:color="E0D9C8" w:sz="1"/>
              <w:right w:val="single" w:color="E0D9C8" w:sz="1"/>
            </w:tcBorders>
            <w:shd w:fill="2C3340" w:val="clear"/>
            <w:tcMar>
              <w:top w:type="dxa" w:w="100"/>
              <w:left w:type="dxa" w:w="140"/>
              <w:bottom w:type="dxa" w:w="100"/>
              <w:right w:type="dxa" w:w="140"/>
            </w:tcMar>
          </w:tcPr>
          <w:p>
            <w:r>
              <w:rPr>
                <w:rFonts w:ascii="Arial" w:cs="Arial" w:eastAsia="Arial" w:hAnsi="Arial"/>
                <w:b/>
                <w:bCs/>
                <w:color w:val="FFFFFF"/>
                <w:sz w:val="19"/>
                <w:szCs w:val="19"/>
              </w:rPr>
              <w:t xml:space="preserve">Capability</w:t>
            </w:r>
          </w:p>
        </w:tc>
        <w:tc>
          <w:tcPr>
            <w:tcW w:type="dxa" w:w="2880"/>
            <w:tcBorders>
              <w:top w:val="single" w:color="E0D9C8" w:sz="1"/>
              <w:left w:val="single" w:color="E0D9C8" w:sz="1"/>
              <w:bottom w:val="single" w:color="E0D9C8" w:sz="1"/>
              <w:right w:val="single" w:color="E0D9C8" w:sz="1"/>
            </w:tcBorders>
            <w:shd w:fill="2C3340" w:val="clear"/>
            <w:tcMar>
              <w:top w:type="dxa" w:w="100"/>
              <w:left w:type="dxa" w:w="140"/>
              <w:bottom w:type="dxa" w:w="100"/>
              <w:right w:type="dxa" w:w="140"/>
            </w:tcMar>
          </w:tcPr>
          <w:p>
            <w:r>
              <w:rPr>
                <w:rFonts w:ascii="Arial" w:cs="Arial" w:eastAsia="Arial" w:hAnsi="Arial"/>
                <w:b/>
                <w:bCs/>
                <w:color w:val="C9A84C"/>
                <w:sz w:val="19"/>
                <w:szCs w:val="19"/>
              </w:rPr>
              <w:t xml:space="preserve">SchnelPay</w:t>
            </w:r>
          </w:p>
        </w:tc>
        <w:tc>
          <w:tcPr>
            <w:tcW w:type="dxa" w:w="2880"/>
            <w:tcBorders>
              <w:top w:val="single" w:color="E0D9C8" w:sz="1"/>
              <w:left w:val="single" w:color="E0D9C8" w:sz="1"/>
              <w:bottom w:val="single" w:color="E0D9C8" w:sz="1"/>
              <w:right w:val="single" w:color="E0D9C8" w:sz="1"/>
            </w:tcBorders>
            <w:shd w:fill="2C3340" w:val="clear"/>
            <w:tcMar>
              <w:top w:type="dxa" w:w="100"/>
              <w:left w:type="dxa" w:w="140"/>
              <w:bottom w:type="dxa" w:w="100"/>
              <w:right w:type="dxa" w:w="140"/>
            </w:tcMar>
          </w:tcPr>
          <w:p>
            <w:r>
              <w:rPr>
                <w:rFonts w:ascii="Arial" w:cs="Arial" w:eastAsia="Arial" w:hAnsi="Arial"/>
                <w:b/>
                <w:bCs/>
                <w:color w:val="FFFFFF"/>
                <w:sz w:val="19"/>
                <w:szCs w:val="19"/>
              </w:rPr>
              <w:t xml:space="preserve">Competitors</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Quantum-safe authentication</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2864A"/>
                <w:sz w:val="19"/>
                <w:szCs w:val="19"/>
              </w:rPr>
              <w:t xml:space="preserve">✓ NIST FIPS 204 certified</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 None offer this</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Multi-chain (ETH + BTC + SOL)</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2864A"/>
                <w:sz w:val="19"/>
                <w:szCs w:val="19"/>
              </w:rPr>
              <w:t xml:space="preserve">✓ Native integration</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Partial — most support 1–2</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Non-custodial + custodial</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2864A"/>
                <w:sz w:val="19"/>
                <w:szCs w:val="19"/>
              </w:rPr>
              <w:t xml:space="preserve">✓ Both from one account</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Typically one or the other</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Stablecoin support (USDC/USDT)</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2864A"/>
                <w:sz w:val="19"/>
                <w:szCs w:val="19"/>
              </w:rPr>
              <w:t xml:space="preserve">✓ Included</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Limited</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Tax export (one-click CSV)</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2864A"/>
                <w:sz w:val="19"/>
                <w:szCs w:val="19"/>
              </w:rPr>
              <w:t xml:space="preserve">✓ Built in</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Rarely included</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Fiat on-ramp integrated</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2864A"/>
                <w:sz w:val="19"/>
                <w:szCs w:val="19"/>
              </w:rPr>
              <w:t xml:space="preserve">✓ MoonPay + Transak</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Coinbase Commerce only</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Transaction fee</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C3340"/>
                <w:sz w:val="19"/>
                <w:szCs w:val="19"/>
              </w:rPr>
              <w:t xml:space="preserve">0.5% custodial · Free non-custodial</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1%–2.9% + per-tx fee</w:t>
            </w:r>
          </w:p>
        </w:tc>
      </w:tr>
      <w:tr>
        <w:tc>
          <w:tcPr>
            <w:tcW w:type="dxa" w:w="360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2C3340"/>
                <w:sz w:val="19"/>
                <w:szCs w:val="19"/>
              </w:rPr>
              <w:t xml:space="preserve">Patent pending</w:t>
            </w:r>
          </w:p>
        </w:tc>
        <w:tc>
          <w:tcPr>
            <w:tcW w:type="dxa" w:w="2880"/>
            <w:tcBorders>
              <w:top w:val="single" w:color="E0D9C8" w:sz="1"/>
              <w:left w:val="single" w:color="E0D9C8" w:sz="1"/>
              <w:bottom w:val="single" w:color="E0D9C8" w:sz="1"/>
              <w:right w:val="single" w:color="E0D9C8" w:sz="1"/>
            </w:tcBorders>
            <w:shd w:fill="F0EDE5" w:val="clear"/>
            <w:tcMar>
              <w:top w:type="dxa" w:w="80"/>
              <w:left w:type="dxa" w:w="140"/>
              <w:bottom w:type="dxa" w:w="80"/>
              <w:right w:type="dxa" w:w="140"/>
            </w:tcMar>
          </w:tcPr>
          <w:p>
            <w:r>
              <w:rPr>
                <w:rFonts w:ascii="Arial" w:cs="Arial" w:eastAsia="Arial" w:hAnsi="Arial"/>
                <w:b/>
                <w:bCs/>
                <w:color w:val="22864A"/>
                <w:sz w:val="19"/>
                <w:szCs w:val="19"/>
              </w:rPr>
              <w:t xml:space="preserve">✓ Brief prepared</w:t>
            </w:r>
          </w:p>
        </w:tc>
        <w:tc>
          <w:tcPr>
            <w:tcW w:type="dxa" w:w="2880"/>
            <w:tcBorders>
              <w:top w:val="single" w:color="E0D9C8" w:sz="1"/>
              <w:left w:val="single" w:color="E0D9C8" w:sz="1"/>
              <w:bottom w:val="single" w:color="E0D9C8" w:sz="1"/>
              <w:right w:val="single" w:color="E0D9C8" w:sz="1"/>
            </w:tcBorders>
            <w:tcMar>
              <w:top w:type="dxa" w:w="80"/>
              <w:left w:type="dxa" w:w="140"/>
              <w:bottom w:type="dxa" w:w="80"/>
              <w:right w:type="dxa" w:w="140"/>
            </w:tcMar>
          </w:tcPr>
          <w:p>
            <w:r>
              <w:rPr>
                <w:rFonts w:ascii="Arial" w:cs="Arial" w:eastAsia="Arial" w:hAnsi="Arial"/>
                <w:color w:val="6B7A8D"/>
                <w:sz w:val="19"/>
                <w:szCs w:val="19"/>
              </w:rPr>
              <w:t xml:space="preserve">✗ Not applicable</w:t>
            </w:r>
          </w:p>
        </w:tc>
      </w:tr>
    </w:tbl>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BUSINESS MODEL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0"/>
            </w:pPr>
            <w:r>
              <w:rPr>
                <w:rFonts w:ascii="Arial" w:cs="Arial" w:eastAsia="Arial" w:hAnsi="Arial"/>
                <w:b/>
                <w:bCs/>
                <w:color w:val="2C3340"/>
                <w:sz w:val="20"/>
                <w:szCs w:val="20"/>
              </w:rPr>
              <w:t xml:space="preserve">Revenue streams</w:t>
            </w:r>
          </w:p>
          <w:p>
            <w:pPr>
              <w:pStyle w:val="ListParagraph"/>
              <w:numPr>
                <w:ilvl w:val="0"/>
                <w:numId w:val="2"/>
              </w:numPr>
              <w:spacing w:after="30" w:before="30"/>
            </w:pPr>
            <w:r>
              <w:rPr>
                <w:rFonts w:ascii="Arial" w:cs="Arial" w:eastAsia="Arial" w:hAnsi="Arial"/>
                <w:color w:val="2C3340"/>
                <w:sz w:val="20"/>
                <w:szCs w:val="20"/>
              </w:rPr>
              <w:t xml:space="preserve">0.5% fee on all custodial transactions — scales linearly with volume</w:t>
            </w:r>
          </w:p>
          <w:p>
            <w:pPr>
              <w:pStyle w:val="ListParagraph"/>
              <w:numPr>
                <w:ilvl w:val="0"/>
                <w:numId w:val="2"/>
              </w:numPr>
              <w:spacing w:after="30" w:before="30"/>
            </w:pPr>
            <w:r>
              <w:rPr>
                <w:rFonts w:ascii="Arial" w:cs="Arial" w:eastAsia="Arial" w:hAnsi="Arial"/>
                <w:color w:val="2C3340"/>
                <w:sz w:val="20"/>
                <w:szCs w:val="20"/>
              </w:rPr>
              <w:t xml:space="preserve">Enterprise licensing — custom pricing for high-volume clients</w:t>
            </w:r>
          </w:p>
          <w:p>
            <w:pPr>
              <w:pStyle w:val="ListParagraph"/>
              <w:numPr>
                <w:ilvl w:val="0"/>
                <w:numId w:val="2"/>
              </w:numPr>
              <w:spacing w:after="30" w:before="30"/>
            </w:pPr>
            <w:r>
              <w:rPr>
                <w:rFonts w:ascii="Arial" w:cs="Arial" w:eastAsia="Arial" w:hAnsi="Arial"/>
                <w:color w:val="2C3340"/>
                <w:sz w:val="20"/>
                <w:szCs w:val="20"/>
              </w:rPr>
              <w:t xml:space="preserve">Future: API access fees for developer tier</w:t>
            </w:r>
          </w:p>
          <w:p>
            <w:pPr>
              <w:spacing w:after="60" w:before="60"/>
            </w:pPr>
          </w:p>
          <w:p>
            <w:pPr>
              <w:spacing w:after="60" w:before="100"/>
            </w:pPr>
            <w:r>
              <w:rPr>
                <w:rFonts w:ascii="Arial" w:cs="Arial" w:eastAsia="Arial" w:hAnsi="Arial"/>
                <w:b/>
                <w:bCs/>
                <w:color w:val="2C3340"/>
                <w:sz w:val="20"/>
                <w:szCs w:val="20"/>
              </w:rPr>
              <w:t xml:space="preserve">Unit economics</w:t>
            </w:r>
          </w:p>
          <w:p>
            <w:pPr>
              <w:pStyle w:val="ListParagraph"/>
              <w:numPr>
                <w:ilvl w:val="0"/>
                <w:numId w:val="2"/>
              </w:numPr>
              <w:spacing w:after="30" w:before="30"/>
            </w:pPr>
            <w:r>
              <w:rPr>
                <w:rFonts w:ascii="Arial" w:cs="Arial" w:eastAsia="Arial" w:hAnsi="Arial"/>
                <w:color w:val="2C3340"/>
                <w:sz w:val="20"/>
                <w:szCs w:val="20"/>
              </w:rPr>
              <w:t xml:space="preserve">$10M custodial volume → $50,000 revenue</w:t>
            </w:r>
          </w:p>
          <w:p>
            <w:pPr>
              <w:pStyle w:val="ListParagraph"/>
              <w:numPr>
                <w:ilvl w:val="0"/>
                <w:numId w:val="2"/>
              </w:numPr>
              <w:spacing w:after="30" w:before="30"/>
            </w:pPr>
            <w:r>
              <w:rPr>
                <w:rFonts w:ascii="Arial" w:cs="Arial" w:eastAsia="Arial" w:hAnsi="Arial"/>
                <w:color w:val="2C3340"/>
                <w:sz w:val="20"/>
                <w:szCs w:val="20"/>
              </w:rPr>
              <w:t xml:space="preserve">$100M custodial volume → $500,000 revenue</w:t>
            </w:r>
          </w:p>
          <w:p>
            <w:pPr>
              <w:pStyle w:val="ListParagraph"/>
              <w:numPr>
                <w:ilvl w:val="0"/>
                <w:numId w:val="2"/>
              </w:numPr>
              <w:spacing w:after="30" w:before="30"/>
            </w:pPr>
            <w:r>
              <w:rPr>
                <w:rFonts w:ascii="Arial" w:cs="Arial" w:eastAsia="Arial" w:hAnsi="Arial"/>
                <w:color w:val="2C3340"/>
                <w:sz w:val="20"/>
                <w:szCs w:val="20"/>
              </w:rPr>
              <w:t xml:space="preserve">No per-transaction cost — pure margin above infrastructure</w:t>
            </w:r>
          </w:p>
        </w:tc>
        <w:tc>
          <w:tcPr>
            <w:tcW w:type="dxa" w:w="468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0"/>
            </w:pPr>
            <w:r>
              <w:rPr>
                <w:rFonts w:ascii="Arial" w:cs="Arial" w:eastAsia="Arial" w:hAnsi="Arial"/>
                <w:b/>
                <w:bCs/>
                <w:color w:val="2C3340"/>
                <w:sz w:val="20"/>
                <w:szCs w:val="20"/>
              </w:rPr>
              <w:t xml:space="preserve">Why 0.5% works</w:t>
            </w:r>
          </w:p>
          <w:p>
            <w:pPr>
              <w:spacing w:after="60" w:before="40"/>
            </w:pPr>
            <w:r>
              <w:rPr>
                <w:rFonts w:ascii="Arial" w:cs="Arial" w:eastAsia="Arial" w:hAnsi="Arial"/>
                <w:color w:val="2C3340"/>
                <w:sz w:val="20"/>
                <w:szCs w:val="20"/>
              </w:rPr>
              <w:t xml:space="preserve">Stripe charges 2.9% + $0.30. Coinbase Commerce charges 1%. At 0.5% with no per-transaction fee, SchnelPay wins every cost comparison while maintaining healthy margins.</w:t>
            </w:r>
          </w:p>
          <w:p>
            <w:pPr>
              <w:spacing w:after="60" w:before="60"/>
            </w:pPr>
          </w:p>
          <w:p>
            <w:pPr>
              <w:spacing w:after="60" w:before="40"/>
            </w:pPr>
            <w:r>
              <w:rPr>
                <w:rFonts w:ascii="Arial" w:cs="Arial" w:eastAsia="Arial" w:hAnsi="Arial"/>
                <w:color w:val="2C3340"/>
                <w:sz w:val="20"/>
                <w:szCs w:val="20"/>
              </w:rPr>
              <w:t xml:space="preserve">The free non-custodial tier drives top-of-funnel adoption. Users who start non-custodial upgrade to custodial as their transaction volume grows — a natural, friction-free conversion path.</w:t>
            </w:r>
          </w:p>
        </w:tc>
      </w:tr>
    </w:tbl>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MARKET OPPORTUNITY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$14T</w:t>
            </w:r>
          </w:p>
          <w:p>
            <w:pPr>
              <w:spacing w:after="0" w:before="0"/>
              <w:jc w:val="center"/>
            </w:pPr>
            <w:r>
              <w:rPr>
                <w:rFonts w:ascii="Arial" w:cs="Arial" w:eastAsia="Arial" w:hAnsi="Arial"/>
                <w:color w:val="6B7A8D"/>
                <w:sz w:val="17"/>
                <w:szCs w:val="17"/>
              </w:rPr>
              <w:t xml:space="preserve">Global payments market (TAM)</w:t>
            </w:r>
          </w:p>
        </w:tc>
        <w:tc>
          <w:tcPr>
            <w:tcW w:type="dxa" w:w="2340"/>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$1.2T</w:t>
            </w:r>
          </w:p>
          <w:p>
            <w:pPr>
              <w:spacing w:after="0" w:before="0"/>
              <w:jc w:val="center"/>
            </w:pPr>
            <w:r>
              <w:rPr>
                <w:rFonts w:ascii="Arial" w:cs="Arial" w:eastAsia="Arial" w:hAnsi="Arial"/>
                <w:color w:val="6B7A8D"/>
                <w:sz w:val="17"/>
                <w:szCs w:val="17"/>
              </w:rPr>
              <w:t xml:space="preserve">Crypto-enabled B2B payments (SAM)</w:t>
            </w:r>
          </w:p>
        </w:tc>
        <w:tc>
          <w:tcPr>
            <w:tcW w:type="dxa" w:w="2340"/>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$12B</w:t>
            </w:r>
          </w:p>
          <w:p>
            <w:pPr>
              <w:spacing w:after="0" w:before="0"/>
              <w:jc w:val="center"/>
            </w:pPr>
            <w:r>
              <w:rPr>
                <w:rFonts w:ascii="Arial" w:cs="Arial" w:eastAsia="Arial" w:hAnsi="Arial"/>
                <w:color w:val="6B7A8D"/>
                <w:sz w:val="17"/>
                <w:szCs w:val="17"/>
              </w:rPr>
              <w:t xml:space="preserve">Quantum-safe infra — 5yr target (SOM)</w:t>
            </w:r>
          </w:p>
        </w:tc>
        <w:tc>
          <w:tcPr>
            <w:tcW w:type="dxa" w:w="2340"/>
            <w:tcBorders>
              <w:top w:val="single" w:color="E0D9C8" w:sz="1"/>
              <w:left w:val="single" w:color="E0D9C8" w:sz="1"/>
              <w:bottom w:val="single" w:color="E0D9C8" w:sz="1"/>
              <w:right w:val="single" w:color="E0D9C8" w:sz="1"/>
            </w:tcBorders>
            <w:shd w:fill="F9F7F2" w:val="clear"/>
            <w:tcMar>
              <w:top w:type="dxa" w:w="120"/>
              <w:left w:type="dxa" w:w="160"/>
              <w:bottom w:type="dxa" w:w="120"/>
              <w:right w:type="dxa" w:w="160"/>
            </w:tcMar>
          </w:tcPr>
          <w:p>
            <w:pPr>
              <w:spacing w:after="40" w:before="0"/>
              <w:jc w:val="center"/>
            </w:pPr>
            <w:r>
              <w:rPr>
                <w:rFonts w:ascii="Georgia" w:cs="Georgia" w:eastAsia="Georgia" w:hAnsi="Georgia"/>
                <w:b/>
                <w:bCs/>
                <w:color w:val="C9A84C"/>
                <w:sz w:val="36"/>
                <w:szCs w:val="36"/>
              </w:rPr>
              <w:t xml:space="preserve">$12B</w:t>
            </w:r>
          </w:p>
          <w:p>
            <w:pPr>
              <w:spacing w:after="0" w:before="0"/>
              <w:jc w:val="center"/>
            </w:pPr>
            <w:r>
              <w:rPr>
                <w:rFonts w:ascii="Arial" w:cs="Arial" w:eastAsia="Arial" w:hAnsi="Arial"/>
                <w:color w:val="6B7A8D"/>
                <w:sz w:val="17"/>
                <w:szCs w:val="17"/>
              </w:rPr>
              <w:t xml:space="preserve">Fintech seed funding Q1 2026 alone</w:t>
            </w:r>
          </w:p>
        </w:tc>
      </w:tr>
    </w:tbl>
    <w:p>
      <w:pPr>
        <w:spacing w:after="60" w:before="60"/>
      </w:pPr>
    </w:p>
    <w:p>
      <w:pPr>
        <w:spacing w:after="60" w:before="40"/>
      </w:pPr>
      <w:r>
        <w:rPr>
          <w:rFonts w:ascii="Arial" w:cs="Arial" w:eastAsia="Arial" w:hAnsi="Arial"/>
          <w:color w:val="2C3340"/>
          <w:sz w:val="20"/>
          <w:szCs w:val="20"/>
        </w:rPr>
        <w:t xml:space="preserve">Payments and stablecoins captured 17.5% of all crypto venture funding in 2024, with over $1.5 billion invested in H1 2025 alone. The NIST FIPS 204 mandate creates a regulatory forcing function — every payment processor will be required to migrate to post-quantum cryptography. SchnelPay is already there.</w:t>
      </w:r>
    </w:p>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TRACTION &amp; PROOF POINTS</w:t>
      </w:r>
    </w:p>
    <w:p>
      <w:pPr>
        <w:spacing w:after="60" w:before="60"/>
      </w:pPr>
    </w:p>
    <w:p>
      <w:pPr>
        <w:pStyle w:val="ListParagraph"/>
        <w:numPr>
          <w:ilvl w:val="0"/>
          <w:numId w:val="2"/>
        </w:numPr>
        <w:spacing w:after="30" w:before="30"/>
      </w:pPr>
      <w:r>
        <w:rPr>
          <w:rFonts w:ascii="Arial" w:cs="Arial" w:eastAsia="Arial" w:hAnsi="Arial"/>
          <w:color w:val="2C3340"/>
          <w:sz w:val="20"/>
          <w:szCs w:val="20"/>
        </w:rPr>
        <w:t xml:space="preserve">Live platform — schnelpay.com, dashboard.schnelpay.com, api.schnelpay.com all operational</w:t>
      </w:r>
    </w:p>
    <w:p>
      <w:pPr>
        <w:pStyle w:val="ListParagraph"/>
        <w:numPr>
          <w:ilvl w:val="0"/>
          <w:numId w:val="2"/>
        </w:numPr>
        <w:spacing w:after="30" w:before="30"/>
      </w:pPr>
      <w:r>
        <w:rPr>
          <w:rFonts w:ascii="Arial" w:cs="Arial" w:eastAsia="Arial" w:hAnsi="Arial"/>
          <w:color w:val="2C3340"/>
          <w:sz w:val="20"/>
          <w:szCs w:val="20"/>
        </w:rPr>
        <w:t xml:space="preserve">19+ REST API endpoints deployed and documented</w:t>
      </w:r>
    </w:p>
    <w:p>
      <w:pPr>
        <w:pStyle w:val="ListParagraph"/>
        <w:numPr>
          <w:ilvl w:val="0"/>
          <w:numId w:val="2"/>
        </w:numPr>
        <w:spacing w:after="30" w:before="30"/>
      </w:pPr>
      <w:r>
        <w:rPr>
          <w:rFonts w:ascii="Arial" w:cs="Arial" w:eastAsia="Arial" w:hAnsi="Arial"/>
          <w:color w:val="2C3340"/>
          <w:sz w:val="20"/>
          <w:szCs w:val="20"/>
        </w:rPr>
        <w:t xml:space="preserve">QuantumShield™ authentication live — ML-DSA-65 + ECDSA hybrid tokens issued on every login</w:t>
      </w:r>
    </w:p>
    <w:p>
      <w:pPr>
        <w:pStyle w:val="ListParagraph"/>
        <w:numPr>
          <w:ilvl w:val="0"/>
          <w:numId w:val="2"/>
        </w:numPr>
        <w:spacing w:after="30" w:before="30"/>
      </w:pPr>
      <w:r>
        <w:rPr>
          <w:rFonts w:ascii="Arial" w:cs="Arial" w:eastAsia="Arial" w:hAnsi="Arial"/>
          <w:color w:val="2C3340"/>
          <w:sz w:val="20"/>
          <w:szCs w:val="20"/>
        </w:rPr>
        <w:t xml:space="preserve">MoonPay fiat on-ramp tested end-to-end in sandbox — confirm order screen reached</w:t>
      </w:r>
    </w:p>
    <w:p>
      <w:pPr>
        <w:pStyle w:val="ListParagraph"/>
        <w:numPr>
          <w:ilvl w:val="0"/>
          <w:numId w:val="2"/>
        </w:numPr>
        <w:spacing w:after="30" w:before="30"/>
      </w:pPr>
      <w:r>
        <w:rPr>
          <w:rFonts w:ascii="Arial" w:cs="Arial" w:eastAsia="Arial" w:hAnsi="Arial"/>
          <w:color w:val="2C3340"/>
          <w:sz w:val="20"/>
          <w:szCs w:val="20"/>
        </w:rPr>
        <w:t xml:space="preserve">Transak KYB submitted for production approval</w:t>
      </w:r>
    </w:p>
    <w:p>
      <w:pPr>
        <w:pStyle w:val="ListParagraph"/>
        <w:numPr>
          <w:ilvl w:val="0"/>
          <w:numId w:val="2"/>
        </w:numPr>
        <w:spacing w:after="30" w:before="30"/>
      </w:pPr>
      <w:r>
        <w:rPr>
          <w:rFonts w:ascii="Arial" w:cs="Arial" w:eastAsia="Arial" w:hAnsi="Arial"/>
          <w:color w:val="2C3340"/>
          <w:sz w:val="20"/>
          <w:szCs w:val="20"/>
        </w:rPr>
        <w:t xml:space="preserve">Patent attorney brief prepared for quantum-safe authentication method</w:t>
      </w:r>
    </w:p>
    <w:p>
      <w:pPr>
        <w:pStyle w:val="ListParagraph"/>
        <w:numPr>
          <w:ilvl w:val="0"/>
          <w:numId w:val="2"/>
        </w:numPr>
        <w:spacing w:after="30" w:before="30"/>
      </w:pPr>
      <w:r>
        <w:rPr>
          <w:rFonts w:ascii="Arial" w:cs="Arial" w:eastAsia="Arial" w:hAnsi="Arial"/>
          <w:color w:val="2C3340"/>
          <w:sz w:val="20"/>
          <w:szCs w:val="20"/>
        </w:rPr>
        <w:t xml:space="preserve">4 SEO-optimised blog posts published · API waitlist page live</w:t>
      </w:r>
    </w:p>
    <w:p>
      <w:pPr>
        <w:pStyle w:val="ListParagraph"/>
        <w:numPr>
          <w:ilvl w:val="0"/>
          <w:numId w:val="2"/>
        </w:numPr>
        <w:spacing w:after="30" w:before="30"/>
      </w:pPr>
      <w:r>
        <w:rPr>
          <w:rFonts w:ascii="Arial" w:cs="Arial" w:eastAsia="Arial" w:hAnsi="Arial"/>
          <w:color w:val="2C3340"/>
          <w:sz w:val="20"/>
          <w:szCs w:val="20"/>
        </w:rPr>
        <w:t xml:space="preserve">Social presence established — @SchnelPay on X and LinkedIn</w:t>
      </w:r>
    </w:p>
    <w:p>
      <w:pPr>
        <w:pStyle w:val="ListParagraph"/>
        <w:numPr>
          <w:ilvl w:val="0"/>
          <w:numId w:val="2"/>
        </w:numPr>
        <w:spacing w:after="30" w:before="30"/>
      </w:pPr>
      <w:r>
        <w:rPr>
          <w:rFonts w:ascii="Arial" w:cs="Arial" w:eastAsia="Arial" w:hAnsi="Arial"/>
          <w:color w:val="2C3340"/>
          <w:sz w:val="20"/>
          <w:szCs w:val="20"/>
        </w:rPr>
        <w:t xml:space="preserve">Built solo in 6 weeks with zero external capital</w:t>
      </w:r>
    </w:p>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THE ASK</w:t>
      </w:r>
    </w:p>
    <w:p>
      <w:pPr>
        <w:spacing w:after="60" w:before="60"/>
      </w:pPr>
    </w:p>
    <w:p>
      <w:pPr>
        <w:spacing w:after="120" w:before="0"/>
      </w:pPr>
      <w:r>
        <w:rPr>
          <w:rFonts w:ascii="Georgia" w:cs="Georgia" w:eastAsia="Georgia" w:hAnsi="Georgia"/>
          <w:b/>
          <w:bCs/>
          <w:color w:val="C9A84C"/>
          <w:sz w:val="28"/>
          <w:szCs w:val="28"/>
        </w:rPr>
        <w:t xml:space="preserve">$500,000 pre-seed</w:t>
      </w:r>
      <w:r>
        <w:rPr>
          <w:rFonts w:ascii="Georgia" w:cs="Georgia" w:eastAsia="Georgia" w:hAnsi="Georgia"/>
          <w:color w:val="2C3340"/>
          <w:sz w:val="22"/>
          <w:szCs w:val="22"/>
        </w:rPr>
        <w:t xml:space="preserve"> · SAFE · 18-month runway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0"/>
            </w:pPr>
            <w:r>
              <w:rPr>
                <w:rFonts w:ascii="Arial" w:cs="Arial" w:eastAsia="Arial" w:hAnsi="Arial"/>
                <w:b/>
                <w:bCs/>
                <w:color w:val="2C3340"/>
                <w:sz w:val="20"/>
                <w:szCs w:val="20"/>
              </w:rPr>
              <w:t xml:space="preserve">Use of funds</w:t>
            </w:r>
          </w:p>
          <w:p>
            <w:pPr>
              <w:pStyle w:val="ListParagraph"/>
              <w:numPr>
                <w:ilvl w:val="0"/>
                <w:numId w:val="2"/>
              </w:numPr>
              <w:spacing w:after="30" w:before="30"/>
            </w:pPr>
            <w:r>
              <w:rPr>
                <w:rFonts w:ascii="Arial" w:cs="Arial" w:eastAsia="Arial" w:hAnsi="Arial"/>
                <w:color w:val="2C3340"/>
                <w:sz w:val="20"/>
                <w:szCs w:val="20"/>
              </w:rPr>
              <w:t xml:space="preserve">$200K (40%) — Product &amp; engineering: smart contracts, mobile app, additional blockchains</w:t>
            </w:r>
          </w:p>
          <w:p>
            <w:pPr>
              <w:pStyle w:val="ListParagraph"/>
              <w:numPr>
                <w:ilvl w:val="0"/>
                <w:numId w:val="2"/>
              </w:numPr>
              <w:spacing w:after="30" w:before="30"/>
            </w:pPr>
            <w:r>
              <w:rPr>
                <w:rFonts w:ascii="Arial" w:cs="Arial" w:eastAsia="Arial" w:hAnsi="Arial"/>
                <w:color w:val="2C3340"/>
                <w:sz w:val="20"/>
                <w:szCs w:val="20"/>
              </w:rPr>
              <w:t xml:space="preserve">$125K (25%) — Compliance &amp; legal: LLC, patent filing, MoonPay/Transak production licenses</w:t>
            </w:r>
          </w:p>
          <w:p>
            <w:pPr>
              <w:pStyle w:val="ListParagraph"/>
              <w:numPr>
                <w:ilvl w:val="0"/>
                <w:numId w:val="2"/>
              </w:numPr>
              <w:spacing w:after="30" w:before="30"/>
            </w:pPr>
            <w:r>
              <w:rPr>
                <w:rFonts w:ascii="Arial" w:cs="Arial" w:eastAsia="Arial" w:hAnsi="Arial"/>
                <w:color w:val="2C3340"/>
                <w:sz w:val="20"/>
                <w:szCs w:val="20"/>
              </w:rPr>
              <w:t xml:space="preserve">$100K (20%) — Business development: merchant onboarding, enterprise contracts</w:t>
            </w:r>
          </w:p>
          <w:p>
            <w:pPr>
              <w:pStyle w:val="ListParagraph"/>
              <w:numPr>
                <w:ilvl w:val="0"/>
                <w:numId w:val="2"/>
              </w:numPr>
              <w:spacing w:after="30" w:before="30"/>
            </w:pPr>
            <w:r>
              <w:rPr>
                <w:rFonts w:ascii="Arial" w:cs="Arial" w:eastAsia="Arial" w:hAnsi="Arial"/>
                <w:color w:val="2C3340"/>
                <w:sz w:val="20"/>
                <w:szCs w:val="20"/>
              </w:rPr>
              <w:t xml:space="preserve">$75K (15%) — Operations: infrastructure, marketing, team expansion</w:t>
            </w:r>
          </w:p>
        </w:tc>
        <w:tc>
          <w:tcPr>
            <w:tcW w:type="dxa" w:w="468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0"/>
            </w:pPr>
            <w:r>
              <w:rPr>
                <w:rFonts w:ascii="Arial" w:cs="Arial" w:eastAsia="Arial" w:hAnsi="Arial"/>
                <w:b/>
                <w:bCs/>
                <w:color w:val="2C3340"/>
                <w:sz w:val="20"/>
                <w:szCs w:val="20"/>
              </w:rPr>
              <w:t xml:space="preserve">18-month milestones</w:t>
            </w:r>
          </w:p>
          <w:p>
            <w:pPr>
              <w:pStyle w:val="ListParagraph"/>
              <w:numPr>
                <w:ilvl w:val="0"/>
                <w:numId w:val="2"/>
              </w:numPr>
              <w:spacing w:after="30" w:before="30"/>
            </w:pPr>
            <w:r>
              <w:rPr>
                <w:rFonts w:ascii="Arial" w:cs="Arial" w:eastAsia="Arial" w:hAnsi="Arial"/>
                <w:color w:val="2C3340"/>
                <w:sz w:val="20"/>
                <w:szCs w:val="20"/>
              </w:rPr>
              <w:t xml:space="preserve">MoonPay + Transak live in production</w:t>
            </w:r>
          </w:p>
          <w:p>
            <w:pPr>
              <w:pStyle w:val="ListParagraph"/>
              <w:numPr>
                <w:ilvl w:val="0"/>
                <w:numId w:val="2"/>
              </w:numPr>
              <w:spacing w:after="30" w:before="30"/>
            </w:pPr>
            <w:r>
              <w:rPr>
                <w:rFonts w:ascii="Arial" w:cs="Arial" w:eastAsia="Arial" w:hAnsi="Arial"/>
                <w:color w:val="2C3340"/>
                <w:sz w:val="20"/>
                <w:szCs w:val="20"/>
              </w:rPr>
              <w:t xml:space="preserve">First 100 paying custodial users</w:t>
            </w:r>
          </w:p>
          <w:p>
            <w:pPr>
              <w:pStyle w:val="ListParagraph"/>
              <w:numPr>
                <w:ilvl w:val="0"/>
                <w:numId w:val="2"/>
              </w:numPr>
              <w:spacing w:after="30" w:before="30"/>
            </w:pPr>
            <w:r>
              <w:rPr>
                <w:rFonts w:ascii="Arial" w:cs="Arial" w:eastAsia="Arial" w:hAnsi="Arial"/>
                <w:color w:val="2C3340"/>
                <w:sz w:val="20"/>
                <w:szCs w:val="20"/>
              </w:rPr>
              <w:t xml:space="preserve">Patent filed for QuantumShield™</w:t>
            </w:r>
          </w:p>
          <w:p>
            <w:pPr>
              <w:pStyle w:val="ListParagraph"/>
              <w:numPr>
                <w:ilvl w:val="0"/>
                <w:numId w:val="2"/>
              </w:numPr>
              <w:spacing w:after="30" w:before="30"/>
            </w:pPr>
            <w:r>
              <w:rPr>
                <w:rFonts w:ascii="Arial" w:cs="Arial" w:eastAsia="Arial" w:hAnsi="Arial"/>
                <w:color w:val="2C3340"/>
                <w:sz w:val="20"/>
                <w:szCs w:val="20"/>
              </w:rPr>
              <w:t xml:space="preserve">Public developer API launched</w:t>
            </w:r>
          </w:p>
          <w:p>
            <w:pPr>
              <w:pStyle w:val="ListParagraph"/>
              <w:numPr>
                <w:ilvl w:val="0"/>
                <w:numId w:val="2"/>
              </w:numPr>
              <w:spacing w:after="30" w:before="30"/>
            </w:pPr>
            <w:r>
              <w:rPr>
                <w:rFonts w:ascii="Arial" w:cs="Arial" w:eastAsia="Arial" w:hAnsi="Arial"/>
                <w:color w:val="2C3340"/>
                <w:sz w:val="20"/>
                <w:szCs w:val="20"/>
              </w:rPr>
              <w:t xml:space="preserve">Enterprise sales pipeline established</w:t>
            </w:r>
          </w:p>
          <w:p>
            <w:pPr>
              <w:pStyle w:val="ListParagraph"/>
              <w:numPr>
                <w:ilvl w:val="0"/>
                <w:numId w:val="2"/>
              </w:numPr>
              <w:spacing w:after="30" w:before="30"/>
            </w:pPr>
            <w:r>
              <w:rPr>
                <w:rFonts w:ascii="Arial" w:cs="Arial" w:eastAsia="Arial" w:hAnsi="Arial"/>
                <w:color w:val="2C3340"/>
                <w:sz w:val="20"/>
                <w:szCs w:val="20"/>
              </w:rPr>
              <w:t xml:space="preserve">Series A narrative ready</w:t>
            </w:r>
          </w:p>
        </w:tc>
      </w:tr>
    </w:tbl>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FOUNDER</w:t>
      </w:r>
    </w:p>
    <w:p>
      <w:pPr>
        <w:spacing w:after="60" w:before="60"/>
      </w:pPr>
    </w:p>
    <w:p>
      <w:pPr>
        <w:spacing w:after="60" w:before="40"/>
      </w:pPr>
      <w:r>
        <w:rPr>
          <w:rFonts w:ascii="Arial" w:cs="Arial" w:eastAsia="Arial" w:hAnsi="Arial"/>
          <w:color w:val="2C3340"/>
          <w:sz w:val="20"/>
          <w:szCs w:val="20"/>
        </w:rPr>
        <w:t xml:space="preserve">Randeep Singh is the sole founder of SchnelPay. He designed, built, and deployed the entire platform — three live products, 19 API endpoints, post-quantum authentication, multi-chain blockchain integration, and fiat on-ramp — in six weeks with no external capital. His skills span full-stack development (Node.js, TypeScript, Next.js), blockchain integration across Ethereum, Bitcoin, and Solana, post-quantum cryptography implementation, and product design.</w:t>
      </w:r>
    </w:p>
    <w:p>
      <w:pPr>
        <w:spacing w:after="60" w:before="60"/>
      </w:pPr>
    </w:p>
    <w:p>
      <w:pPr>
        <w:spacing w:after="60" w:before="40"/>
      </w:pPr>
      <w:r>
        <w:rPr>
          <w:rFonts w:ascii="Arial" w:cs="Arial" w:eastAsia="Arial" w:hAnsi="Arial"/>
          <w:color w:val="2C3340"/>
          <w:sz w:val="20"/>
          <w:szCs w:val="20"/>
        </w:rPr>
        <w:t xml:space="preserve">SchnelPay is actively seeking a technical co-founder with smart contract or security engineering experience, and a fintech advisor with regulatory expertise. The right co-founder will join at equity level.</w:t>
      </w:r>
    </w:p>
    <w:p>
      <w:pPr>
        <w:spacing w:after="200" w:before="60"/>
      </w:pPr>
    </w:p>
    <w:p>
      <w:pPr>
        <w:pBdr>
          <w:bottom w:val="single" w:color="C9A84C" w:sz="3" w:space="4"/>
        </w:pBdr>
        <w:spacing w:after="100" w:before="320"/>
      </w:pPr>
      <w:r>
        <w:rPr>
          <w:rFonts w:ascii="Arial" w:cs="Arial" w:eastAsia="Arial" w:hAnsi="Arial"/>
          <w:b/>
          <w:bCs/>
          <w:caps/>
          <w:color w:val="2C3340"/>
          <w:spacing w:val="20"/>
          <w:sz w:val="22"/>
          <w:szCs w:val="22"/>
        </w:rPr>
        <w:t xml:space="preserve">CONTACT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Georgia" w:cs="Georgia" w:eastAsia="Georgia" w:hAnsi="Georgia"/>
                <w:b/>
                <w:bCs/>
                <w:color w:val="2C3340"/>
                <w:sz w:val="22"/>
                <w:szCs w:val="22"/>
              </w:rPr>
              <w:t xml:space="preserve">Randeep Singh</w:t>
            </w:r>
          </w:p>
          <w:p>
            <w:pPr>
              <w:spacing w:after="40" w:before="40"/>
            </w:pPr>
            <w:r>
              <w:rPr>
                <w:rFonts w:ascii="Arial" w:cs="Arial" w:eastAsia="Arial" w:hAnsi="Arial"/>
                <w:color w:val="6B7A8D"/>
                <w:sz w:val="20"/>
                <w:szCs w:val="20"/>
              </w:rPr>
              <w:t xml:space="preserve">Founder &amp; CEO, SchnelPay</w:t>
            </w:r>
          </w:p>
          <w:p>
            <w:pPr>
              <w:spacing w:after="40" w:before="40"/>
            </w:pPr>
            <w:r>
              <w:rPr>
                <w:rFonts w:ascii="Arial" w:cs="Arial" w:eastAsia="Arial" w:hAnsi="Arial"/>
                <w:color w:val="C9A84C"/>
                <w:sz w:val="20"/>
                <w:szCs w:val="20"/>
              </w:rPr>
              <w:t xml:space="preserve">hello@schnelpay.com</w:t>
            </w:r>
          </w:p>
          <w:p>
            <w:pPr>
              <w:spacing w:after="40" w:before="40"/>
            </w:pPr>
            <w:r>
              <w:rPr>
                <w:rFonts w:ascii="Arial" w:cs="Arial" w:eastAsia="Arial" w:hAnsi="Arial"/>
                <w:color w:val="6B7A8D"/>
                <w:sz w:val="20"/>
                <w:szCs w:val="20"/>
              </w:rPr>
              <w:t xml:space="preserve">schnelpay.com</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C3340"/>
                <w:sz w:val="20"/>
                <w:szCs w:val="20"/>
              </w:rPr>
              <w:t xml:space="preserve">Platforms</w:t>
            </w:r>
          </w:p>
          <w:p>
            <w:pPr>
              <w:spacing w:after="20" w:before="40"/>
            </w:pPr>
            <w:r>
              <w:rPr>
                <w:rFonts w:ascii="Arial" w:cs="Arial" w:eastAsia="Arial" w:hAnsi="Arial"/>
                <w:color w:val="6B7A8D"/>
                <w:sz w:val="20"/>
                <w:szCs w:val="20"/>
              </w:rPr>
              <w:t xml:space="preserve">schnelpay.com</w:t>
            </w:r>
          </w:p>
          <w:p>
            <w:pPr>
              <w:spacing w:after="20" w:before="20"/>
            </w:pPr>
            <w:r>
              <w:rPr>
                <w:rFonts w:ascii="Arial" w:cs="Arial" w:eastAsia="Arial" w:hAnsi="Arial"/>
                <w:color w:val="6B7A8D"/>
                <w:sz w:val="20"/>
                <w:szCs w:val="20"/>
              </w:rPr>
              <w:t xml:space="preserve">dashboard.schnelpay.com</w:t>
            </w:r>
          </w:p>
          <w:p>
            <w:pPr>
              <w:spacing w:after="20" w:before="20"/>
            </w:pPr>
            <w:r>
              <w:rPr>
                <w:rFonts w:ascii="Arial" w:cs="Arial" w:eastAsia="Arial" w:hAnsi="Arial"/>
                <w:color w:val="6B7A8D"/>
                <w:sz w:val="20"/>
                <w:szCs w:val="20"/>
              </w:rPr>
              <w:t xml:space="preserve">api.schnelpay.com</w:t>
            </w:r>
          </w:p>
          <w:p>
            <w:pPr>
              <w:spacing w:after="0" w:before="20"/>
            </w:pPr>
            <w:r>
              <w:rPr>
                <w:rFonts w:ascii="Arial" w:cs="Arial" w:eastAsia="Arial" w:hAnsi="Arial"/>
                <w:color w:val="6B7A8D"/>
                <w:sz w:val="20"/>
                <w:szCs w:val="20"/>
              </w:rPr>
              <w:t xml:space="preserve">@SchnelPay on X and LinkedIn</w:t>
            </w:r>
          </w:p>
        </w:tc>
      </w:tr>
    </w:tbl>
    <w:p>
      <w:pPr>
        <w:spacing w:after="60" w:before="100"/>
      </w:pPr>
    </w:p>
    <w:p>
      <w:pPr>
        <w:spacing w:after="0" w:before="100"/>
      </w:pPr>
      <w:r>
        <w:rPr>
          <w:rFonts w:ascii="Arial" w:cs="Arial" w:eastAsia="Arial" w:hAnsi="Arial"/>
          <w:i/>
          <w:iCs/>
          <w:color w:val="6B7A8D"/>
          <w:sz w:val="16"/>
          <w:szCs w:val="16"/>
        </w:rPr>
        <w:t xml:space="preserve">This document is confidential and intended solely for the recipient. SchnelPay, 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9C8" w:sz="2" w:space="4"/>
      </w:pBdr>
      <w:spacing w:after="60" w:before="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6B7A8D"/>
              <w:sz w:val="17"/>
              <w:szCs w:val="17"/>
            </w:rPr>
            <w:t xml:space="preserve">hello@schnelpay.com  ·  schnelpay.com</w:t>
          </w:r>
        </w:p>
      </w:tc>
      <w:tc>
        <w:tcPr>
          <w:tcW w:type="dxa" w:w="48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B7A8D"/>
              <w:sz w:val="17"/>
              <w:szCs w:val="17"/>
            </w:rPr>
            <w:t xml:space="preserve">Page 1</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Georgia" w:cs="Georgia" w:eastAsia="Georgia" w:hAnsi="Georgia"/>
              <w:b/>
              <w:bCs/>
              <w:color w:val="2C3340"/>
              <w:sz w:val="22"/>
              <w:szCs w:val="22"/>
            </w:rPr>
            <w:t xml:space="preserve">SchnelPay</w:t>
          </w:r>
        </w:p>
      </w:tc>
      <w:tc>
        <w:tcPr>
          <w:tcW w:type="dxa" w:w="48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6B7A8D"/>
              <w:sz w:val="17"/>
              <w:szCs w:val="17"/>
            </w:rPr>
            <w:t xml:space="preserve">Executive Summary · Confidential · April 2026</w:t>
          </w:r>
        </w:p>
      </w:tc>
    </w:tr>
  </w:tbl>
  <w:p>
    <w:pPr>
      <w:pBdr>
        <w:bottom w:val="single" w:color="C9A84C" w:sz="4"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2C334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2026-04-13T04:54:16.118Z</dcterms:created>
  <dcterms:modified xsi:type="dcterms:W3CDTF">2026-04-13T04:54:16.119Z</dcterms:modified>
</cp:coreProperties>
</file>

<file path=docProps/custom.xml><?xml version="1.0" encoding="utf-8"?>
<Properties xmlns="http://schemas.openxmlformats.org/officeDocument/2006/custom-properties" xmlns:vt="http://schemas.openxmlformats.org/officeDocument/2006/docPropsVTypes"/>
</file>