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120" w:before="0"/>
        <w:jc w:val="center"/>
      </w:pPr>
      <w:r>
        <w:rPr>
          <w:rFonts w:ascii="Georgia" w:cs="Georgia" w:eastAsia="Georgia" w:hAnsi="Georgia"/>
          <w:b/>
          <w:bCs/>
          <w:color w:val="2C3340"/>
          <w:sz w:val="56"/>
          <w:szCs w:val="56"/>
        </w:rPr>
        <w:t xml:space="preserve">SchnelPay</w:t>
      </w:r>
    </w:p>
    <w:p>
      <w:pPr>
        <w:spacing w:after="80" w:before="0"/>
        <w:jc w:val="center"/>
      </w:pPr>
      <w:r>
        <w:rPr>
          <w:rFonts w:ascii="Arial" w:cs="Arial" w:eastAsia="Arial" w:hAnsi="Arial"/>
          <w:color w:val="6B7A8D"/>
          <w:sz w:val="28"/>
          <w:szCs w:val="28"/>
        </w:rPr>
        <w:t xml:space="preserve">Investor Pitch — Talking Notes &amp; Funding Guide</w:t>
      </w:r>
    </w:p>
    <w:p>
      <w:pPr>
        <w:spacing w:after="0" w:before="0"/>
        <w:jc w:val="center"/>
      </w:pPr>
      <w:r>
        <w:rPr>
          <w:rFonts w:ascii="Arial" w:cs="Arial" w:eastAsia="Arial" w:hAnsi="Arial"/>
          <w:i/>
          <w:iCs/>
          <w:color w:val="6B7A8D"/>
          <w:sz w:val="22"/>
          <w:szCs w:val="22"/>
        </w:rPr>
        <w:t xml:space="preserve">Confidential · April 2026</w:t>
      </w:r>
    </w:p>
    <w:p>
      <w:r>
        <w:br w:type="page"/>
      </w:r>
    </w:p>
    <w:p>
      <w:pPr>
        <w:pStyle w:val="Heading1"/>
        <w:spacing w:after="160" w:before="400"/>
      </w:pPr>
      <w:r>
        <w:rPr>
          <w:rFonts w:ascii="Georgia" w:cs="Georgia" w:eastAsia="Georgia" w:hAnsi="Georgia"/>
          <w:b/>
          <w:bCs/>
          <w:color w:val="2C3340"/>
          <w:sz w:val="32"/>
          <w:szCs w:val="32"/>
        </w:rPr>
        <w:t xml:space="preserve">Slide-by-Slide Talking Notes</w:t>
      </w:r>
    </w:p>
    <w:p>
      <w:pPr>
        <w:spacing w:after="80" w:before="60"/>
      </w:pPr>
      <w:r>
        <w:rPr>
          <w:rFonts w:ascii="Arial" w:cs="Arial" w:eastAsia="Arial" w:hAnsi="Arial"/>
          <w:color w:val="2C3340"/>
          <w:sz w:val="22"/>
          <w:szCs w:val="22"/>
        </w:rPr>
        <w:t xml:space="preserve">These notes are designed for you to internalise, not read. Know the key points for each slide. Speak naturally. The goal is a conversation, not a recitation.</w:t>
      </w:r>
    </w:p>
    <w:p>
      <w:pPr>
        <w:pBdr>
          <w:bottom w:val="single" w:color="C9A84C" w:sz="4" w:space="1"/>
        </w:pBdr>
        <w:spacing w:after="200" w:before="200"/>
      </w:pPr>
    </w:p>
    <w:p>
      <w:pPr>
        <w:pStyle w:val="Heading2"/>
        <w:spacing w:after="120" w:before="300"/>
      </w:pPr>
      <w:r>
        <w:rPr>
          <w:rFonts w:ascii="Georgia" w:cs="Georgia" w:eastAsia="Georgia" w:hAnsi="Georgia"/>
          <w:b/>
          <w:bCs/>
          <w:color w:val="2C3340"/>
          <w:sz w:val="26"/>
          <w:szCs w:val="26"/>
        </w:rPr>
        <w:t xml:space="preserve">Slide 1 — Cover — SchnelPay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Time</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3340"/>
                <w:sz w:val="19"/>
                <w:szCs w:val="19"/>
              </w:rPr>
              <w:t xml:space="preserve">30–60 seconds</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Goal</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2C3340"/>
                <w:sz w:val="19"/>
                <w:szCs w:val="19"/>
              </w:rPr>
              <w:t xml:space="preserve">Make a strong first impression. Establish credibility. Get them curious.</w:t>
            </w:r>
          </w:p>
        </w:tc>
      </w:tr>
    </w:tbl>
    <w:p>
      <w:pPr>
        <w:spacing w:after="80" w:before="80"/>
      </w:pPr>
    </w:p>
    <w:p>
      <w:pPr>
        <w:spacing w:after="60" w:before="80"/>
      </w:pPr>
      <w:r>
        <w:rPr>
          <w:rFonts w:ascii="Arial" w:cs="Arial" w:eastAsia="Arial" w:hAnsi="Arial"/>
          <w:b/>
          <w:bCs/>
          <w:color w:val="2C3340"/>
          <w:sz w:val="21"/>
          <w:szCs w:val="21"/>
        </w:rPr>
        <w:t xml:space="preserve">What to say</w:t>
      </w:r>
    </w:p>
    <w:p>
      <w:pPr>
        <w:pStyle w:val="ListParagraph"/>
        <w:numPr>
          <w:ilvl w:val="0"/>
          <w:numId w:val="2"/>
        </w:numPr>
        <w:spacing w:after="40" w:before="40"/>
      </w:pPr>
      <w:r>
        <w:rPr>
          <w:rFonts w:ascii="Arial" w:cs="Arial" w:eastAsia="Arial" w:hAnsi="Arial"/>
          <w:color w:val="2C3340"/>
          <w:sz w:val="21"/>
          <w:szCs w:val="21"/>
        </w:rPr>
        <w:t xml:space="preserve">Start with confidence — don't rush.</w:t>
      </w:r>
    </w:p>
    <w:p>
      <w:pPr>
        <w:pStyle w:val="ListParagraph"/>
        <w:numPr>
          <w:ilvl w:val="0"/>
          <w:numId w:val="2"/>
        </w:numPr>
        <w:spacing w:after="40" w:before="40"/>
      </w:pPr>
      <w:r>
        <w:rPr>
          <w:rFonts w:ascii="Arial" w:cs="Arial" w:eastAsia="Arial" w:hAnsi="Arial"/>
          <w:color w:val="2C3340"/>
          <w:sz w:val="21"/>
          <w:szCs w:val="21"/>
        </w:rPr>
        <w:t xml:space="preserve">Say: "SchnelPay is a quantum-safe cryptocurrency payment platform — the only payment network built for the post-quantum era."</w:t>
      </w:r>
    </w:p>
    <w:p>
      <w:pPr>
        <w:pStyle w:val="ListParagraph"/>
        <w:numPr>
          <w:ilvl w:val="0"/>
          <w:numId w:val="2"/>
        </w:numPr>
        <w:spacing w:after="40" w:before="40"/>
      </w:pPr>
      <w:r>
        <w:rPr>
          <w:rFonts w:ascii="Arial" w:cs="Arial" w:eastAsia="Arial" w:hAnsi="Arial"/>
          <w:color w:val="2C3340"/>
          <w:sz w:val="21"/>
          <w:szCs w:val="21"/>
        </w:rPr>
        <w:t xml:space="preserve">Pause. Let that land.</w:t>
      </w:r>
    </w:p>
    <w:p>
      <w:pPr>
        <w:pStyle w:val="ListParagraph"/>
        <w:numPr>
          <w:ilvl w:val="0"/>
          <w:numId w:val="2"/>
        </w:numPr>
        <w:spacing w:after="40" w:before="40"/>
      </w:pPr>
      <w:r>
        <w:rPr>
          <w:rFonts w:ascii="Arial" w:cs="Arial" w:eastAsia="Arial" w:hAnsi="Arial"/>
          <w:color w:val="2C3340"/>
          <w:sz w:val="21"/>
          <w:szCs w:val="21"/>
        </w:rPr>
        <w:t xml:space="preserve">Follow with: "We support Bitcoin, Ethereum, and Solana from a single dashboard, with authentication certified to NIST FIPS 204 — the same standard the US government mandated for all federal systems."</w:t>
      </w:r>
    </w:p>
    <w:p>
      <w:pPr>
        <w:pStyle w:val="ListParagraph"/>
        <w:numPr>
          <w:ilvl w:val="0"/>
          <w:numId w:val="2"/>
        </w:numPr>
        <w:spacing w:after="40" w:before="40"/>
      </w:pPr>
      <w:r>
        <w:rPr>
          <w:rFonts w:ascii="Arial" w:cs="Arial" w:eastAsia="Arial" w:hAnsi="Arial"/>
          <w:color w:val="2C3340"/>
          <w:sz w:val="21"/>
          <w:szCs w:val="21"/>
        </w:rPr>
        <w:t xml:space="preserve">Point to the four metric cards: 3 blockchains, 19+ API endpoints, 0.5% custodial fee, free non-custodial tier.</w:t>
      </w:r>
    </w:p>
    <w:p>
      <w:pPr>
        <w:pStyle w:val="ListParagraph"/>
        <w:numPr>
          <w:ilvl w:val="0"/>
          <w:numId w:val="2"/>
        </w:numPr>
        <w:spacing w:after="40" w:before="40"/>
      </w:pPr>
      <w:r>
        <w:rPr>
          <w:rFonts w:ascii="Arial" w:cs="Arial" w:eastAsia="Arial" w:hAnsi="Arial"/>
          <w:color w:val="2C3340"/>
          <w:sz w:val="21"/>
          <w:szCs w:val="21"/>
        </w:rPr>
        <w:t xml:space="preserve">Close the slide with: "Everything you see in this deck is live. Not a mockup. Not a prototype. Live at schnelpay.com today."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9C8" w:sz="1"/>
              <w:left w:val="single" w:color="E0D9C8" w:sz="1"/>
              <w:bottom w:val="single" w:color="E0D9C8" w:sz="1"/>
              <w:right w:val="single" w:color="E0D9C8" w:sz="1"/>
            </w:tcBorders>
            <w:shd w:fill="F9F7F2" w:val="clear"/>
            <w:tcMar>
              <w:top w:type="dxa" w:w="160"/>
              <w:left w:type="dxa" w:w="200"/>
              <w:bottom w:type="dxa" w:w="160"/>
              <w:right w:type="dxa" w:w="200"/>
            </w:tcMar>
          </w:tcPr>
          <w:p>
            <w:pPr>
              <w:spacing w:after="60" w:before="0"/>
            </w:pPr>
            <w:r>
              <w:rPr>
                <w:rFonts w:ascii="Arial" w:cs="Arial" w:eastAsia="Arial" w:hAnsi="Arial"/>
                <w:b/>
                <w:bCs/>
                <w:caps/>
                <w:color w:val="C9A84C"/>
                <w:sz w:val="18"/>
                <w:szCs w:val="18"/>
              </w:rPr>
              <w:t xml:space="preserve">PRESENTER TIP</w:t>
            </w:r>
          </w:p>
          <w:p>
            <w:pPr>
              <w:spacing w:after="0" w:before="0"/>
            </w:pPr>
            <w:r>
              <w:rPr>
                <w:rFonts w:ascii="Arial" w:cs="Arial" w:eastAsia="Arial" w:hAnsi="Arial"/>
                <w:i/>
                <w:iCs/>
                <w:color w:val="2C3340"/>
                <w:sz w:val="21"/>
                <w:szCs w:val="21"/>
              </w:rPr>
              <w:t xml:space="preserve">The word 'quantum-safe' will get attention. Don't explain it yet — just plant the seed.</w:t>
            </w:r>
          </w:p>
        </w:tc>
      </w:tr>
    </w:tbl>
    <w:p>
      <w:pPr>
        <w:pBdr>
          <w:bottom w:val="single" w:color="C9A84C" w:sz="4" w:space="1"/>
        </w:pBdr>
        <w:spacing w:after="200" w:before="200"/>
      </w:pPr>
    </w:p>
    <w:p>
      <w:pPr>
        <w:pStyle w:val="Heading2"/>
        <w:spacing w:after="120" w:before="300"/>
      </w:pPr>
      <w:r>
        <w:rPr>
          <w:rFonts w:ascii="Georgia" w:cs="Georgia" w:eastAsia="Georgia" w:hAnsi="Georgia"/>
          <w:b/>
          <w:bCs/>
          <w:color w:val="2C3340"/>
          <w:sz w:val="26"/>
          <w:szCs w:val="26"/>
        </w:rPr>
        <w:t xml:space="preserve">Slide 2 —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Time</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3340"/>
                <w:sz w:val="19"/>
                <w:szCs w:val="19"/>
              </w:rPr>
              <w:t xml:space="preserve">2–3 minutes</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Goal</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2C3340"/>
                <w:sz w:val="19"/>
                <w:szCs w:val="19"/>
              </w:rPr>
              <w:t xml:space="preserve">Make the investor feel the pain. Four real, quantified problems.</w:t>
            </w:r>
          </w:p>
        </w:tc>
      </w:tr>
    </w:tbl>
    <w:p>
      <w:pPr>
        <w:spacing w:after="80" w:before="80"/>
      </w:pPr>
    </w:p>
    <w:p>
      <w:pPr>
        <w:spacing w:after="60" w:before="80"/>
      </w:pPr>
      <w:r>
        <w:rPr>
          <w:rFonts w:ascii="Arial" w:cs="Arial" w:eastAsia="Arial" w:hAnsi="Arial"/>
          <w:b/>
          <w:bCs/>
          <w:color w:val="2C3340"/>
          <w:sz w:val="21"/>
          <w:szCs w:val="21"/>
        </w:rPr>
        <w:t xml:space="preserve">What to say</w:t>
      </w:r>
    </w:p>
    <w:p>
      <w:pPr>
        <w:pStyle w:val="ListParagraph"/>
        <w:numPr>
          <w:ilvl w:val="0"/>
          <w:numId w:val="2"/>
        </w:numPr>
        <w:spacing w:after="40" w:before="40"/>
      </w:pPr>
      <w:r>
        <w:rPr>
          <w:rFonts w:ascii="Arial" w:cs="Arial" w:eastAsia="Arial" w:hAnsi="Arial"/>
          <w:color w:val="2C3340"/>
          <w:sz w:val="21"/>
          <w:szCs w:val="21"/>
        </w:rPr>
        <w:t xml:space="preserve">Start with the money: "Chargebacks cost the global payments industry $125 billion every year. That's not fraud — that's the price of using reversible payment rails."</w:t>
      </w:r>
    </w:p>
    <w:p>
      <w:pPr>
        <w:pStyle w:val="ListParagraph"/>
        <w:numPr>
          <w:ilvl w:val="0"/>
          <w:numId w:val="2"/>
        </w:numPr>
        <w:spacing w:after="40" w:before="40"/>
      </w:pPr>
      <w:r>
        <w:rPr>
          <w:rFonts w:ascii="Arial" w:cs="Arial" w:eastAsia="Arial" w:hAnsi="Arial"/>
          <w:color w:val="2C3340"/>
          <w:sz w:val="21"/>
          <w:szCs w:val="21"/>
        </w:rPr>
        <w:t xml:space="preserve">Then pivot to existential: "But there's a bigger problem. Every piece of payment security infrastructure in the world — RSA, ECC, the cryptography behind HTTPS, Visa, SWIFT — will be broken by quantum computers. Not might be. Will be. The timeline is 5 to 10 years."</w:t>
      </w:r>
    </w:p>
    <w:p>
      <w:pPr>
        <w:pStyle w:val="ListParagraph"/>
        <w:numPr>
          <w:ilvl w:val="0"/>
          <w:numId w:val="2"/>
        </w:numPr>
        <w:spacing w:after="40" w:before="40"/>
      </w:pPr>
      <w:r>
        <w:rPr>
          <w:rFonts w:ascii="Arial" w:cs="Arial" w:eastAsia="Arial" w:hAnsi="Arial"/>
          <w:color w:val="2C3340"/>
          <w:sz w:val="21"/>
          <w:szCs w:val="21"/>
        </w:rPr>
        <w:t xml:space="preserve">Cross-border: "International payments take 3-5 days and cost 6% or more. $150 trillion in annual cross-border volume moves through a system designed in the 1970s."</w:t>
      </w:r>
    </w:p>
    <w:p>
      <w:pPr>
        <w:pStyle w:val="ListParagraph"/>
        <w:numPr>
          <w:ilvl w:val="0"/>
          <w:numId w:val="2"/>
        </w:numPr>
        <w:spacing w:after="40" w:before="40"/>
      </w:pPr>
      <w:r>
        <w:rPr>
          <w:rFonts w:ascii="Arial" w:cs="Arial" w:eastAsia="Arial" w:hAnsi="Arial"/>
          <w:color w:val="2C3340"/>
          <w:sz w:val="21"/>
          <w:szCs w:val="21"/>
        </w:rPr>
        <w:t xml:space="preserve">Multi-chain fragmentation: "If a merchant wants to accept Bitcoin, Ethereum, and Solana, they need three separate integrations, three dashboards, three fee structures. There is no unified infrastructure."</w:t>
      </w:r>
    </w:p>
    <w:p>
      <w:pPr>
        <w:pStyle w:val="ListParagraph"/>
        <w:numPr>
          <w:ilvl w:val="0"/>
          <w:numId w:val="2"/>
        </w:numPr>
        <w:spacing w:after="40" w:before="40"/>
      </w:pPr>
      <w:r>
        <w:rPr>
          <w:rFonts w:ascii="Arial" w:cs="Arial" w:eastAsia="Arial" w:hAnsi="Arial"/>
          <w:color w:val="2C3340"/>
          <w:sz w:val="21"/>
          <w:szCs w:val="21"/>
        </w:rPr>
        <w:t xml:space="preserve">Land the setup: "SchnelPay solves all four of these. At once."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9C8" w:sz="1"/>
              <w:left w:val="single" w:color="E0D9C8" w:sz="1"/>
              <w:bottom w:val="single" w:color="E0D9C8" w:sz="1"/>
              <w:right w:val="single" w:color="E0D9C8" w:sz="1"/>
            </w:tcBorders>
            <w:shd w:fill="F9F7F2" w:val="clear"/>
            <w:tcMar>
              <w:top w:type="dxa" w:w="160"/>
              <w:left w:type="dxa" w:w="200"/>
              <w:bottom w:type="dxa" w:w="160"/>
              <w:right w:type="dxa" w:w="200"/>
            </w:tcMar>
          </w:tcPr>
          <w:p>
            <w:pPr>
              <w:spacing w:after="60" w:before="0"/>
            </w:pPr>
            <w:r>
              <w:rPr>
                <w:rFonts w:ascii="Arial" w:cs="Arial" w:eastAsia="Arial" w:hAnsi="Arial"/>
                <w:b/>
                <w:bCs/>
                <w:caps/>
                <w:color w:val="C9A84C"/>
                <w:sz w:val="18"/>
                <w:szCs w:val="18"/>
              </w:rPr>
              <w:t xml:space="preserve">PRESENTER TIP</w:t>
            </w:r>
          </w:p>
          <w:p>
            <w:pPr>
              <w:spacing w:after="0" w:before="0"/>
            </w:pPr>
            <w:r>
              <w:rPr>
                <w:rFonts w:ascii="Arial" w:cs="Arial" w:eastAsia="Arial" w:hAnsi="Arial"/>
                <w:i/>
                <w:iCs/>
                <w:color w:val="2C3340"/>
                <w:sz w:val="21"/>
                <w:szCs w:val="21"/>
              </w:rPr>
              <w:t xml:space="preserve">The quantum threat is your most powerful differentiator. Spend extra time here if the room is engaged.</w:t>
            </w:r>
          </w:p>
        </w:tc>
      </w:tr>
    </w:tbl>
    <w:p>
      <w:pPr>
        <w:pBdr>
          <w:bottom w:val="single" w:color="C9A84C" w:sz="4" w:space="1"/>
        </w:pBdr>
        <w:spacing w:after="200" w:before="200"/>
      </w:pPr>
    </w:p>
    <w:p>
      <w:pPr>
        <w:pStyle w:val="Heading2"/>
        <w:spacing w:after="120" w:before="300"/>
      </w:pPr>
      <w:r>
        <w:rPr>
          <w:rFonts w:ascii="Georgia" w:cs="Georgia" w:eastAsia="Georgia" w:hAnsi="Georgia"/>
          <w:b/>
          <w:bCs/>
          <w:color w:val="2C3340"/>
          <w:sz w:val="26"/>
          <w:szCs w:val="26"/>
        </w:rPr>
        <w:t xml:space="preserve">Slide 3 — The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Time</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3340"/>
                <w:sz w:val="19"/>
                <w:szCs w:val="19"/>
              </w:rPr>
              <w:t xml:space="preserve">2 minutes</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Goal</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2C3340"/>
                <w:sz w:val="19"/>
                <w:szCs w:val="19"/>
              </w:rPr>
              <w:t xml:space="preserve">Show you've built the right answer to each problem.</w:t>
            </w:r>
          </w:p>
        </w:tc>
      </w:tr>
    </w:tbl>
    <w:p>
      <w:pPr>
        <w:spacing w:after="80" w:before="80"/>
      </w:pPr>
    </w:p>
    <w:p>
      <w:pPr>
        <w:spacing w:after="60" w:before="80"/>
      </w:pPr>
      <w:r>
        <w:rPr>
          <w:rFonts w:ascii="Arial" w:cs="Arial" w:eastAsia="Arial" w:hAnsi="Arial"/>
          <w:b/>
          <w:bCs/>
          <w:color w:val="2C3340"/>
          <w:sz w:val="21"/>
          <w:szCs w:val="21"/>
        </w:rPr>
        <w:t xml:space="preserve">What to say</w:t>
      </w:r>
    </w:p>
    <w:p>
      <w:pPr>
        <w:pStyle w:val="ListParagraph"/>
        <w:numPr>
          <w:ilvl w:val="0"/>
          <w:numId w:val="2"/>
        </w:numPr>
        <w:spacing w:after="40" w:before="40"/>
      </w:pPr>
      <w:r>
        <w:rPr>
          <w:rFonts w:ascii="Arial" w:cs="Arial" w:eastAsia="Arial" w:hAnsi="Arial"/>
          <w:color w:val="2C3340"/>
          <w:sz w:val="21"/>
          <w:szCs w:val="21"/>
        </w:rPr>
        <w:t xml:space="preserve">Walk through the six solution cards methodically: "Zero chargebacks — blockchain transactions are cryptographically final. No reversals possible."</w:t>
      </w:r>
    </w:p>
    <w:p>
      <w:pPr>
        <w:pStyle w:val="ListParagraph"/>
        <w:numPr>
          <w:ilvl w:val="0"/>
          <w:numId w:val="2"/>
        </w:numPr>
        <w:spacing w:after="40" w:before="40"/>
      </w:pPr>
      <w:r>
        <w:rPr>
          <w:rFonts w:ascii="Arial" w:cs="Arial" w:eastAsia="Arial" w:hAnsi="Arial"/>
          <w:color w:val="2C3340"/>
          <w:sz w:val="21"/>
          <w:szCs w:val="21"/>
        </w:rPr>
        <w:t xml:space="preserve">"QuantumShield™ — our proprietary authentication layer. ML-DSA-65 plus ECDSA hybrid, NIST FIPS 204 certified. No other payment platform has this."</w:t>
      </w:r>
    </w:p>
    <w:p>
      <w:pPr>
        <w:pStyle w:val="ListParagraph"/>
        <w:numPr>
          <w:ilvl w:val="0"/>
          <w:numId w:val="2"/>
        </w:numPr>
        <w:spacing w:after="40" w:before="40"/>
      </w:pPr>
      <w:r>
        <w:rPr>
          <w:rFonts w:ascii="Arial" w:cs="Arial" w:eastAsia="Arial" w:hAnsi="Arial"/>
          <w:color w:val="2C3340"/>
          <w:sz w:val="21"/>
          <w:szCs w:val="21"/>
        </w:rPr>
        <w:t xml:space="preserve">"Multi-chain native — Bitcoin, Ethereum, Solana, plus USDC, USDT, and DAI stablecoins. One platform."</w:t>
      </w:r>
    </w:p>
    <w:p>
      <w:pPr>
        <w:pStyle w:val="ListParagraph"/>
        <w:numPr>
          <w:ilvl w:val="0"/>
          <w:numId w:val="2"/>
        </w:numPr>
        <w:spacing w:after="40" w:before="40"/>
      </w:pPr>
      <w:r>
        <w:rPr>
          <w:rFonts w:ascii="Arial" w:cs="Arial" w:eastAsia="Arial" w:hAnsi="Arial"/>
          <w:color w:val="2C3340"/>
          <w:sz w:val="21"/>
          <w:szCs w:val="21"/>
        </w:rPr>
        <w:t xml:space="preserve">"Unified dashboard — wallets, balances, transactions, tax export, fiat conversion. Everything in one place."</w:t>
      </w:r>
    </w:p>
    <w:p>
      <w:pPr>
        <w:pStyle w:val="ListParagraph"/>
        <w:numPr>
          <w:ilvl w:val="0"/>
          <w:numId w:val="2"/>
        </w:numPr>
        <w:spacing w:after="40" w:before="40"/>
      </w:pPr>
      <w:r>
        <w:rPr>
          <w:rFonts w:ascii="Arial" w:cs="Arial" w:eastAsia="Arial" w:hAnsi="Arial"/>
          <w:color w:val="2C3340"/>
          <w:sz w:val="21"/>
          <w:szCs w:val="21"/>
        </w:rPr>
        <w:t xml:space="preserve">"Two tiers — non-custodial is free forever. Custodial is 0.5% per transaction. Transparent, no surprises."</w:t>
      </w:r>
    </w:p>
    <w:p>
      <w:pPr>
        <w:pStyle w:val="ListParagraph"/>
        <w:numPr>
          <w:ilvl w:val="0"/>
          <w:numId w:val="2"/>
        </w:numPr>
        <w:spacing w:after="40" w:before="40"/>
      </w:pPr>
      <w:r>
        <w:rPr>
          <w:rFonts w:ascii="Arial" w:cs="Arial" w:eastAsia="Arial" w:hAnsi="Arial"/>
          <w:color w:val="2C3340"/>
          <w:sz w:val="21"/>
          <w:szCs w:val="21"/>
        </w:rPr>
        <w:t xml:space="preserve">"Developer API — 19 REST endpoints, live at api.schnelpay.com. Standard Bearer auth. Integrate in minutes."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9C8" w:sz="1"/>
              <w:left w:val="single" w:color="E0D9C8" w:sz="1"/>
              <w:bottom w:val="single" w:color="E0D9C8" w:sz="1"/>
              <w:right w:val="single" w:color="E0D9C8" w:sz="1"/>
            </w:tcBorders>
            <w:shd w:fill="F9F7F2" w:val="clear"/>
            <w:tcMar>
              <w:top w:type="dxa" w:w="160"/>
              <w:left w:type="dxa" w:w="200"/>
              <w:bottom w:type="dxa" w:w="160"/>
              <w:right w:type="dxa" w:w="200"/>
            </w:tcMar>
          </w:tcPr>
          <w:p>
            <w:pPr>
              <w:spacing w:after="60" w:before="0"/>
            </w:pPr>
            <w:r>
              <w:rPr>
                <w:rFonts w:ascii="Arial" w:cs="Arial" w:eastAsia="Arial" w:hAnsi="Arial"/>
                <w:b/>
                <w:bCs/>
                <w:caps/>
                <w:color w:val="C9A84C"/>
                <w:sz w:val="18"/>
                <w:szCs w:val="18"/>
              </w:rPr>
              <w:t xml:space="preserve">PRESENTER TIP</w:t>
            </w:r>
          </w:p>
          <w:p>
            <w:pPr>
              <w:spacing w:after="0" w:before="0"/>
            </w:pPr>
            <w:r>
              <w:rPr>
                <w:rFonts w:ascii="Arial" w:cs="Arial" w:eastAsia="Arial" w:hAnsi="Arial"/>
                <w:i/>
                <w:iCs/>
                <w:color w:val="2C3340"/>
                <w:sz w:val="21"/>
                <w:szCs w:val="21"/>
              </w:rPr>
              <w:t xml:space="preserve">Don't read every card. Pick the top 3 that resonate most with your specific audience and go deeper on those.</w:t>
            </w:r>
          </w:p>
        </w:tc>
      </w:tr>
    </w:tbl>
    <w:p>
      <w:pPr>
        <w:pBdr>
          <w:bottom w:val="single" w:color="C9A84C" w:sz="4" w:space="1"/>
        </w:pBdr>
        <w:spacing w:after="200" w:before="200"/>
      </w:pPr>
    </w:p>
    <w:p>
      <w:pPr>
        <w:pStyle w:val="Heading2"/>
        <w:spacing w:after="120" w:before="300"/>
      </w:pPr>
      <w:r>
        <w:rPr>
          <w:rFonts w:ascii="Georgia" w:cs="Georgia" w:eastAsia="Georgia" w:hAnsi="Georgia"/>
          <w:b/>
          <w:bCs/>
          <w:color w:val="2C3340"/>
          <w:sz w:val="26"/>
          <w:szCs w:val="26"/>
        </w:rPr>
        <w:t xml:space="preserve">Slide 4 —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Time</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3340"/>
                <w:sz w:val="19"/>
                <w:szCs w:val="19"/>
              </w:rPr>
              <w:t xml:space="preserve">1–2 minutes</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Goal</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2C3340"/>
                <w:sz w:val="19"/>
                <w:szCs w:val="19"/>
              </w:rPr>
              <w:t xml:space="preserve">Show the market is large enough to build a significant business.</w:t>
            </w:r>
          </w:p>
        </w:tc>
      </w:tr>
    </w:tbl>
    <w:p>
      <w:pPr>
        <w:spacing w:after="80" w:before="80"/>
      </w:pPr>
    </w:p>
    <w:p>
      <w:pPr>
        <w:spacing w:after="60" w:before="80"/>
      </w:pPr>
      <w:r>
        <w:rPr>
          <w:rFonts w:ascii="Arial" w:cs="Arial" w:eastAsia="Arial" w:hAnsi="Arial"/>
          <w:b/>
          <w:bCs/>
          <w:color w:val="2C3340"/>
          <w:sz w:val="21"/>
          <w:szCs w:val="21"/>
        </w:rPr>
        <w:t xml:space="preserve">What to say</w:t>
      </w:r>
    </w:p>
    <w:p>
      <w:pPr>
        <w:pStyle w:val="ListParagraph"/>
        <w:numPr>
          <w:ilvl w:val="0"/>
          <w:numId w:val="2"/>
        </w:numPr>
        <w:spacing w:after="40" w:before="40"/>
      </w:pPr>
      <w:r>
        <w:rPr>
          <w:rFonts w:ascii="Arial" w:cs="Arial" w:eastAsia="Arial" w:hAnsi="Arial"/>
          <w:color w:val="2C3340"/>
          <w:sz w:val="21"/>
          <w:szCs w:val="21"/>
        </w:rPr>
        <w:t xml:space="preserve">Walk the TAM/SAM/SOM: "The total global payments market is $14 trillion annually. The crypto-enabled segment of B2B payments is $1.2 trillion. Our 5-year serviceable market — quantum-safe payment infrastructure — is a $12 billion opportunity."</w:t>
      </w:r>
    </w:p>
    <w:p>
      <w:pPr>
        <w:pStyle w:val="ListParagraph"/>
        <w:numPr>
          <w:ilvl w:val="0"/>
          <w:numId w:val="2"/>
        </w:numPr>
        <w:spacing w:after="40" w:before="40"/>
      </w:pPr>
      <w:r>
        <w:rPr>
          <w:rFonts w:ascii="Arial" w:cs="Arial" w:eastAsia="Arial" w:hAnsi="Arial"/>
          <w:color w:val="2C3340"/>
          <w:sz w:val="21"/>
          <w:szCs w:val="21"/>
        </w:rPr>
        <w:t xml:space="preserve">Hit the market timing stats on the right: "Global fintech seed funding reached $12 billion in Q1 2026 alone. Stablecoin and payment networks captured 17.5% of all crypto funding last year. The market is moving toward exactly what SchnelPay has built."</w:t>
      </w:r>
    </w:p>
    <w:p>
      <w:pPr>
        <w:pStyle w:val="ListParagraph"/>
        <w:numPr>
          <w:ilvl w:val="0"/>
          <w:numId w:val="2"/>
        </w:numPr>
        <w:spacing w:after="40" w:before="40"/>
      </w:pPr>
      <w:r>
        <w:rPr>
          <w:rFonts w:ascii="Arial" w:cs="Arial" w:eastAsia="Arial" w:hAnsi="Arial"/>
          <w:color w:val="2C3340"/>
          <w:sz w:val="21"/>
          <w:szCs w:val="21"/>
        </w:rPr>
        <w:t xml:space="preserve">Quantum urgency: "The 5-10 year quantum timeline isn't a warning — it's a window. The companies that build quantum-safe infrastructure now will own the market when migration becomes mandatory."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9C8" w:sz="1"/>
              <w:left w:val="single" w:color="E0D9C8" w:sz="1"/>
              <w:bottom w:val="single" w:color="E0D9C8" w:sz="1"/>
              <w:right w:val="single" w:color="E0D9C8" w:sz="1"/>
            </w:tcBorders>
            <w:shd w:fill="F9F7F2" w:val="clear"/>
            <w:tcMar>
              <w:top w:type="dxa" w:w="160"/>
              <w:left w:type="dxa" w:w="200"/>
              <w:bottom w:type="dxa" w:w="160"/>
              <w:right w:type="dxa" w:w="200"/>
            </w:tcMar>
          </w:tcPr>
          <w:p>
            <w:pPr>
              <w:spacing w:after="60" w:before="0"/>
            </w:pPr>
            <w:r>
              <w:rPr>
                <w:rFonts w:ascii="Arial" w:cs="Arial" w:eastAsia="Arial" w:hAnsi="Arial"/>
                <w:b/>
                <w:bCs/>
                <w:caps/>
                <w:color w:val="C9A84C"/>
                <w:sz w:val="18"/>
                <w:szCs w:val="18"/>
              </w:rPr>
              <w:t xml:space="preserve">PRESENTER TIP</w:t>
            </w:r>
          </w:p>
          <w:p>
            <w:pPr>
              <w:spacing w:after="0" w:before="0"/>
            </w:pPr>
            <w:r>
              <w:rPr>
                <w:rFonts w:ascii="Arial" w:cs="Arial" w:eastAsia="Arial" w:hAnsi="Arial"/>
                <w:i/>
                <w:iCs/>
                <w:color w:val="2C3340"/>
                <w:sz w:val="21"/>
                <w:szCs w:val="21"/>
              </w:rPr>
              <w:t xml:space="preserve">If pressed on the SOM, explain it as 1% of the SAM over 5 years — conservative and defensible.</w:t>
            </w:r>
          </w:p>
        </w:tc>
      </w:tr>
    </w:tbl>
    <w:p>
      <w:pPr>
        <w:pBdr>
          <w:bottom w:val="single" w:color="C9A84C" w:sz="4" w:space="1"/>
        </w:pBdr>
        <w:spacing w:after="200" w:before="200"/>
      </w:pPr>
    </w:p>
    <w:p>
      <w:pPr>
        <w:pStyle w:val="Heading2"/>
        <w:spacing w:after="120" w:before="300"/>
      </w:pPr>
      <w:r>
        <w:rPr>
          <w:rFonts w:ascii="Georgia" w:cs="Georgia" w:eastAsia="Georgia" w:hAnsi="Georgia"/>
          <w:b/>
          <w:bCs/>
          <w:color w:val="2C3340"/>
          <w:sz w:val="26"/>
          <w:szCs w:val="26"/>
        </w:rPr>
        <w:t xml:space="preserve">Slide 5 — Product &amp; 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Time</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3340"/>
                <w:sz w:val="19"/>
                <w:szCs w:val="19"/>
              </w:rPr>
              <w:t xml:space="preserve">2–3 minutes</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Goal</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2C3340"/>
                <w:sz w:val="19"/>
                <w:szCs w:val="19"/>
              </w:rPr>
              <w:t xml:space="preserve">Show you execute. A working product built by a solo founder in 6 weeks is remarkable.</w:t>
            </w:r>
          </w:p>
        </w:tc>
      </w:tr>
    </w:tbl>
    <w:p>
      <w:pPr>
        <w:spacing w:after="80" w:before="80"/>
      </w:pPr>
    </w:p>
    <w:p>
      <w:pPr>
        <w:spacing w:after="60" w:before="80"/>
      </w:pPr>
      <w:r>
        <w:rPr>
          <w:rFonts w:ascii="Arial" w:cs="Arial" w:eastAsia="Arial" w:hAnsi="Arial"/>
          <w:b/>
          <w:bCs/>
          <w:color w:val="2C3340"/>
          <w:sz w:val="21"/>
          <w:szCs w:val="21"/>
        </w:rPr>
        <w:t xml:space="preserve">What to say</w:t>
      </w:r>
    </w:p>
    <w:p>
      <w:pPr>
        <w:pStyle w:val="ListParagraph"/>
        <w:numPr>
          <w:ilvl w:val="0"/>
          <w:numId w:val="2"/>
        </w:numPr>
        <w:spacing w:after="40" w:before="40"/>
      </w:pPr>
      <w:r>
        <w:rPr>
          <w:rFonts w:ascii="Arial" w:cs="Arial" w:eastAsia="Arial" w:hAnsi="Arial"/>
          <w:color w:val="2C3340"/>
          <w:sz w:val="21"/>
          <w:szCs w:val="21"/>
        </w:rPr>
        <w:t xml:space="preserve">Lead with the headline: "Six weeks. Solo founder. 19 API endpoints. Live on three domains."</w:t>
      </w:r>
    </w:p>
    <w:p>
      <w:pPr>
        <w:pStyle w:val="ListParagraph"/>
        <w:numPr>
          <w:ilvl w:val="0"/>
          <w:numId w:val="2"/>
        </w:numPr>
        <w:spacing w:after="40" w:before="40"/>
      </w:pPr>
      <w:r>
        <w:rPr>
          <w:rFonts w:ascii="Arial" w:cs="Arial" w:eastAsia="Arial" w:hAnsi="Arial"/>
          <w:color w:val="2C3340"/>
          <w:sz w:val="21"/>
          <w:szCs w:val="21"/>
        </w:rPr>
        <w:t xml:space="preserve">Walk the left column — hit the first four items in white (priority features) and briefly acknowledge the rest.</w:t>
      </w:r>
    </w:p>
    <w:p>
      <w:pPr>
        <w:pStyle w:val="ListParagraph"/>
        <w:numPr>
          <w:ilvl w:val="0"/>
          <w:numId w:val="2"/>
        </w:numPr>
        <w:spacing w:after="40" w:before="40"/>
      </w:pPr>
      <w:r>
        <w:rPr>
          <w:rFonts w:ascii="Arial" w:cs="Arial" w:eastAsia="Arial" w:hAnsi="Arial"/>
          <w:color w:val="2C3340"/>
          <w:sz w:val="21"/>
          <w:szCs w:val="21"/>
        </w:rPr>
        <w:t xml:space="preserve">For traction cards: "We built from zero to live platform in 6 weeks with zero external funding. MoonPay sandbox integration tested end-to-end — I can show you a test transaction completing. Transak KYB submitted and pending production approval. Patent attorney brief prepared for our quantum-safe authentication method."</w:t>
      </w:r>
    </w:p>
    <w:p>
      <w:pPr>
        <w:pStyle w:val="ListParagraph"/>
        <w:numPr>
          <w:ilvl w:val="0"/>
          <w:numId w:val="2"/>
        </w:numPr>
        <w:spacing w:after="40" w:before="40"/>
      </w:pPr>
      <w:r>
        <w:rPr>
          <w:rFonts w:ascii="Arial" w:cs="Arial" w:eastAsia="Arial" w:hAnsi="Arial"/>
          <w:color w:val="2C3340"/>
          <w:sz w:val="21"/>
          <w:szCs w:val="21"/>
        </w:rPr>
        <w:t xml:space="preserve">The $0 raised card is intentional: "We've proven the concept without spending investor capital. What we're raising will be used to grow, not to finish building."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9C8" w:sz="1"/>
              <w:left w:val="single" w:color="E0D9C8" w:sz="1"/>
              <w:bottom w:val="single" w:color="E0D9C8" w:sz="1"/>
              <w:right w:val="single" w:color="E0D9C8" w:sz="1"/>
            </w:tcBorders>
            <w:shd w:fill="F9F7F2" w:val="clear"/>
            <w:tcMar>
              <w:top w:type="dxa" w:w="160"/>
              <w:left w:type="dxa" w:w="200"/>
              <w:bottom w:type="dxa" w:w="160"/>
              <w:right w:type="dxa" w:w="200"/>
            </w:tcMar>
          </w:tcPr>
          <w:p>
            <w:pPr>
              <w:spacing w:after="60" w:before="0"/>
            </w:pPr>
            <w:r>
              <w:rPr>
                <w:rFonts w:ascii="Arial" w:cs="Arial" w:eastAsia="Arial" w:hAnsi="Arial"/>
                <w:b/>
                <w:bCs/>
                <w:caps/>
                <w:color w:val="C9A84C"/>
                <w:sz w:val="18"/>
                <w:szCs w:val="18"/>
              </w:rPr>
              <w:t xml:space="preserve">PRESENTER TIP</w:t>
            </w:r>
          </w:p>
          <w:p>
            <w:pPr>
              <w:spacing w:after="0" w:before="0"/>
            </w:pPr>
            <w:r>
              <w:rPr>
                <w:rFonts w:ascii="Arial" w:cs="Arial" w:eastAsia="Arial" w:hAnsi="Arial"/>
                <w:i/>
                <w:iCs/>
                <w:color w:val="2C3340"/>
                <w:sz w:val="21"/>
                <w:szCs w:val="21"/>
              </w:rPr>
              <w:t xml:space="preserve">If you have a laptop, offer to show the live dashboard. Investors respond strongly to seeing a real product.</w:t>
            </w:r>
          </w:p>
        </w:tc>
      </w:tr>
    </w:tbl>
    <w:p>
      <w:pPr>
        <w:pBdr>
          <w:bottom w:val="single" w:color="C9A84C" w:sz="4" w:space="1"/>
        </w:pBdr>
        <w:spacing w:after="200" w:before="200"/>
      </w:pPr>
    </w:p>
    <w:p>
      <w:pPr>
        <w:pStyle w:val="Heading2"/>
        <w:spacing w:after="120" w:before="300"/>
      </w:pPr>
      <w:r>
        <w:rPr>
          <w:rFonts w:ascii="Georgia" w:cs="Georgia" w:eastAsia="Georgia" w:hAnsi="Georgia"/>
          <w:b/>
          <w:bCs/>
          <w:color w:val="2C3340"/>
          <w:sz w:val="26"/>
          <w:szCs w:val="26"/>
        </w:rPr>
        <w:t xml:space="preserve">Slide 6 —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Time</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3340"/>
                <w:sz w:val="19"/>
                <w:szCs w:val="19"/>
              </w:rPr>
              <w:t xml:space="preserve">1–2 minutes</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Goal</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2C3340"/>
                <w:sz w:val="19"/>
                <w:szCs w:val="19"/>
              </w:rPr>
              <w:t xml:space="preserve">Show you have a clear, simple path to revenue.</w:t>
            </w:r>
          </w:p>
        </w:tc>
      </w:tr>
    </w:tbl>
    <w:p>
      <w:pPr>
        <w:spacing w:after="80" w:before="80"/>
      </w:pPr>
    </w:p>
    <w:p>
      <w:pPr>
        <w:spacing w:after="60" w:before="80"/>
      </w:pPr>
      <w:r>
        <w:rPr>
          <w:rFonts w:ascii="Arial" w:cs="Arial" w:eastAsia="Arial" w:hAnsi="Arial"/>
          <w:b/>
          <w:bCs/>
          <w:color w:val="2C3340"/>
          <w:sz w:val="21"/>
          <w:szCs w:val="21"/>
        </w:rPr>
        <w:t xml:space="preserve">What to say</w:t>
      </w:r>
    </w:p>
    <w:p>
      <w:pPr>
        <w:pStyle w:val="ListParagraph"/>
        <w:numPr>
          <w:ilvl w:val="0"/>
          <w:numId w:val="2"/>
        </w:numPr>
        <w:spacing w:after="40" w:before="40"/>
      </w:pPr>
      <w:r>
        <w:rPr>
          <w:rFonts w:ascii="Arial" w:cs="Arial" w:eastAsia="Arial" w:hAnsi="Arial"/>
          <w:color w:val="2C3340"/>
          <w:sz w:val="21"/>
          <w:szCs w:val="21"/>
        </w:rPr>
        <w:t xml:space="preserve">Keep it simple: "Three tiers. Non-custodial is free — this drives adoption and builds the user base. Custodial is 0.5% per transaction — this is the revenue engine. Enterprise is custom pricing for high-volume clients."</w:t>
      </w:r>
    </w:p>
    <w:p>
      <w:pPr>
        <w:pStyle w:val="ListParagraph"/>
        <w:numPr>
          <w:ilvl w:val="0"/>
          <w:numId w:val="2"/>
        </w:numPr>
        <w:spacing w:after="40" w:before="40"/>
      </w:pPr>
      <w:r>
        <w:rPr>
          <w:rFonts w:ascii="Arial" w:cs="Arial" w:eastAsia="Arial" w:hAnsi="Arial"/>
          <w:color w:val="2C3340"/>
          <w:sz w:val="21"/>
          <w:szCs w:val="21"/>
        </w:rPr>
        <w:t xml:space="preserve">Unit economics: "If we process $10 million in custodial transaction volume — that's $50,000 in revenue. At $100 million, that's $500,000. The model scales linearly with volume."</w:t>
      </w:r>
    </w:p>
    <w:p>
      <w:pPr>
        <w:pStyle w:val="ListParagraph"/>
        <w:numPr>
          <w:ilvl w:val="0"/>
          <w:numId w:val="2"/>
        </w:numPr>
        <w:spacing w:after="40" w:before="40"/>
      </w:pPr>
      <w:r>
        <w:rPr>
          <w:rFonts w:ascii="Arial" w:cs="Arial" w:eastAsia="Arial" w:hAnsi="Arial"/>
          <w:color w:val="2C3340"/>
          <w:sz w:val="21"/>
          <w:szCs w:val="21"/>
        </w:rPr>
        <w:t xml:space="preserve">Comparison: "Stripe charges 2.9% plus 30 cents. Coinbase Commerce charges 1%. We charge 0.5% with no per-transaction fee. We win on price while offering better security."</w:t>
      </w:r>
    </w:p>
    <w:p>
      <w:pPr>
        <w:pStyle w:val="ListParagraph"/>
        <w:numPr>
          <w:ilvl w:val="0"/>
          <w:numId w:val="2"/>
        </w:numPr>
        <w:spacing w:after="40" w:before="40"/>
      </w:pPr>
      <w:r>
        <w:rPr>
          <w:rFonts w:ascii="Arial" w:cs="Arial" w:eastAsia="Arial" w:hAnsi="Arial"/>
          <w:color w:val="2C3340"/>
          <w:sz w:val="21"/>
          <w:szCs w:val="21"/>
        </w:rPr>
        <w:t xml:space="preserve">Non-custodial flywheel: "Free users generate transaction data and build wallet history. When they upgrade to custodial or enterprise, we already know their transaction patterns."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9C8" w:sz="1"/>
              <w:left w:val="single" w:color="E0D9C8" w:sz="1"/>
              <w:bottom w:val="single" w:color="E0D9C8" w:sz="1"/>
              <w:right w:val="single" w:color="E0D9C8" w:sz="1"/>
            </w:tcBorders>
            <w:shd w:fill="F9F7F2" w:val="clear"/>
            <w:tcMar>
              <w:top w:type="dxa" w:w="160"/>
              <w:left w:type="dxa" w:w="200"/>
              <w:bottom w:type="dxa" w:w="160"/>
              <w:right w:type="dxa" w:w="200"/>
            </w:tcMar>
          </w:tcPr>
          <w:p>
            <w:pPr>
              <w:spacing w:after="60" w:before="0"/>
            </w:pPr>
            <w:r>
              <w:rPr>
                <w:rFonts w:ascii="Arial" w:cs="Arial" w:eastAsia="Arial" w:hAnsi="Arial"/>
                <w:b/>
                <w:bCs/>
                <w:caps/>
                <w:color w:val="C9A84C"/>
                <w:sz w:val="18"/>
                <w:szCs w:val="18"/>
              </w:rPr>
              <w:t xml:space="preserve">PRESENTER TIP</w:t>
            </w:r>
          </w:p>
          <w:p>
            <w:pPr>
              <w:spacing w:after="0" w:before="0"/>
            </w:pPr>
            <w:r>
              <w:rPr>
                <w:rFonts w:ascii="Arial" w:cs="Arial" w:eastAsia="Arial" w:hAnsi="Arial"/>
                <w:i/>
                <w:iCs/>
                <w:color w:val="2C3340"/>
                <w:sz w:val="21"/>
                <w:szCs w:val="21"/>
              </w:rPr>
              <w:t xml:space="preserve">Investors love simple revenue models. Don't overcomplicate this slide.</w:t>
            </w:r>
          </w:p>
        </w:tc>
      </w:tr>
    </w:tbl>
    <w:p>
      <w:pPr>
        <w:pBdr>
          <w:bottom w:val="single" w:color="C9A84C" w:sz="4" w:space="1"/>
        </w:pBdr>
        <w:spacing w:after="200" w:before="200"/>
      </w:pPr>
    </w:p>
    <w:p>
      <w:pPr>
        <w:pStyle w:val="Heading2"/>
        <w:spacing w:after="120" w:before="300"/>
      </w:pPr>
      <w:r>
        <w:rPr>
          <w:rFonts w:ascii="Georgia" w:cs="Georgia" w:eastAsia="Georgia" w:hAnsi="Georgia"/>
          <w:b/>
          <w:bCs/>
          <w:color w:val="2C3340"/>
          <w:sz w:val="26"/>
          <w:szCs w:val="26"/>
        </w:rPr>
        <w:t xml:space="preserve">Slide 7 — Technology — QuantumShield™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Time</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3340"/>
                <w:sz w:val="19"/>
                <w:szCs w:val="19"/>
              </w:rPr>
              <w:t xml:space="preserve">2 minutes</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Goal</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2C3340"/>
                <w:sz w:val="19"/>
                <w:szCs w:val="19"/>
              </w:rPr>
              <w:t xml:space="preserve">Establish technical credibility. You don't need to go deep — just show you know what you're doing.</w:t>
            </w:r>
          </w:p>
        </w:tc>
      </w:tr>
    </w:tbl>
    <w:p>
      <w:pPr>
        <w:spacing w:after="80" w:before="80"/>
      </w:pPr>
    </w:p>
    <w:p>
      <w:pPr>
        <w:spacing w:after="60" w:before="80"/>
      </w:pPr>
      <w:r>
        <w:rPr>
          <w:rFonts w:ascii="Arial" w:cs="Arial" w:eastAsia="Arial" w:hAnsi="Arial"/>
          <w:b/>
          <w:bCs/>
          <w:color w:val="2C3340"/>
          <w:sz w:val="21"/>
          <w:szCs w:val="21"/>
        </w:rPr>
        <w:t xml:space="preserve">What to say</w:t>
      </w:r>
    </w:p>
    <w:p>
      <w:pPr>
        <w:pStyle w:val="ListParagraph"/>
        <w:numPr>
          <w:ilvl w:val="0"/>
          <w:numId w:val="2"/>
        </w:numPr>
        <w:spacing w:after="40" w:before="40"/>
      </w:pPr>
      <w:r>
        <w:rPr>
          <w:rFonts w:ascii="Arial" w:cs="Arial" w:eastAsia="Arial" w:hAnsi="Arial"/>
          <w:color w:val="2C3340"/>
          <w:sz w:val="21"/>
          <w:szCs w:val="21"/>
        </w:rPr>
        <w:t xml:space="preserve">Left column — walk the tech stack: "TypeScript backend on Railway, PostgreSQL and Redis for data and caching, Infura for Ethereum, public RPCs for Solana and Bitcoin. Standard, proven infrastructure."</w:t>
      </w:r>
    </w:p>
    <w:p>
      <w:pPr>
        <w:pStyle w:val="ListParagraph"/>
        <w:numPr>
          <w:ilvl w:val="0"/>
          <w:numId w:val="2"/>
        </w:numPr>
        <w:spacing w:after="40" w:before="40"/>
      </w:pPr>
      <w:r>
        <w:rPr>
          <w:rFonts w:ascii="Arial" w:cs="Arial" w:eastAsia="Arial" w:hAnsi="Arial"/>
          <w:color w:val="2C3340"/>
          <w:sz w:val="21"/>
          <w:szCs w:val="21"/>
        </w:rPr>
        <w:t xml:space="preserve">Then hit the differentiator: "The authentication layer is where we're different from everyone. ML-DSA-65 — that's Module-Lattice Digital Signature Algorithm — combined with ECDSA in a hybrid approach. This is the algorithm NIST published in FIPS 204 in August 2024."</w:t>
      </w:r>
    </w:p>
    <w:p>
      <w:pPr>
        <w:pStyle w:val="ListParagraph"/>
        <w:numPr>
          <w:ilvl w:val="0"/>
          <w:numId w:val="2"/>
        </w:numPr>
        <w:spacing w:after="40" w:before="40"/>
      </w:pPr>
      <w:r>
        <w:rPr>
          <w:rFonts w:ascii="Arial" w:cs="Arial" w:eastAsia="Arial" w:hAnsi="Arial"/>
          <w:color w:val="2C3340"/>
          <w:sz w:val="21"/>
          <w:szCs w:val="21"/>
        </w:rPr>
        <w:t xml:space="preserve">Four reasons quantum matters now — hit each one: 5-10 year timeline, harvest now decrypt later attacks, NIST mandated migration, first mover advantage.</w:t>
      </w:r>
    </w:p>
    <w:p>
      <w:pPr>
        <w:pStyle w:val="ListParagraph"/>
        <w:numPr>
          <w:ilvl w:val="0"/>
          <w:numId w:val="2"/>
        </w:numPr>
        <w:spacing w:after="40" w:before="40"/>
      </w:pPr>
      <w:r>
        <w:rPr>
          <w:rFonts w:ascii="Arial" w:cs="Arial" w:eastAsia="Arial" w:hAnsi="Arial"/>
          <w:color w:val="2C3340"/>
          <w:sz w:val="21"/>
          <w:szCs w:val="21"/>
        </w:rPr>
        <w:t xml:space="preserve">Simple analogy: "Imagine you knew in 2005 that all MD5 password hashes would be cracked by 2015. The companies that migrated early didn't lose customer data. The ones that waited did. That's the quantum situation for payment security."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9C8" w:sz="1"/>
              <w:left w:val="single" w:color="E0D9C8" w:sz="1"/>
              <w:bottom w:val="single" w:color="E0D9C8" w:sz="1"/>
              <w:right w:val="single" w:color="E0D9C8" w:sz="1"/>
            </w:tcBorders>
            <w:shd w:fill="F9F7F2" w:val="clear"/>
            <w:tcMar>
              <w:top w:type="dxa" w:w="160"/>
              <w:left w:type="dxa" w:w="200"/>
              <w:bottom w:type="dxa" w:w="160"/>
              <w:right w:type="dxa" w:w="200"/>
            </w:tcMar>
          </w:tcPr>
          <w:p>
            <w:pPr>
              <w:spacing w:after="60" w:before="0"/>
            </w:pPr>
            <w:r>
              <w:rPr>
                <w:rFonts w:ascii="Arial" w:cs="Arial" w:eastAsia="Arial" w:hAnsi="Arial"/>
                <w:b/>
                <w:bCs/>
                <w:caps/>
                <w:color w:val="C9A84C"/>
                <w:sz w:val="18"/>
                <w:szCs w:val="18"/>
              </w:rPr>
              <w:t xml:space="preserve">PRESENTER TIP</w:t>
            </w:r>
          </w:p>
          <w:p>
            <w:pPr>
              <w:spacing w:after="0" w:before="0"/>
            </w:pPr>
            <w:r>
              <w:rPr>
                <w:rFonts w:ascii="Arial" w:cs="Arial" w:eastAsia="Arial" w:hAnsi="Arial"/>
                <w:i/>
                <w:iCs/>
                <w:color w:val="2C3340"/>
                <w:sz w:val="21"/>
                <w:szCs w:val="21"/>
              </w:rPr>
              <w:t xml:space="preserve">If an investor pushes back on the quantum timeline, acknowledge the uncertainty but point to the NIST mandate — the government is already requiring migration.</w:t>
            </w:r>
          </w:p>
        </w:tc>
      </w:tr>
    </w:tbl>
    <w:p>
      <w:pPr>
        <w:pBdr>
          <w:bottom w:val="single" w:color="C9A84C" w:sz="4" w:space="1"/>
        </w:pBdr>
        <w:spacing w:after="200" w:before="200"/>
      </w:pPr>
    </w:p>
    <w:p>
      <w:pPr>
        <w:pStyle w:val="Heading2"/>
        <w:spacing w:after="120" w:before="300"/>
      </w:pPr>
      <w:r>
        <w:rPr>
          <w:rFonts w:ascii="Georgia" w:cs="Georgia" w:eastAsia="Georgia" w:hAnsi="Georgia"/>
          <w:b/>
          <w:bCs/>
          <w:color w:val="2C3340"/>
          <w:sz w:val="26"/>
          <w:szCs w:val="26"/>
        </w:rPr>
        <w:t xml:space="preserve">Slide 8 —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Time</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3340"/>
                <w:sz w:val="19"/>
                <w:szCs w:val="19"/>
              </w:rPr>
              <w:t xml:space="preserve">1–2 minutes</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Goal</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2C3340"/>
                <w:sz w:val="19"/>
                <w:szCs w:val="19"/>
              </w:rPr>
              <w:t xml:space="preserve">Show you understand the competition and have a clear differentiation.</w:t>
            </w:r>
          </w:p>
        </w:tc>
      </w:tr>
    </w:tbl>
    <w:p>
      <w:pPr>
        <w:spacing w:after="80" w:before="80"/>
      </w:pPr>
    </w:p>
    <w:p>
      <w:pPr>
        <w:spacing w:after="60" w:before="80"/>
      </w:pPr>
      <w:r>
        <w:rPr>
          <w:rFonts w:ascii="Arial" w:cs="Arial" w:eastAsia="Arial" w:hAnsi="Arial"/>
          <w:b/>
          <w:bCs/>
          <w:color w:val="2C3340"/>
          <w:sz w:val="21"/>
          <w:szCs w:val="21"/>
        </w:rPr>
        <w:t xml:space="preserve">What to say</w:t>
      </w:r>
    </w:p>
    <w:p>
      <w:pPr>
        <w:pStyle w:val="ListParagraph"/>
        <w:numPr>
          <w:ilvl w:val="0"/>
          <w:numId w:val="2"/>
        </w:numPr>
        <w:spacing w:after="40" w:before="40"/>
      </w:pPr>
      <w:r>
        <w:rPr>
          <w:rFonts w:ascii="Arial" w:cs="Arial" w:eastAsia="Arial" w:hAnsi="Arial"/>
          <w:color w:val="2C3340"/>
          <w:sz w:val="21"/>
          <w:szCs w:val="21"/>
        </w:rPr>
        <w:t xml:space="preserve">Don't be dismissive of competitors: "Coinbase Commerce, BitPay, CoinGate, and OpenNode are all credible platforms. We respect what they've built."</w:t>
      </w:r>
    </w:p>
    <w:p>
      <w:pPr>
        <w:pStyle w:val="ListParagraph"/>
        <w:numPr>
          <w:ilvl w:val="0"/>
          <w:numId w:val="2"/>
        </w:numPr>
        <w:spacing w:after="40" w:before="40"/>
      </w:pPr>
      <w:r>
        <w:rPr>
          <w:rFonts w:ascii="Arial" w:cs="Arial" w:eastAsia="Arial" w:hAnsi="Arial"/>
          <w:color w:val="2C3340"/>
          <w:sz w:val="21"/>
          <w:szCs w:val="21"/>
        </w:rPr>
        <w:t xml:space="preserve">Point to the table: "But look at what none of them have. No quantum-safe authentication. No unified multi-chain non-custodial model. No integrated tax export. And critically — none of them were built for the post-quantum era."</w:t>
      </w:r>
    </w:p>
    <w:p>
      <w:pPr>
        <w:pStyle w:val="ListParagraph"/>
        <w:numPr>
          <w:ilvl w:val="0"/>
          <w:numId w:val="2"/>
        </w:numPr>
        <w:spacing w:after="40" w:before="40"/>
      </w:pPr>
      <w:r>
        <w:rPr>
          <w:rFonts w:ascii="Arial" w:cs="Arial" w:eastAsia="Arial" w:hAnsi="Arial"/>
          <w:color w:val="2C3340"/>
          <w:sz w:val="21"/>
          <w:szCs w:val="21"/>
        </w:rPr>
        <w:t xml:space="preserve">"SchnelPay is the only platform in this table with all six capabilities. And quantum-safe authentication is not something you bolt on later — it requires rearchitecting the entire auth stack. We built it in from day one."</w:t>
      </w:r>
    </w:p>
    <w:p>
      <w:pPr>
        <w:pStyle w:val="ListParagraph"/>
        <w:numPr>
          <w:ilvl w:val="0"/>
          <w:numId w:val="2"/>
        </w:numPr>
        <w:spacing w:after="40" w:before="40"/>
      </w:pPr>
      <w:r>
        <w:rPr>
          <w:rFonts w:ascii="Arial" w:cs="Arial" w:eastAsia="Arial" w:hAnsi="Arial"/>
          <w:color w:val="2C3340"/>
          <w:sz w:val="21"/>
          <w:szCs w:val="21"/>
        </w:rPr>
        <w:t xml:space="preserve">Moat: "The patent attorney brief for our QuantumShield™ implementation is prepared. If granted, this becomes a defensible technical moat."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9C8" w:sz="1"/>
              <w:left w:val="single" w:color="E0D9C8" w:sz="1"/>
              <w:bottom w:val="single" w:color="E0D9C8" w:sz="1"/>
              <w:right w:val="single" w:color="E0D9C8" w:sz="1"/>
            </w:tcBorders>
            <w:shd w:fill="F9F7F2" w:val="clear"/>
            <w:tcMar>
              <w:top w:type="dxa" w:w="160"/>
              <w:left w:type="dxa" w:w="200"/>
              <w:bottom w:type="dxa" w:w="160"/>
              <w:right w:type="dxa" w:w="200"/>
            </w:tcMar>
          </w:tcPr>
          <w:p>
            <w:pPr>
              <w:spacing w:after="60" w:before="0"/>
            </w:pPr>
            <w:r>
              <w:rPr>
                <w:rFonts w:ascii="Arial" w:cs="Arial" w:eastAsia="Arial" w:hAnsi="Arial"/>
                <w:b/>
                <w:bCs/>
                <w:caps/>
                <w:color w:val="C9A84C"/>
                <w:sz w:val="18"/>
                <w:szCs w:val="18"/>
              </w:rPr>
              <w:t xml:space="preserve">PRESENTER TIP</w:t>
            </w:r>
          </w:p>
          <w:p>
            <w:pPr>
              <w:spacing w:after="0" w:before="0"/>
            </w:pPr>
            <w:r>
              <w:rPr>
                <w:rFonts w:ascii="Arial" w:cs="Arial" w:eastAsia="Arial" w:hAnsi="Arial"/>
                <w:i/>
                <w:iCs/>
                <w:color w:val="2C3340"/>
                <w:sz w:val="21"/>
                <w:szCs w:val="21"/>
              </w:rPr>
              <w:t xml:space="preserve">The green checkmarks on our row do the work visually. Let the table speak first, then narrate.</w:t>
            </w:r>
          </w:p>
        </w:tc>
      </w:tr>
    </w:tbl>
    <w:p>
      <w:pPr>
        <w:pBdr>
          <w:bottom w:val="single" w:color="C9A84C" w:sz="4" w:space="1"/>
        </w:pBdr>
        <w:spacing w:after="200" w:before="200"/>
      </w:pPr>
    </w:p>
    <w:p>
      <w:pPr>
        <w:pStyle w:val="Heading2"/>
        <w:spacing w:after="120" w:before="300"/>
      </w:pPr>
      <w:r>
        <w:rPr>
          <w:rFonts w:ascii="Georgia" w:cs="Georgia" w:eastAsia="Georgia" w:hAnsi="Georgia"/>
          <w:b/>
          <w:bCs/>
          <w:color w:val="2C3340"/>
          <w:sz w:val="26"/>
          <w:szCs w:val="26"/>
        </w:rPr>
        <w:t xml:space="preserve">Slide 9 —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Time</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3340"/>
                <w:sz w:val="19"/>
                <w:szCs w:val="19"/>
              </w:rPr>
              <w:t xml:space="preserve">1–2 minutes</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Goal</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2C3340"/>
                <w:sz w:val="19"/>
                <w:szCs w:val="19"/>
              </w:rPr>
              <w:t xml:space="preserve">Show you have a credible plan for where the funding goes.</w:t>
            </w:r>
          </w:p>
        </w:tc>
      </w:tr>
    </w:tbl>
    <w:p>
      <w:pPr>
        <w:spacing w:after="80" w:before="80"/>
      </w:pPr>
    </w:p>
    <w:p>
      <w:pPr>
        <w:spacing w:after="60" w:before="80"/>
      </w:pPr>
      <w:r>
        <w:rPr>
          <w:rFonts w:ascii="Arial" w:cs="Arial" w:eastAsia="Arial" w:hAnsi="Arial"/>
          <w:b/>
          <w:bCs/>
          <w:color w:val="2C3340"/>
          <w:sz w:val="21"/>
          <w:szCs w:val="21"/>
        </w:rPr>
        <w:t xml:space="preserve">What to say</w:t>
      </w:r>
    </w:p>
    <w:p>
      <w:pPr>
        <w:pStyle w:val="ListParagraph"/>
        <w:numPr>
          <w:ilvl w:val="0"/>
          <w:numId w:val="2"/>
        </w:numPr>
        <w:spacing w:after="40" w:before="40"/>
      </w:pPr>
      <w:r>
        <w:rPr>
          <w:rFonts w:ascii="Arial" w:cs="Arial" w:eastAsia="Arial" w:hAnsi="Arial"/>
          <w:color w:val="2C3340"/>
          <w:sz w:val="21"/>
          <w:szCs w:val="21"/>
        </w:rPr>
        <w:t xml:space="preserve">Phase 1 is done: "Everything in Phase 1 is already complete. Live platform, 19 API endpoints, MoonPay and Transak integrated, QuantumShield™ authentication deployed, LLC formation underway."</w:t>
      </w:r>
    </w:p>
    <w:p>
      <w:pPr>
        <w:pStyle w:val="ListParagraph"/>
        <w:numPr>
          <w:ilvl w:val="0"/>
          <w:numId w:val="2"/>
        </w:numPr>
        <w:spacing w:after="40" w:before="40"/>
      </w:pPr>
      <w:r>
        <w:rPr>
          <w:rFonts w:ascii="Arial" w:cs="Arial" w:eastAsia="Arial" w:hAnsi="Arial"/>
          <w:color w:val="2C3340"/>
          <w:sz w:val="21"/>
          <w:szCs w:val="21"/>
        </w:rPr>
        <w:t xml:space="preserve">Phase 2 is the funding target: "With this raise, Phase 2 completes in Q3 2026. MoonPay and Transak go live in production. First paying custodial users onboarded. Public developer API launches. Patent filed. We begin building the enterprise sales pipeline."</w:t>
      </w:r>
    </w:p>
    <w:p>
      <w:pPr>
        <w:pStyle w:val="ListParagraph"/>
        <w:numPr>
          <w:ilvl w:val="0"/>
          <w:numId w:val="2"/>
        </w:numPr>
        <w:spacing w:after="40" w:before="40"/>
      </w:pPr>
      <w:r>
        <w:rPr>
          <w:rFonts w:ascii="Arial" w:cs="Arial" w:eastAsia="Arial" w:hAnsi="Arial"/>
          <w:color w:val="2C3340"/>
          <w:sz w:val="21"/>
          <w:szCs w:val="21"/>
        </w:rPr>
        <w:t xml:space="preserve">Phase 3 is the Series A story: "By Q4 2026 to Q2 2027, we're expanding to 5 more blockchains, launching the mobile app, and preparing the embedded finance SDK for enterprise clients. That's the Series A story."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9C8" w:sz="1"/>
              <w:left w:val="single" w:color="E0D9C8" w:sz="1"/>
              <w:bottom w:val="single" w:color="E0D9C8" w:sz="1"/>
              <w:right w:val="single" w:color="E0D9C8" w:sz="1"/>
            </w:tcBorders>
            <w:shd w:fill="F9F7F2" w:val="clear"/>
            <w:tcMar>
              <w:top w:type="dxa" w:w="160"/>
              <w:left w:type="dxa" w:w="200"/>
              <w:bottom w:type="dxa" w:w="160"/>
              <w:right w:type="dxa" w:w="200"/>
            </w:tcMar>
          </w:tcPr>
          <w:p>
            <w:pPr>
              <w:spacing w:after="60" w:before="0"/>
            </w:pPr>
            <w:r>
              <w:rPr>
                <w:rFonts w:ascii="Arial" w:cs="Arial" w:eastAsia="Arial" w:hAnsi="Arial"/>
                <w:b/>
                <w:bCs/>
                <w:caps/>
                <w:color w:val="C9A84C"/>
                <w:sz w:val="18"/>
                <w:szCs w:val="18"/>
              </w:rPr>
              <w:t xml:space="preserve">PRESENTER TIP</w:t>
            </w:r>
          </w:p>
          <w:p>
            <w:pPr>
              <w:spacing w:after="0" w:before="0"/>
            </w:pPr>
            <w:r>
              <w:rPr>
                <w:rFonts w:ascii="Arial" w:cs="Arial" w:eastAsia="Arial" w:hAnsi="Arial"/>
                <w:i/>
                <w:iCs/>
                <w:color w:val="2C3340"/>
                <w:sz w:val="21"/>
                <w:szCs w:val="21"/>
              </w:rPr>
              <w:t xml:space="preserve">Be specific about Phase 2. Investors want to know exactly what the money is for.</w:t>
            </w:r>
          </w:p>
        </w:tc>
      </w:tr>
    </w:tbl>
    <w:p>
      <w:pPr>
        <w:pBdr>
          <w:bottom w:val="single" w:color="C9A84C" w:sz="4" w:space="1"/>
        </w:pBdr>
        <w:spacing w:after="200" w:before="200"/>
      </w:pPr>
    </w:p>
    <w:p>
      <w:pPr>
        <w:pStyle w:val="Heading2"/>
        <w:spacing w:after="120" w:before="300"/>
      </w:pPr>
      <w:r>
        <w:rPr>
          <w:rFonts w:ascii="Georgia" w:cs="Georgia" w:eastAsia="Georgia" w:hAnsi="Georgia"/>
          <w:b/>
          <w:bCs/>
          <w:color w:val="2C3340"/>
          <w:sz w:val="26"/>
          <w:szCs w:val="26"/>
        </w:rPr>
        <w:t xml:space="preserve">Slide 10 —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Time</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3340"/>
                <w:sz w:val="19"/>
                <w:szCs w:val="19"/>
              </w:rPr>
              <w:t xml:space="preserve">1–2 minutes</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Goal</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2C3340"/>
                <w:sz w:val="19"/>
                <w:szCs w:val="19"/>
              </w:rPr>
              <w:t xml:space="preserve">Build personal credibility. Address the solo founder elephant in the room proactively.</w:t>
            </w:r>
          </w:p>
        </w:tc>
      </w:tr>
    </w:tbl>
    <w:p>
      <w:pPr>
        <w:spacing w:after="80" w:before="80"/>
      </w:pPr>
    </w:p>
    <w:p>
      <w:pPr>
        <w:spacing w:after="60" w:before="80"/>
      </w:pPr>
      <w:r>
        <w:rPr>
          <w:rFonts w:ascii="Arial" w:cs="Arial" w:eastAsia="Arial" w:hAnsi="Arial"/>
          <w:b/>
          <w:bCs/>
          <w:color w:val="2C3340"/>
          <w:sz w:val="21"/>
          <w:szCs w:val="21"/>
        </w:rPr>
        <w:t xml:space="preserve">What to say</w:t>
      </w:r>
    </w:p>
    <w:p>
      <w:pPr>
        <w:pStyle w:val="ListParagraph"/>
        <w:numPr>
          <w:ilvl w:val="0"/>
          <w:numId w:val="2"/>
        </w:numPr>
        <w:spacing w:after="40" w:before="40"/>
      </w:pPr>
      <w:r>
        <w:rPr>
          <w:rFonts w:ascii="Arial" w:cs="Arial" w:eastAsia="Arial" w:hAnsi="Arial"/>
          <w:color w:val="2C3340"/>
          <w:sz w:val="21"/>
          <w:szCs w:val="21"/>
        </w:rPr>
        <w:t xml:space="preserve">Lead with the proof: "I built everything you've seen in this deck — three live platforms, 19 API endpoints, quantum-safe authentication — in six weeks, as a solo founder, with zero external capital."</w:t>
      </w:r>
    </w:p>
    <w:p>
      <w:pPr>
        <w:pStyle w:val="ListParagraph"/>
        <w:numPr>
          <w:ilvl w:val="0"/>
          <w:numId w:val="2"/>
        </w:numPr>
        <w:spacing w:after="40" w:before="40"/>
      </w:pPr>
      <w:r>
        <w:rPr>
          <w:rFonts w:ascii="Arial" w:cs="Arial" w:eastAsia="Arial" w:hAnsi="Arial"/>
          <w:color w:val="2C3340"/>
          <w:sz w:val="21"/>
          <w:szCs w:val="21"/>
        </w:rPr>
        <w:t xml:space="preserve">Skills: "Full-stack development, blockchain integration across three networks, post-quantum cryptography implementation, product design. SchnelPay is not a concept — it's a live payment platform I built end to end."</w:t>
      </w:r>
    </w:p>
    <w:p>
      <w:pPr>
        <w:pStyle w:val="ListParagraph"/>
        <w:numPr>
          <w:ilvl w:val="0"/>
          <w:numId w:val="2"/>
        </w:numPr>
        <w:spacing w:after="40" w:before="40"/>
      </w:pPr>
      <w:r>
        <w:rPr>
          <w:rFonts w:ascii="Arial" w:cs="Arial" w:eastAsia="Arial" w:hAnsi="Arial"/>
          <w:color w:val="2C3340"/>
          <w:sz w:val="21"/>
          <w:szCs w:val="21"/>
        </w:rPr>
        <w:t xml:space="preserve">Address solo founder directly: "I'm actively looking for a technical co-founder with smart contract or security engineering experience. The right person will come in at a co-founder equity level. I'd rather have the right partner than move fast with the wrong one."</w:t>
      </w:r>
    </w:p>
    <w:p>
      <w:pPr>
        <w:pStyle w:val="ListParagraph"/>
        <w:numPr>
          <w:ilvl w:val="0"/>
          <w:numId w:val="2"/>
        </w:numPr>
        <w:spacing w:after="40" w:before="40"/>
      </w:pPr>
      <w:r>
        <w:rPr>
          <w:rFonts w:ascii="Arial" w:cs="Arial" w:eastAsia="Arial" w:hAnsi="Arial"/>
          <w:color w:val="2C3340"/>
          <w:sz w:val="21"/>
          <w:szCs w:val="21"/>
        </w:rPr>
        <w:t xml:space="preserve">Team build plan: "With funding, the first hires are a BD lead and a compliance specialist. The engineering scales after product-market fit is confirmed."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9C8" w:sz="1"/>
              <w:left w:val="single" w:color="E0D9C8" w:sz="1"/>
              <w:bottom w:val="single" w:color="E0D9C8" w:sz="1"/>
              <w:right w:val="single" w:color="E0D9C8" w:sz="1"/>
            </w:tcBorders>
            <w:shd w:fill="F9F7F2" w:val="clear"/>
            <w:tcMar>
              <w:top w:type="dxa" w:w="160"/>
              <w:left w:type="dxa" w:w="200"/>
              <w:bottom w:type="dxa" w:w="160"/>
              <w:right w:type="dxa" w:w="200"/>
            </w:tcMar>
          </w:tcPr>
          <w:p>
            <w:pPr>
              <w:spacing w:after="60" w:before="0"/>
            </w:pPr>
            <w:r>
              <w:rPr>
                <w:rFonts w:ascii="Arial" w:cs="Arial" w:eastAsia="Arial" w:hAnsi="Arial"/>
                <w:b/>
                <w:bCs/>
                <w:caps/>
                <w:color w:val="C9A84C"/>
                <w:sz w:val="18"/>
                <w:szCs w:val="18"/>
              </w:rPr>
              <w:t xml:space="preserve">PRESENTER TIP</w:t>
            </w:r>
          </w:p>
          <w:p>
            <w:pPr>
              <w:spacing w:after="0" w:before="0"/>
            </w:pPr>
            <w:r>
              <w:rPr>
                <w:rFonts w:ascii="Arial" w:cs="Arial" w:eastAsia="Arial" w:hAnsi="Arial"/>
                <w:i/>
                <w:iCs/>
                <w:color w:val="2C3340"/>
                <w:sz w:val="21"/>
                <w:szCs w:val="21"/>
              </w:rPr>
              <w:t xml:space="preserve">Investors often worry about solo founders. Turn it into a strength — you shipped a live product alone. That's evidence of execution, not a risk.</w:t>
            </w:r>
          </w:p>
        </w:tc>
      </w:tr>
    </w:tbl>
    <w:p>
      <w:pPr>
        <w:pBdr>
          <w:bottom w:val="single" w:color="C9A84C" w:sz="4" w:space="1"/>
        </w:pBdr>
        <w:spacing w:after="200" w:before="200"/>
      </w:pPr>
    </w:p>
    <w:p>
      <w:pPr>
        <w:pStyle w:val="Heading2"/>
        <w:spacing w:after="120" w:before="300"/>
      </w:pPr>
      <w:r>
        <w:rPr>
          <w:rFonts w:ascii="Georgia" w:cs="Georgia" w:eastAsia="Georgia" w:hAnsi="Georgia"/>
          <w:b/>
          <w:bCs/>
          <w:color w:val="2C3340"/>
          <w:sz w:val="26"/>
          <w:szCs w:val="26"/>
        </w:rPr>
        <w:t xml:space="preserve">Slide 11 — The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Time</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3340"/>
                <w:sz w:val="19"/>
                <w:szCs w:val="19"/>
              </w:rPr>
              <w:t xml:space="preserve">1–2 minutes</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Goal</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2C3340"/>
                <w:sz w:val="19"/>
                <w:szCs w:val="19"/>
              </w:rPr>
              <w:t xml:space="preserve">Be clear, specific, and confident about what you're asking for.</w:t>
            </w:r>
          </w:p>
        </w:tc>
      </w:tr>
    </w:tbl>
    <w:p>
      <w:pPr>
        <w:spacing w:after="80" w:before="80"/>
      </w:pPr>
    </w:p>
    <w:p>
      <w:pPr>
        <w:spacing w:after="60" w:before="80"/>
      </w:pPr>
      <w:r>
        <w:rPr>
          <w:rFonts w:ascii="Arial" w:cs="Arial" w:eastAsia="Arial" w:hAnsi="Arial"/>
          <w:b/>
          <w:bCs/>
          <w:color w:val="2C3340"/>
          <w:sz w:val="21"/>
          <w:szCs w:val="21"/>
        </w:rPr>
        <w:t xml:space="preserve">What to say</w:t>
      </w:r>
    </w:p>
    <w:p>
      <w:pPr>
        <w:pStyle w:val="ListParagraph"/>
        <w:numPr>
          <w:ilvl w:val="0"/>
          <w:numId w:val="2"/>
        </w:numPr>
        <w:spacing w:after="40" w:before="40"/>
      </w:pPr>
      <w:r>
        <w:rPr>
          <w:rFonts w:ascii="Arial" w:cs="Arial" w:eastAsia="Arial" w:hAnsi="Arial"/>
          <w:color w:val="2C3340"/>
          <w:sz w:val="21"/>
          <w:szCs w:val="21"/>
        </w:rPr>
        <w:t xml:space="preserve">Be direct: "We're raising $500,000 in a pre-seed SAFE with an 18-month runway."</w:t>
      </w:r>
    </w:p>
    <w:p>
      <w:pPr>
        <w:pStyle w:val="ListParagraph"/>
        <w:numPr>
          <w:ilvl w:val="0"/>
          <w:numId w:val="2"/>
        </w:numPr>
        <w:spacing w:after="40" w:before="40"/>
      </w:pPr>
      <w:r>
        <w:rPr>
          <w:rFonts w:ascii="Arial" w:cs="Arial" w:eastAsia="Arial" w:hAnsi="Arial"/>
          <w:color w:val="2C3340"/>
          <w:sz w:val="21"/>
          <w:szCs w:val="21"/>
        </w:rPr>
        <w:t xml:space="preserve">Walk the use of funds: "40% — $200K — goes to product and engineering. Smart contracts, mobile app, additional blockchain support. 25% — $125K — goes to compliance and legal. LLC formation, patent filing, MoonPay and Transak production licenses, regulatory counsel. 20% — $100K — business development. First merchant onboarding, partnership development, enterprise contracts. 15% — $75K — operations."</w:t>
      </w:r>
    </w:p>
    <w:p>
      <w:pPr>
        <w:pStyle w:val="ListParagraph"/>
        <w:numPr>
          <w:ilvl w:val="0"/>
          <w:numId w:val="2"/>
        </w:numPr>
        <w:spacing w:after="40" w:before="40"/>
      </w:pPr>
      <w:r>
        <w:rPr>
          <w:rFonts w:ascii="Arial" w:cs="Arial" w:eastAsia="Arial" w:hAnsi="Arial"/>
          <w:color w:val="2C3340"/>
          <w:sz w:val="21"/>
          <w:szCs w:val="21"/>
        </w:rPr>
        <w:t xml:space="preserve">Milestone clarity: "At the end of 18 months, we have MoonPay and Transak live in production, 100 paying custodial users, patent filed, public API launched, and a Series A narrative ready."</w:t>
      </w:r>
    </w:p>
    <w:p>
      <w:pPr>
        <w:pStyle w:val="ListParagraph"/>
        <w:numPr>
          <w:ilvl w:val="0"/>
          <w:numId w:val="2"/>
        </w:numPr>
        <w:spacing w:after="40" w:before="40"/>
      </w:pPr>
      <w:r>
        <w:rPr>
          <w:rFonts w:ascii="Arial" w:cs="Arial" w:eastAsia="Arial" w:hAnsi="Arial"/>
          <w:color w:val="2C3340"/>
          <w:sz w:val="21"/>
          <w:szCs w:val="21"/>
        </w:rPr>
        <w:t xml:space="preserve">Close with confidence: "The product is built. The market is ready. The regulation is moving our way. We're raising to accelerate, not to start."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9C8" w:sz="1"/>
              <w:left w:val="single" w:color="E0D9C8" w:sz="1"/>
              <w:bottom w:val="single" w:color="E0D9C8" w:sz="1"/>
              <w:right w:val="single" w:color="E0D9C8" w:sz="1"/>
            </w:tcBorders>
            <w:shd w:fill="F9F7F2" w:val="clear"/>
            <w:tcMar>
              <w:top w:type="dxa" w:w="160"/>
              <w:left w:type="dxa" w:w="200"/>
              <w:bottom w:type="dxa" w:w="160"/>
              <w:right w:type="dxa" w:w="200"/>
            </w:tcMar>
          </w:tcPr>
          <w:p>
            <w:pPr>
              <w:spacing w:after="60" w:before="0"/>
            </w:pPr>
            <w:r>
              <w:rPr>
                <w:rFonts w:ascii="Arial" w:cs="Arial" w:eastAsia="Arial" w:hAnsi="Arial"/>
                <w:b/>
                <w:bCs/>
                <w:caps/>
                <w:color w:val="C9A84C"/>
                <w:sz w:val="18"/>
                <w:szCs w:val="18"/>
              </w:rPr>
              <w:t xml:space="preserve">PRESENTER TIP</w:t>
            </w:r>
          </w:p>
          <w:p>
            <w:pPr>
              <w:spacing w:after="0" w:before="0"/>
            </w:pPr>
            <w:r>
              <w:rPr>
                <w:rFonts w:ascii="Arial" w:cs="Arial" w:eastAsia="Arial" w:hAnsi="Arial"/>
                <w:i/>
                <w:iCs/>
                <w:color w:val="2C3340"/>
                <w:sz w:val="21"/>
                <w:szCs w:val="21"/>
              </w:rPr>
              <w:t xml:space="preserve">Never apologise for the amount. $500K is a reasonable pre-seed ask for a live product with this scope.</w:t>
            </w:r>
          </w:p>
        </w:tc>
      </w:tr>
    </w:tbl>
    <w:p>
      <w:pPr>
        <w:pBdr>
          <w:bottom w:val="single" w:color="C9A84C" w:sz="4" w:space="1"/>
        </w:pBdr>
        <w:spacing w:after="200" w:before="200"/>
      </w:pPr>
    </w:p>
    <w:p>
      <w:pPr>
        <w:pStyle w:val="Heading2"/>
        <w:spacing w:after="120" w:before="300"/>
      </w:pPr>
      <w:r>
        <w:rPr>
          <w:rFonts w:ascii="Georgia" w:cs="Georgia" w:eastAsia="Georgia" w:hAnsi="Georgia"/>
          <w:b/>
          <w:bCs/>
          <w:color w:val="2C3340"/>
          <w:sz w:val="26"/>
          <w:szCs w:val="26"/>
        </w:rPr>
        <w:t xml:space="preserve">Slide 12 — Close —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Time</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3340"/>
                <w:sz w:val="19"/>
                <w:szCs w:val="19"/>
              </w:rPr>
              <w:t xml:space="preserve">30 seconds</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9A84C"/>
                <w:sz w:val="19"/>
                <w:szCs w:val="19"/>
              </w:rPr>
              <w:t xml:space="preserve">Goal</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2C3340"/>
                <w:sz w:val="19"/>
                <w:szCs w:val="19"/>
              </w:rPr>
              <w:t xml:space="preserve">End with energy. Make it easy to follow up.</w:t>
            </w:r>
          </w:p>
        </w:tc>
      </w:tr>
    </w:tbl>
    <w:p>
      <w:pPr>
        <w:spacing w:after="80" w:before="80"/>
      </w:pPr>
    </w:p>
    <w:p>
      <w:pPr>
        <w:spacing w:after="60" w:before="80"/>
      </w:pPr>
      <w:r>
        <w:rPr>
          <w:rFonts w:ascii="Arial" w:cs="Arial" w:eastAsia="Arial" w:hAnsi="Arial"/>
          <w:b/>
          <w:bCs/>
          <w:color w:val="2C3340"/>
          <w:sz w:val="21"/>
          <w:szCs w:val="21"/>
        </w:rPr>
        <w:t xml:space="preserve">What to say</w:t>
      </w:r>
    </w:p>
    <w:p>
      <w:pPr>
        <w:pStyle w:val="ListParagraph"/>
        <w:numPr>
          <w:ilvl w:val="0"/>
          <w:numId w:val="2"/>
        </w:numPr>
        <w:spacing w:after="40" w:before="40"/>
      </w:pPr>
      <w:r>
        <w:rPr>
          <w:rFonts w:ascii="Arial" w:cs="Arial" w:eastAsia="Arial" w:hAnsi="Arial"/>
          <w:color w:val="2C3340"/>
          <w:sz w:val="21"/>
          <w:szCs w:val="21"/>
        </w:rPr>
        <w:t xml:space="preserve">Don't summarise — close: "SchnelPay is live. The platform works. The market needs it. The timing is right."</w:t>
      </w:r>
    </w:p>
    <w:p>
      <w:pPr>
        <w:pStyle w:val="ListParagraph"/>
        <w:numPr>
          <w:ilvl w:val="0"/>
          <w:numId w:val="2"/>
        </w:numPr>
        <w:spacing w:after="40" w:before="40"/>
      </w:pPr>
      <w:r>
        <w:rPr>
          <w:rFonts w:ascii="Arial" w:cs="Arial" w:eastAsia="Arial" w:hAnsi="Arial"/>
          <w:color w:val="2C3340"/>
          <w:sz w:val="21"/>
          <w:szCs w:val="21"/>
        </w:rPr>
        <w:t xml:space="preserve">"I'd love to continue this conversation. You can reach me directly at hello@schnelpay.com. The platform is live at schnelpay.com — I encourage you to sign up and explore it."</w:t>
      </w:r>
    </w:p>
    <w:p>
      <w:pPr>
        <w:pStyle w:val="ListParagraph"/>
        <w:numPr>
          <w:ilvl w:val="0"/>
          <w:numId w:val="2"/>
        </w:numPr>
        <w:spacing w:after="40" w:before="40"/>
      </w:pPr>
      <w:r>
        <w:rPr>
          <w:rFonts w:ascii="Arial" w:cs="Arial" w:eastAsia="Arial" w:hAnsi="Arial"/>
          <w:color w:val="2C3340"/>
          <w:sz w:val="21"/>
          <w:szCs w:val="21"/>
        </w:rPr>
        <w:t xml:space="preserve">"What questions do you have?"</w:t>
      </w:r>
    </w:p>
    <w:p>
      <w:pPr>
        <w:pStyle w:val="ListParagraph"/>
        <w:numPr>
          <w:ilvl w:val="0"/>
          <w:numId w:val="2"/>
        </w:numPr>
        <w:spacing w:after="40" w:before="40"/>
      </w:pPr>
      <w:r>
        <w:rPr>
          <w:rFonts w:ascii="Arial" w:cs="Arial" w:eastAsia="Arial" w:hAnsi="Arial"/>
          <w:color w:val="2C3340"/>
          <w:sz w:val="21"/>
          <w:szCs w:val="21"/>
        </w:rPr>
        <w:t xml:space="preserve">Then stop talking. Let them lead.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9C8" w:sz="1"/>
              <w:left w:val="single" w:color="E0D9C8" w:sz="1"/>
              <w:bottom w:val="single" w:color="E0D9C8" w:sz="1"/>
              <w:right w:val="single" w:color="E0D9C8" w:sz="1"/>
            </w:tcBorders>
            <w:shd w:fill="F9F7F2" w:val="clear"/>
            <w:tcMar>
              <w:top w:type="dxa" w:w="160"/>
              <w:left w:type="dxa" w:w="200"/>
              <w:bottom w:type="dxa" w:w="160"/>
              <w:right w:type="dxa" w:w="200"/>
            </w:tcMar>
          </w:tcPr>
          <w:p>
            <w:pPr>
              <w:spacing w:after="60" w:before="0"/>
            </w:pPr>
            <w:r>
              <w:rPr>
                <w:rFonts w:ascii="Arial" w:cs="Arial" w:eastAsia="Arial" w:hAnsi="Arial"/>
                <w:b/>
                <w:bCs/>
                <w:caps/>
                <w:color w:val="C9A84C"/>
                <w:sz w:val="18"/>
                <w:szCs w:val="18"/>
              </w:rPr>
              <w:t xml:space="preserve">PRESENTER TIP</w:t>
            </w:r>
          </w:p>
          <w:p>
            <w:pPr>
              <w:spacing w:after="0" w:before="0"/>
            </w:pPr>
            <w:r>
              <w:rPr>
                <w:rFonts w:ascii="Arial" w:cs="Arial" w:eastAsia="Arial" w:hAnsi="Arial"/>
                <w:i/>
                <w:iCs/>
                <w:color w:val="2C3340"/>
                <w:sz w:val="21"/>
                <w:szCs w:val="21"/>
              </w:rPr>
              <w:t xml:space="preserve">The best close is a confident pause followed by an open question. Don't keep selling after the pitch ends.</w:t>
            </w:r>
          </w:p>
        </w:tc>
      </w:tr>
    </w:tbl>
    <w:p>
      <w:r>
        <w:br w:type="page"/>
      </w:r>
    </w:p>
    <w:p>
      <w:pPr>
        <w:pStyle w:val="Heading1"/>
        <w:spacing w:after="160" w:before="400"/>
      </w:pPr>
      <w:r>
        <w:rPr>
          <w:rFonts w:ascii="Georgia" w:cs="Georgia" w:eastAsia="Georgia" w:hAnsi="Georgia"/>
          <w:b/>
          <w:bCs/>
          <w:color w:val="2C3340"/>
          <w:sz w:val="32"/>
          <w:szCs w:val="32"/>
        </w:rPr>
        <w:t xml:space="preserve">Understanding Startup Funding Stages</w:t>
      </w:r>
    </w:p>
    <w:p>
      <w:pPr>
        <w:spacing w:after="80" w:before="60"/>
      </w:pPr>
      <w:r>
        <w:rPr>
          <w:rFonts w:ascii="Arial" w:cs="Arial" w:eastAsia="Arial" w:hAnsi="Arial"/>
          <w:color w:val="2C3340"/>
          <w:sz w:val="22"/>
          <w:szCs w:val="22"/>
        </w:rPr>
        <w:t xml:space="preserve">When people talk about raising money for a startup, they use specific terms for each stage. Here's a plain-English breakdown of what each stage means, what investors expect, and what's realistic for SchnelPay.</w:t>
      </w:r>
    </w:p>
    <w:p>
      <w:pPr>
        <w:pBdr>
          <w:bottom w:val="single" w:color="C9A84C" w:sz="4" w:space="1"/>
        </w:pBdr>
        <w:spacing w:after="200" w:before="200"/>
      </w:pPr>
    </w:p>
    <w:p>
      <w:pPr>
        <w:pStyle w:val="Heading2"/>
        <w:spacing w:after="120" w:before="300"/>
      </w:pPr>
      <w:r>
        <w:rPr>
          <w:rFonts w:ascii="Georgia" w:cs="Georgia" w:eastAsia="Georgia" w:hAnsi="Georgia"/>
          <w:b/>
          <w:bCs/>
          <w:color w:val="2C3340"/>
          <w:sz w:val="26"/>
          <w:szCs w:val="26"/>
        </w:rPr>
        <w:t xml:space="preserve">Pre-Seed</w:t>
      </w:r>
    </w:p>
    <w:p>
      <w:pPr>
        <w:spacing w:after="80" w:before="60"/>
      </w:pPr>
      <w:r>
        <w:rPr>
          <w:rFonts w:ascii="Arial" w:cs="Arial" w:eastAsia="Arial" w:hAnsi="Arial"/>
          <w:color w:val="2C3340"/>
          <w:sz w:val="22"/>
          <w:szCs w:val="22"/>
        </w:rPr>
        <w:t xml:space="preserve">Pre-seed is the first money a startup raises — before there's a proven business model or significant traction.</w:t>
      </w:r>
    </w:p>
    <w:p>
      <w:pPr>
        <w:spacing w:after="80" w:before="80"/>
      </w:pPr>
    </w:p>
    <w:p>
      <w:pPr>
        <w:spacing w:after="80" w:before="240"/>
      </w:pPr>
      <w:r>
        <w:rPr>
          <w:rFonts w:ascii="Arial" w:cs="Arial" w:eastAsia="Arial" w:hAnsi="Arial"/>
          <w:b/>
          <w:bCs/>
          <w:color w:val="C9A84C"/>
          <w:sz w:val="22"/>
          <w:szCs w:val="22"/>
        </w:rPr>
        <w:t xml:space="preserve">What it is</w:t>
      </w:r>
    </w:p>
    <w:p>
      <w:pPr>
        <w:spacing w:after="80" w:before="60"/>
      </w:pPr>
      <w:r>
        <w:rPr>
          <w:rFonts w:ascii="Arial" w:cs="Arial" w:eastAsia="Arial" w:hAnsi="Arial"/>
          <w:color w:val="2C3340"/>
          <w:sz w:val="22"/>
          <w:szCs w:val="22"/>
        </w:rPr>
        <w:t xml:space="preserve">The earliest institutional funding. Designed to help founders go from working product to first paying customers. Most pre-seed rounds use a SAFE (Simple Agreement for Future Equity) — a simple legal document where investors get equity later, when you raise a proper priced round.</w:t>
      </w:r>
    </w:p>
    <w:p>
      <w:pPr>
        <w:spacing w:after="80" w:before="80"/>
      </w:pPr>
    </w:p>
    <w:p>
      <w:pPr>
        <w:spacing w:after="80" w:before="240"/>
      </w:pPr>
      <w:r>
        <w:rPr>
          <w:rFonts w:ascii="Arial" w:cs="Arial" w:eastAsia="Arial" w:hAnsi="Arial"/>
          <w:b/>
          <w:bCs/>
          <w:color w:val="2C3340"/>
          <w:sz w:val="22"/>
          <w:szCs w:val="22"/>
        </w:rPr>
        <w:t xml:space="preserve">Typical amounts in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9C8" w:sz="1"/>
              <w:left w:val="single" w:color="E0D9C8" w:sz="1"/>
              <w:bottom w:val="single" w:color="E0D9C8" w:sz="1"/>
              <w:right w:val="single" w:color="E0D9C8" w:sz="1"/>
            </w:tcBorders>
            <w:shd w:fill="F9F7F2" w:val="clear"/>
            <w:tcMar>
              <w:top w:type="dxa" w:w="160"/>
              <w:left w:type="dxa" w:w="200"/>
              <w:bottom w:type="dxa" w:w="160"/>
              <w:right w:type="dxa" w:w="200"/>
            </w:tcMar>
          </w:tcPr>
          <w:p>
            <w:pPr>
              <w:spacing w:after="60" w:before="0"/>
            </w:pPr>
            <w:r>
              <w:rPr>
                <w:rFonts w:ascii="Arial" w:cs="Arial" w:eastAsia="Arial" w:hAnsi="Arial"/>
                <w:b/>
                <w:bCs/>
                <w:caps/>
                <w:color w:val="C9A84C"/>
                <w:sz w:val="18"/>
                <w:szCs w:val="18"/>
              </w:rPr>
              <w:t xml:space="preserve">BLOCKCHAIN / FINTECH PRE-SEED RANGE</w:t>
            </w:r>
          </w:p>
          <w:p>
            <w:pPr>
              <w:spacing w:after="0" w:before="0"/>
            </w:pPr>
            <w:r>
              <w:rPr>
                <w:rFonts w:ascii="Arial" w:cs="Arial" w:eastAsia="Arial" w:hAnsi="Arial"/>
                <w:i/>
                <w:iCs/>
                <w:color w:val="2C3340"/>
                <w:sz w:val="21"/>
                <w:szCs w:val="21"/>
              </w:rPr>
              <w:t xml:space="preserve">$200,000 — $1,500,000. Most common check size: $250K — $750K.</w:t>
            </w:r>
          </w:p>
        </w:tc>
      </w:tr>
    </w:tbl>
    <w:p>
      <w:pPr>
        <w:spacing w:after="80" w:before="80"/>
      </w:pPr>
    </w:p>
    <w:p>
      <w:pPr>
        <w:spacing w:after="80" w:before="240"/>
      </w:pPr>
      <w:r>
        <w:rPr>
          <w:rFonts w:ascii="Arial" w:cs="Arial" w:eastAsia="Arial" w:hAnsi="Arial"/>
          <w:b/>
          <w:bCs/>
          <w:color w:val="2C3340"/>
          <w:sz w:val="22"/>
          <w:szCs w:val="22"/>
        </w:rPr>
        <w:t xml:space="preserve">What investors expect</w:t>
      </w:r>
    </w:p>
    <w:p>
      <w:pPr>
        <w:pStyle w:val="ListParagraph"/>
        <w:numPr>
          <w:ilvl w:val="0"/>
          <w:numId w:val="2"/>
        </w:numPr>
        <w:spacing w:after="40" w:before="40"/>
      </w:pPr>
      <w:r>
        <w:rPr>
          <w:rFonts w:ascii="Arial" w:cs="Arial" w:eastAsia="Arial" w:hAnsi="Arial"/>
          <w:color w:val="2C3340"/>
          <w:sz w:val="21"/>
          <w:szCs w:val="21"/>
        </w:rPr>
        <w:t xml:space="preserve">Working product or strong MVP</w:t>
      </w:r>
    </w:p>
    <w:p>
      <w:pPr>
        <w:pStyle w:val="ListParagraph"/>
        <w:numPr>
          <w:ilvl w:val="0"/>
          <w:numId w:val="2"/>
        </w:numPr>
        <w:spacing w:after="40" w:before="40"/>
      </w:pPr>
      <w:r>
        <w:rPr>
          <w:rFonts w:ascii="Arial" w:cs="Arial" w:eastAsia="Arial" w:hAnsi="Arial"/>
          <w:color w:val="2C3340"/>
          <w:sz w:val="21"/>
          <w:szCs w:val="21"/>
        </w:rPr>
        <w:t xml:space="preserve">Clear problem you're solving</w:t>
      </w:r>
    </w:p>
    <w:p>
      <w:pPr>
        <w:pStyle w:val="ListParagraph"/>
        <w:numPr>
          <w:ilvl w:val="0"/>
          <w:numId w:val="2"/>
        </w:numPr>
        <w:spacing w:after="40" w:before="40"/>
      </w:pPr>
      <w:r>
        <w:rPr>
          <w:rFonts w:ascii="Arial" w:cs="Arial" w:eastAsia="Arial" w:hAnsi="Arial"/>
          <w:color w:val="2C3340"/>
          <w:sz w:val="21"/>
          <w:szCs w:val="21"/>
        </w:rPr>
        <w:t xml:space="preserve">Founding team with relevant skills</w:t>
      </w:r>
    </w:p>
    <w:p>
      <w:pPr>
        <w:pStyle w:val="ListParagraph"/>
        <w:numPr>
          <w:ilvl w:val="0"/>
          <w:numId w:val="2"/>
        </w:numPr>
        <w:spacing w:after="40" w:before="40"/>
      </w:pPr>
      <w:r>
        <w:rPr>
          <w:rFonts w:ascii="Arial" w:cs="Arial" w:eastAsia="Arial" w:hAnsi="Arial"/>
          <w:color w:val="2C3340"/>
          <w:sz w:val="21"/>
          <w:szCs w:val="21"/>
        </w:rPr>
        <w:t xml:space="preserve">Some early signal of demand (users, waitlist, letters of intent)</w:t>
      </w:r>
    </w:p>
    <w:p>
      <w:pPr>
        <w:pStyle w:val="ListParagraph"/>
        <w:numPr>
          <w:ilvl w:val="0"/>
          <w:numId w:val="2"/>
        </w:numPr>
        <w:spacing w:after="40" w:before="40"/>
      </w:pPr>
      <w:r>
        <w:rPr>
          <w:rFonts w:ascii="Arial" w:cs="Arial" w:eastAsia="Arial" w:hAnsi="Arial"/>
          <w:color w:val="2C3340"/>
          <w:sz w:val="21"/>
          <w:szCs w:val="21"/>
        </w:rPr>
        <w:t xml:space="preserve">A believable path to revenue</w:t>
      </w:r>
    </w:p>
    <w:p>
      <w:pPr>
        <w:spacing w:after="80" w:before="80"/>
      </w:pPr>
    </w:p>
    <w:p>
      <w:pPr>
        <w:spacing w:after="80" w:before="240"/>
      </w:pPr>
      <w:r>
        <w:rPr>
          <w:rFonts w:ascii="Arial" w:cs="Arial" w:eastAsia="Arial" w:hAnsi="Arial"/>
          <w:b/>
          <w:bCs/>
          <w:color w:val="2C3340"/>
          <w:sz w:val="22"/>
          <w:szCs w:val="22"/>
        </w:rPr>
        <w:t xml:space="preserve">What they don't require</w:t>
      </w:r>
    </w:p>
    <w:p>
      <w:pPr>
        <w:pStyle w:val="ListParagraph"/>
        <w:numPr>
          <w:ilvl w:val="0"/>
          <w:numId w:val="2"/>
        </w:numPr>
        <w:spacing w:after="40" w:before="40"/>
      </w:pPr>
      <w:r>
        <w:rPr>
          <w:rFonts w:ascii="Arial" w:cs="Arial" w:eastAsia="Arial" w:hAnsi="Arial"/>
          <w:color w:val="2C3340"/>
          <w:sz w:val="21"/>
          <w:szCs w:val="21"/>
        </w:rPr>
        <w:t xml:space="preserve">Revenue (pre-seed is before revenue in most cases)</w:t>
      </w:r>
    </w:p>
    <w:p>
      <w:pPr>
        <w:pStyle w:val="ListParagraph"/>
        <w:numPr>
          <w:ilvl w:val="0"/>
          <w:numId w:val="2"/>
        </w:numPr>
        <w:spacing w:after="40" w:before="40"/>
      </w:pPr>
      <w:r>
        <w:rPr>
          <w:rFonts w:ascii="Arial" w:cs="Arial" w:eastAsia="Arial" w:hAnsi="Arial"/>
          <w:color w:val="2C3340"/>
          <w:sz w:val="21"/>
          <w:szCs w:val="21"/>
        </w:rPr>
        <w:t xml:space="preserve">A full team</w:t>
      </w:r>
    </w:p>
    <w:p>
      <w:pPr>
        <w:pStyle w:val="ListParagraph"/>
        <w:numPr>
          <w:ilvl w:val="0"/>
          <w:numId w:val="2"/>
        </w:numPr>
        <w:spacing w:after="40" w:before="40"/>
      </w:pPr>
      <w:r>
        <w:rPr>
          <w:rFonts w:ascii="Arial" w:cs="Arial" w:eastAsia="Arial" w:hAnsi="Arial"/>
          <w:color w:val="2C3340"/>
          <w:sz w:val="21"/>
          <w:szCs w:val="21"/>
        </w:rPr>
        <w:t xml:space="preserve">Perfect product-market fit</w:t>
      </w:r>
    </w:p>
    <w:p>
      <w:pPr>
        <w:spacing w:after="80" w:before="80"/>
      </w:pPr>
    </w:p>
    <w:p>
      <w:pPr>
        <w:spacing w:after="60" w:before="40"/>
      </w:pPr>
      <w:r>
        <w:rPr>
          <w:rFonts w:ascii="Arial" w:cs="Arial" w:eastAsia="Arial" w:hAnsi="Arial"/>
          <w:i/>
          <w:iCs/>
          <w:color w:val="6B7A8D"/>
          <w:sz w:val="20"/>
          <w:szCs w:val="20"/>
        </w:rPr>
        <w:t xml:space="preserve">SchnelPay's position: Strong pre-seed candidate. You have a live product, multi-chain integration, quantum-safe auth, and a clear revenue model. The main gap is the first paying user — even one changes the conversation significantly.</w:t>
      </w:r>
    </w:p>
    <w:p>
      <w:pPr>
        <w:pBdr>
          <w:bottom w:val="single" w:color="C9A84C" w:sz="4" w:space="1"/>
        </w:pBdr>
        <w:spacing w:after="200" w:before="200"/>
      </w:pPr>
    </w:p>
    <w:p>
      <w:pPr>
        <w:pStyle w:val="Heading2"/>
        <w:spacing w:after="120" w:before="300"/>
      </w:pPr>
      <w:r>
        <w:rPr>
          <w:rFonts w:ascii="Georgia" w:cs="Georgia" w:eastAsia="Georgia" w:hAnsi="Georgia"/>
          <w:b/>
          <w:bCs/>
          <w:color w:val="2C3340"/>
          <w:sz w:val="26"/>
          <w:szCs w:val="26"/>
        </w:rPr>
        <w:t xml:space="preserve">Seed</w:t>
      </w:r>
    </w:p>
    <w:p>
      <w:pPr>
        <w:spacing w:after="80" w:before="60"/>
      </w:pPr>
      <w:r>
        <w:rPr>
          <w:rFonts w:ascii="Arial" w:cs="Arial" w:eastAsia="Arial" w:hAnsi="Arial"/>
          <w:color w:val="2C3340"/>
          <w:sz w:val="22"/>
          <w:szCs w:val="22"/>
        </w:rPr>
        <w:t xml:space="preserve">Seed is the first proper priced round — investors receive equity at a defined valuation. This is where you go from 'we have something' to 'we have proof it works'.</w:t>
      </w:r>
    </w:p>
    <w:p>
      <w:pPr>
        <w:spacing w:after="80" w:before="80"/>
      </w:pPr>
    </w:p>
    <w:p>
      <w:pPr>
        <w:spacing w:after="80" w:before="240"/>
      </w:pPr>
      <w:r>
        <w:rPr>
          <w:rFonts w:ascii="Arial" w:cs="Arial" w:eastAsia="Arial" w:hAnsi="Arial"/>
          <w:b/>
          <w:bCs/>
          <w:color w:val="C9A84C"/>
          <w:sz w:val="22"/>
          <w:szCs w:val="22"/>
        </w:rPr>
        <w:t xml:space="preserve">What it is</w:t>
      </w:r>
    </w:p>
    <w:p>
      <w:pPr>
        <w:spacing w:after="80" w:before="60"/>
      </w:pPr>
      <w:r>
        <w:rPr>
          <w:rFonts w:ascii="Arial" w:cs="Arial" w:eastAsia="Arial" w:hAnsi="Arial"/>
          <w:color w:val="2C3340"/>
          <w:sz w:val="22"/>
          <w:szCs w:val="22"/>
        </w:rPr>
        <w:t xml:space="preserve">A formal equity round. The company has a valuation (typically $3M — $10M for fintech). Investors receive shares. More legal documentation than a SAFE. Usually involves a lead investor and several smaller participants.</w:t>
      </w:r>
    </w:p>
    <w:p>
      <w:pPr>
        <w:spacing w:after="80" w:before="80"/>
      </w:pPr>
    </w:p>
    <w:p>
      <w:pPr>
        <w:spacing w:after="80" w:before="240"/>
      </w:pPr>
      <w:r>
        <w:rPr>
          <w:rFonts w:ascii="Arial" w:cs="Arial" w:eastAsia="Arial" w:hAnsi="Arial"/>
          <w:b/>
          <w:bCs/>
          <w:color w:val="2C3340"/>
          <w:sz w:val="22"/>
          <w:szCs w:val="22"/>
        </w:rPr>
        <w:t xml:space="preserve">Typical amounts in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9C8" w:sz="1"/>
              <w:left w:val="single" w:color="E0D9C8" w:sz="1"/>
              <w:bottom w:val="single" w:color="E0D9C8" w:sz="1"/>
              <w:right w:val="single" w:color="E0D9C8" w:sz="1"/>
            </w:tcBorders>
            <w:shd w:fill="F9F7F2" w:val="clear"/>
            <w:tcMar>
              <w:top w:type="dxa" w:w="160"/>
              <w:left w:type="dxa" w:w="200"/>
              <w:bottom w:type="dxa" w:w="160"/>
              <w:right w:type="dxa" w:w="200"/>
            </w:tcMar>
          </w:tcPr>
          <w:p>
            <w:pPr>
              <w:spacing w:after="60" w:before="0"/>
            </w:pPr>
            <w:r>
              <w:rPr>
                <w:rFonts w:ascii="Arial" w:cs="Arial" w:eastAsia="Arial" w:hAnsi="Arial"/>
                <w:b/>
                <w:bCs/>
                <w:caps/>
                <w:color w:val="C9A84C"/>
                <w:sz w:val="18"/>
                <w:szCs w:val="18"/>
              </w:rPr>
              <w:t xml:space="preserve">BLOCKCHAIN / FINTECH SEED RANGE</w:t>
            </w:r>
          </w:p>
          <w:p>
            <w:pPr>
              <w:spacing w:after="0" w:before="0"/>
            </w:pPr>
            <w:r>
              <w:rPr>
                <w:rFonts w:ascii="Arial" w:cs="Arial" w:eastAsia="Arial" w:hAnsi="Arial"/>
                <w:i/>
                <w:iCs/>
                <w:color w:val="2C3340"/>
                <w:sz w:val="21"/>
                <w:szCs w:val="21"/>
              </w:rPr>
              <w:t xml:space="preserve">$1,000,000 — $5,000,000. Most common: $1.5M — $3M. Valuation: $5M — $15M pre-money.</w:t>
            </w:r>
          </w:p>
        </w:tc>
      </w:tr>
    </w:tbl>
    <w:p>
      <w:pPr>
        <w:spacing w:after="80" w:before="80"/>
      </w:pPr>
    </w:p>
    <w:p>
      <w:pPr>
        <w:spacing w:after="80" w:before="240"/>
      </w:pPr>
      <w:r>
        <w:rPr>
          <w:rFonts w:ascii="Arial" w:cs="Arial" w:eastAsia="Arial" w:hAnsi="Arial"/>
          <w:b/>
          <w:bCs/>
          <w:color w:val="2C3340"/>
          <w:sz w:val="22"/>
          <w:szCs w:val="22"/>
        </w:rPr>
        <w:t xml:space="preserve">What investors expect</w:t>
      </w:r>
    </w:p>
    <w:p>
      <w:pPr>
        <w:pStyle w:val="ListParagraph"/>
        <w:numPr>
          <w:ilvl w:val="0"/>
          <w:numId w:val="2"/>
        </w:numPr>
        <w:spacing w:after="40" w:before="40"/>
      </w:pPr>
      <w:r>
        <w:rPr>
          <w:rFonts w:ascii="Arial" w:cs="Arial" w:eastAsia="Arial" w:hAnsi="Arial"/>
          <w:color w:val="2C3340"/>
          <w:sz w:val="21"/>
          <w:szCs w:val="21"/>
        </w:rPr>
        <w:t xml:space="preserve">Early revenue or strong evidence of payment willingness</w:t>
      </w:r>
    </w:p>
    <w:p>
      <w:pPr>
        <w:pStyle w:val="ListParagraph"/>
        <w:numPr>
          <w:ilvl w:val="0"/>
          <w:numId w:val="2"/>
        </w:numPr>
        <w:spacing w:after="40" w:before="40"/>
      </w:pPr>
      <w:r>
        <w:rPr>
          <w:rFonts w:ascii="Arial" w:cs="Arial" w:eastAsia="Arial" w:hAnsi="Arial"/>
          <w:color w:val="2C3340"/>
          <w:sz w:val="21"/>
          <w:szCs w:val="21"/>
        </w:rPr>
        <w:t xml:space="preserve">Measurable traction — users, transaction volume, merchant sign-ups</w:t>
      </w:r>
    </w:p>
    <w:p>
      <w:pPr>
        <w:pStyle w:val="ListParagraph"/>
        <w:numPr>
          <w:ilvl w:val="0"/>
          <w:numId w:val="2"/>
        </w:numPr>
        <w:spacing w:after="40" w:before="40"/>
      </w:pPr>
      <w:r>
        <w:rPr>
          <w:rFonts w:ascii="Arial" w:cs="Arial" w:eastAsia="Arial" w:hAnsi="Arial"/>
          <w:color w:val="2C3340"/>
          <w:sz w:val="21"/>
          <w:szCs w:val="21"/>
        </w:rPr>
        <w:t xml:space="preserve">Product-market fit beginning to emerge</w:t>
      </w:r>
    </w:p>
    <w:p>
      <w:pPr>
        <w:pStyle w:val="ListParagraph"/>
        <w:numPr>
          <w:ilvl w:val="0"/>
          <w:numId w:val="2"/>
        </w:numPr>
        <w:spacing w:after="40" w:before="40"/>
      </w:pPr>
      <w:r>
        <w:rPr>
          <w:rFonts w:ascii="Arial" w:cs="Arial" w:eastAsia="Arial" w:hAnsi="Arial"/>
          <w:color w:val="2C3340"/>
          <w:sz w:val="21"/>
          <w:szCs w:val="21"/>
        </w:rPr>
        <w:t xml:space="preserve">Small team (2-5 people)</w:t>
      </w:r>
    </w:p>
    <w:p>
      <w:pPr>
        <w:pStyle w:val="ListParagraph"/>
        <w:numPr>
          <w:ilvl w:val="0"/>
          <w:numId w:val="2"/>
        </w:numPr>
        <w:spacing w:after="40" w:before="40"/>
      </w:pPr>
      <w:r>
        <w:rPr>
          <w:rFonts w:ascii="Arial" w:cs="Arial" w:eastAsia="Arial" w:hAnsi="Arial"/>
          <w:color w:val="2C3340"/>
          <w:sz w:val="21"/>
          <w:szCs w:val="21"/>
        </w:rPr>
        <w:t xml:space="preserve">Clear path to Series A metrics</w:t>
      </w:r>
    </w:p>
    <w:p>
      <w:pPr>
        <w:spacing w:after="80" w:before="80"/>
      </w:pPr>
    </w:p>
    <w:p>
      <w:pPr>
        <w:spacing w:after="60" w:before="40"/>
      </w:pPr>
      <w:r>
        <w:rPr>
          <w:rFonts w:ascii="Arial" w:cs="Arial" w:eastAsia="Arial" w:hAnsi="Arial"/>
          <w:i/>
          <w:iCs/>
          <w:color w:val="6B7A8D"/>
          <w:sz w:val="20"/>
          <w:szCs w:val="20"/>
        </w:rPr>
        <w:t xml:space="preserve">SchnelPay's path to seed: Complete the pre-seed round first. Use the 18 months to hit 100 paying users, $100K ARR, and one enterprise LOI. That's a seed round story.</w:t>
      </w:r>
    </w:p>
    <w:p>
      <w:pPr>
        <w:pBdr>
          <w:bottom w:val="single" w:color="C9A84C" w:sz="4" w:space="1"/>
        </w:pBdr>
        <w:spacing w:after="200" w:before="200"/>
      </w:pPr>
    </w:p>
    <w:p>
      <w:pPr>
        <w:pStyle w:val="Heading2"/>
        <w:spacing w:after="120" w:before="300"/>
      </w:pPr>
      <w:r>
        <w:rPr>
          <w:rFonts w:ascii="Georgia" w:cs="Georgia" w:eastAsia="Georgia" w:hAnsi="Georgia"/>
          <w:b/>
          <w:bCs/>
          <w:color w:val="2C3340"/>
          <w:sz w:val="26"/>
          <w:szCs w:val="26"/>
        </w:rPr>
        <w:t xml:space="preserve">Series A</w:t>
      </w:r>
    </w:p>
    <w:p>
      <w:pPr>
        <w:spacing w:after="80" w:before="60"/>
      </w:pPr>
      <w:r>
        <w:rPr>
          <w:rFonts w:ascii="Arial" w:cs="Arial" w:eastAsia="Arial" w:hAnsi="Arial"/>
          <w:color w:val="2C3340"/>
          <w:sz w:val="22"/>
          <w:szCs w:val="22"/>
        </w:rPr>
        <w:t xml:space="preserve">Series A is when you've proven the model works and you're raising to scale it. By this stage, the question has shifted from 'can you build this?' to 'can you grow it?'</w:t>
      </w:r>
    </w:p>
    <w:p>
      <w:pPr>
        <w:spacing w:after="80" w:before="80"/>
      </w:pPr>
    </w:p>
    <w:p>
      <w:pPr>
        <w:spacing w:after="80" w:before="240"/>
      </w:pPr>
      <w:r>
        <w:rPr>
          <w:rFonts w:ascii="Arial" w:cs="Arial" w:eastAsia="Arial" w:hAnsi="Arial"/>
          <w:b/>
          <w:bCs/>
          <w:color w:val="C9A84C"/>
          <w:sz w:val="22"/>
          <w:szCs w:val="22"/>
        </w:rPr>
        <w:t xml:space="preserve">What it is</w:t>
      </w:r>
    </w:p>
    <w:p>
      <w:pPr>
        <w:spacing w:after="80" w:before="60"/>
      </w:pPr>
      <w:r>
        <w:rPr>
          <w:rFonts w:ascii="Arial" w:cs="Arial" w:eastAsia="Arial" w:hAnsi="Arial"/>
          <w:color w:val="2C3340"/>
          <w:sz w:val="22"/>
          <w:szCs w:val="22"/>
        </w:rPr>
        <w:t xml:space="preserve">A large institutional round led by a VC firm. The company has a clear revenue model, measurable growth, and a team capable of scaling. Investors are paying for proven traction and a clear path to market leadership.</w:t>
      </w:r>
    </w:p>
    <w:p>
      <w:pPr>
        <w:spacing w:after="80" w:before="80"/>
      </w:pPr>
    </w:p>
    <w:p>
      <w:pPr>
        <w:spacing w:after="80" w:before="240"/>
      </w:pPr>
      <w:r>
        <w:rPr>
          <w:rFonts w:ascii="Arial" w:cs="Arial" w:eastAsia="Arial" w:hAnsi="Arial"/>
          <w:b/>
          <w:bCs/>
          <w:color w:val="2C3340"/>
          <w:sz w:val="22"/>
          <w:szCs w:val="22"/>
        </w:rPr>
        <w:t xml:space="preserve">Typical amounts in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9C8" w:sz="1"/>
              <w:left w:val="single" w:color="E0D9C8" w:sz="1"/>
              <w:bottom w:val="single" w:color="E0D9C8" w:sz="1"/>
              <w:right w:val="single" w:color="E0D9C8" w:sz="1"/>
            </w:tcBorders>
            <w:shd w:fill="F9F7F2" w:val="clear"/>
            <w:tcMar>
              <w:top w:type="dxa" w:w="160"/>
              <w:left w:type="dxa" w:w="200"/>
              <w:bottom w:type="dxa" w:w="160"/>
              <w:right w:type="dxa" w:w="200"/>
            </w:tcMar>
          </w:tcPr>
          <w:p>
            <w:pPr>
              <w:spacing w:after="60" w:before="0"/>
            </w:pPr>
            <w:r>
              <w:rPr>
                <w:rFonts w:ascii="Arial" w:cs="Arial" w:eastAsia="Arial" w:hAnsi="Arial"/>
                <w:b/>
                <w:bCs/>
                <w:caps/>
                <w:color w:val="C9A84C"/>
                <w:sz w:val="18"/>
                <w:szCs w:val="18"/>
              </w:rPr>
              <w:t xml:space="preserve">FINTECH SERIES A RANGE</w:t>
            </w:r>
          </w:p>
          <w:p>
            <w:pPr>
              <w:spacing w:after="0" w:before="0"/>
            </w:pPr>
            <w:r>
              <w:rPr>
                <w:rFonts w:ascii="Arial" w:cs="Arial" w:eastAsia="Arial" w:hAnsi="Arial"/>
                <w:i/>
                <w:iCs/>
                <w:color w:val="2C3340"/>
                <w:sz w:val="21"/>
                <w:szCs w:val="21"/>
              </w:rPr>
              <w:t xml:space="preserve">$8,000,000 — $25,000,000. Most common: $10M — $15M. Valuation: $30M — $80M pre-money.</w:t>
            </w:r>
          </w:p>
        </w:tc>
      </w:tr>
    </w:tbl>
    <w:p>
      <w:pPr>
        <w:spacing w:after="80" w:before="80"/>
      </w:pPr>
    </w:p>
    <w:p>
      <w:pPr>
        <w:spacing w:after="80" w:before="240"/>
      </w:pPr>
      <w:r>
        <w:rPr>
          <w:rFonts w:ascii="Arial" w:cs="Arial" w:eastAsia="Arial" w:hAnsi="Arial"/>
          <w:b/>
          <w:bCs/>
          <w:color w:val="2C3340"/>
          <w:sz w:val="22"/>
          <w:szCs w:val="22"/>
        </w:rPr>
        <w:t xml:space="preserve">What investors expect</w:t>
      </w:r>
    </w:p>
    <w:p>
      <w:pPr>
        <w:pStyle w:val="ListParagraph"/>
        <w:numPr>
          <w:ilvl w:val="0"/>
          <w:numId w:val="2"/>
        </w:numPr>
        <w:spacing w:after="40" w:before="40"/>
      </w:pPr>
      <w:r>
        <w:rPr>
          <w:rFonts w:ascii="Arial" w:cs="Arial" w:eastAsia="Arial" w:hAnsi="Arial"/>
          <w:color w:val="2C3340"/>
          <w:sz w:val="21"/>
          <w:szCs w:val="21"/>
        </w:rPr>
        <w:t xml:space="preserve">$1M+ ARR (annual recurring revenue) or equivalent transaction volume</w:t>
      </w:r>
    </w:p>
    <w:p>
      <w:pPr>
        <w:pStyle w:val="ListParagraph"/>
        <w:numPr>
          <w:ilvl w:val="0"/>
          <w:numId w:val="2"/>
        </w:numPr>
        <w:spacing w:after="40" w:before="40"/>
      </w:pPr>
      <w:r>
        <w:rPr>
          <w:rFonts w:ascii="Arial" w:cs="Arial" w:eastAsia="Arial" w:hAnsi="Arial"/>
          <w:color w:val="2C3340"/>
          <w:sz w:val="21"/>
          <w:szCs w:val="21"/>
        </w:rPr>
        <w:t xml:space="preserve">Month-over-month growth of 15-20%+</w:t>
      </w:r>
    </w:p>
    <w:p>
      <w:pPr>
        <w:pStyle w:val="ListParagraph"/>
        <w:numPr>
          <w:ilvl w:val="0"/>
          <w:numId w:val="2"/>
        </w:numPr>
        <w:spacing w:after="40" w:before="40"/>
      </w:pPr>
      <w:r>
        <w:rPr>
          <w:rFonts w:ascii="Arial" w:cs="Arial" w:eastAsia="Arial" w:hAnsi="Arial"/>
          <w:color w:val="2C3340"/>
          <w:sz w:val="21"/>
          <w:szCs w:val="21"/>
        </w:rPr>
        <w:t xml:space="preserve">Clear unit economics — cost to acquire a customer vs. lifetime value</w:t>
      </w:r>
    </w:p>
    <w:p>
      <w:pPr>
        <w:pStyle w:val="ListParagraph"/>
        <w:numPr>
          <w:ilvl w:val="0"/>
          <w:numId w:val="2"/>
        </w:numPr>
        <w:spacing w:after="40" w:before="40"/>
      </w:pPr>
      <w:r>
        <w:rPr>
          <w:rFonts w:ascii="Arial" w:cs="Arial" w:eastAsia="Arial" w:hAnsi="Arial"/>
          <w:color w:val="2C3340"/>
          <w:sz w:val="21"/>
          <w:szCs w:val="21"/>
        </w:rPr>
        <w:t xml:space="preserve">Team of 10-20 people</w:t>
      </w:r>
    </w:p>
    <w:p>
      <w:pPr>
        <w:pStyle w:val="ListParagraph"/>
        <w:numPr>
          <w:ilvl w:val="0"/>
          <w:numId w:val="2"/>
        </w:numPr>
        <w:spacing w:after="40" w:before="40"/>
      </w:pPr>
      <w:r>
        <w:rPr>
          <w:rFonts w:ascii="Arial" w:cs="Arial" w:eastAsia="Arial" w:hAnsi="Arial"/>
          <w:color w:val="2C3340"/>
          <w:sz w:val="21"/>
          <w:szCs w:val="21"/>
        </w:rPr>
        <w:t xml:space="preserve">Defensible market position — moat, patents, network effects</w:t>
      </w:r>
    </w:p>
    <w:p>
      <w:pPr>
        <w:pStyle w:val="ListParagraph"/>
        <w:numPr>
          <w:ilvl w:val="0"/>
          <w:numId w:val="2"/>
        </w:numPr>
        <w:spacing w:after="40" w:before="40"/>
      </w:pPr>
      <w:r>
        <w:rPr>
          <w:rFonts w:ascii="Arial" w:cs="Arial" w:eastAsia="Arial" w:hAnsi="Arial"/>
          <w:color w:val="2C3340"/>
          <w:sz w:val="21"/>
          <w:szCs w:val="21"/>
        </w:rPr>
        <w:t xml:space="preserve">Clear path to Series B</w:t>
      </w:r>
    </w:p>
    <w:p>
      <w:pPr>
        <w:spacing w:after="80" w:before="80"/>
      </w:pPr>
    </w:p>
    <w:p>
      <w:pPr>
        <w:spacing w:after="60" w:before="40"/>
      </w:pPr>
      <w:r>
        <w:rPr>
          <w:rFonts w:ascii="Arial" w:cs="Arial" w:eastAsia="Arial" w:hAnsi="Arial"/>
          <w:i/>
          <w:iCs/>
          <w:color w:val="6B7A8D"/>
          <w:sz w:val="20"/>
          <w:szCs w:val="20"/>
        </w:rPr>
        <w:t xml:space="preserve">SchnelPay's Series A story: 18 months post-pre-seed, with 100+ paying users, patent filed, MoonPay and Transak live, and a public developer API. That's a credible Series A setup.</w:t>
      </w:r>
    </w:p>
    <w:p>
      <w:pPr>
        <w:pBdr>
          <w:bottom w:val="single" w:color="C9A84C" w:sz="4" w:space="1"/>
        </w:pBdr>
        <w:spacing w:after="200" w:before="200"/>
      </w:pPr>
    </w:p>
    <w:p>
      <w:pPr>
        <w:pStyle w:val="Heading2"/>
        <w:spacing w:after="120" w:before="300"/>
      </w:pPr>
      <w:r>
        <w:rPr>
          <w:rFonts w:ascii="Georgia" w:cs="Georgia" w:eastAsia="Georgia" w:hAnsi="Georgia"/>
          <w:b/>
          <w:bCs/>
          <w:color w:val="2C3340"/>
          <w:sz w:val="26"/>
          <w:szCs w:val="26"/>
        </w:rPr>
        <w:t xml:space="preserve">How the stages connect for SchnelPay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E0D9C8" w:sz="1"/>
              <w:left w:val="single" w:color="E0D9C8" w:sz="1"/>
              <w:bottom w:val="single" w:color="E0D9C8" w:sz="1"/>
              <w:right w:val="single" w:color="E0D9C8" w:sz="1"/>
            </w:tcBorders>
            <w:shd w:fill="2C3340" w:val="clear"/>
            <w:tcMar>
              <w:top w:type="dxa" w:w="120"/>
              <w:left w:type="dxa" w:w="160"/>
              <w:bottom w:type="dxa" w:w="120"/>
              <w:right w:type="dxa" w:w="160"/>
            </w:tcMar>
          </w:tcPr>
          <w:p>
            <w:r>
              <w:rPr>
                <w:rFonts w:ascii="Arial" w:cs="Arial" w:eastAsia="Arial" w:hAnsi="Arial"/>
                <w:b/>
                <w:bCs/>
                <w:color w:val="FFFFFF"/>
                <w:sz w:val="20"/>
                <w:szCs w:val="20"/>
              </w:rPr>
              <w:t xml:space="preserve">Stage</w:t>
            </w:r>
          </w:p>
        </w:tc>
        <w:tc>
          <w:tcPr>
            <w:tcW w:type="dxa" w:w="2200"/>
            <w:tcBorders>
              <w:top w:val="single" w:color="E0D9C8" w:sz="1"/>
              <w:left w:val="single" w:color="E0D9C8" w:sz="1"/>
              <w:bottom w:val="single" w:color="E0D9C8" w:sz="1"/>
              <w:right w:val="single" w:color="E0D9C8" w:sz="1"/>
            </w:tcBorders>
            <w:shd w:fill="2C3340" w:val="clear"/>
            <w:tcMar>
              <w:top w:type="dxa" w:w="120"/>
              <w:left w:type="dxa" w:w="160"/>
              <w:bottom w:type="dxa" w:w="120"/>
              <w:right w:type="dxa" w:w="160"/>
            </w:tcMar>
          </w:tcPr>
          <w:p>
            <w:r>
              <w:rPr>
                <w:rFonts w:ascii="Arial" w:cs="Arial" w:eastAsia="Arial" w:hAnsi="Arial"/>
                <w:b/>
                <w:bCs/>
                <w:color w:val="FFFFFF"/>
                <w:sz w:val="20"/>
                <w:szCs w:val="20"/>
              </w:rPr>
              <w:t xml:space="preserve">Amount</w:t>
            </w:r>
          </w:p>
        </w:tc>
        <w:tc>
          <w:tcPr>
            <w:tcW w:type="dxa" w:w="2200"/>
            <w:tcBorders>
              <w:top w:val="single" w:color="E0D9C8" w:sz="1"/>
              <w:left w:val="single" w:color="E0D9C8" w:sz="1"/>
              <w:bottom w:val="single" w:color="E0D9C8" w:sz="1"/>
              <w:right w:val="single" w:color="E0D9C8" w:sz="1"/>
            </w:tcBorders>
            <w:shd w:fill="2C3340" w:val="clear"/>
            <w:tcMar>
              <w:top w:type="dxa" w:w="120"/>
              <w:left w:type="dxa" w:w="160"/>
              <w:bottom w:type="dxa" w:w="120"/>
              <w:right w:type="dxa" w:w="160"/>
            </w:tcMar>
          </w:tcPr>
          <w:p>
            <w:r>
              <w:rPr>
                <w:rFonts w:ascii="Arial" w:cs="Arial" w:eastAsia="Arial" w:hAnsi="Arial"/>
                <w:b/>
                <w:bCs/>
                <w:color w:val="FFFFFF"/>
                <w:sz w:val="20"/>
                <w:szCs w:val="20"/>
              </w:rPr>
              <w:t xml:space="preserve">Timeline</w:t>
            </w:r>
          </w:p>
        </w:tc>
        <w:tc>
          <w:tcPr>
            <w:tcW w:type="dxa" w:w="2960"/>
            <w:tcBorders>
              <w:top w:val="single" w:color="E0D9C8" w:sz="1"/>
              <w:left w:val="single" w:color="E0D9C8" w:sz="1"/>
              <w:bottom w:val="single" w:color="E0D9C8" w:sz="1"/>
              <w:right w:val="single" w:color="E0D9C8" w:sz="1"/>
            </w:tcBorders>
            <w:shd w:fill="2C3340" w:val="clear"/>
            <w:tcMar>
              <w:top w:type="dxa" w:w="120"/>
              <w:left w:type="dxa" w:w="160"/>
              <w:bottom w:type="dxa" w:w="120"/>
              <w:right w:type="dxa" w:w="160"/>
            </w:tcMar>
          </w:tcPr>
          <w:p>
            <w:r>
              <w:rPr>
                <w:rFonts w:ascii="Arial" w:cs="Arial" w:eastAsia="Arial" w:hAnsi="Arial"/>
                <w:b/>
                <w:bCs/>
                <w:color w:val="FFFFFF"/>
                <w:sz w:val="20"/>
                <w:szCs w:val="20"/>
              </w:rPr>
              <w:t xml:space="preserve">Key milestone</w:t>
            </w:r>
          </w:p>
        </w:tc>
      </w:tr>
      <w:tr>
        <w:tc>
          <w:tcPr>
            <w:tcW w:type="dxa" w:w="2000"/>
            <w:tcBorders>
              <w:top w:val="single" w:color="E0D9C8" w:sz="1"/>
              <w:left w:val="single" w:color="E0D9C8" w:sz="1"/>
              <w:bottom w:val="single" w:color="E0D9C8" w:sz="1"/>
              <w:right w:val="single" w:color="E0D9C8" w:sz="1"/>
            </w:tcBorders>
            <w:shd w:fill="F9F7F2" w:val="clear"/>
            <w:tcMar>
              <w:top w:type="dxa" w:w="100"/>
              <w:left w:type="dxa" w:w="160"/>
              <w:bottom w:type="dxa" w:w="100"/>
              <w:right w:type="dxa" w:w="160"/>
            </w:tcMar>
          </w:tcPr>
          <w:p>
            <w:r>
              <w:rPr>
                <w:rFonts w:ascii="Arial" w:cs="Arial" w:eastAsia="Arial" w:hAnsi="Arial"/>
                <w:b/>
                <w:bCs/>
                <w:color w:val="2C3340"/>
                <w:sz w:val="20"/>
                <w:szCs w:val="20"/>
              </w:rPr>
              <w:t xml:space="preserve">Pre-Seed (NOW)</w:t>
            </w:r>
          </w:p>
        </w:tc>
        <w:tc>
          <w:tcPr>
            <w:tcW w:type="dxa" w:w="2200"/>
            <w:tcBorders>
              <w:top w:val="single" w:color="E0D9C8" w:sz="1"/>
              <w:left w:val="single" w:color="E0D9C8" w:sz="1"/>
              <w:bottom w:val="single" w:color="E0D9C8" w:sz="1"/>
              <w:right w:val="single" w:color="E0D9C8" w:sz="1"/>
            </w:tcBorders>
            <w:shd w:fill="F9F7F2" w:val="clear"/>
            <w:tcMar>
              <w:top w:type="dxa" w:w="100"/>
              <w:left w:type="dxa" w:w="160"/>
              <w:bottom w:type="dxa" w:w="100"/>
              <w:right w:type="dxa" w:w="160"/>
            </w:tcMar>
          </w:tcPr>
          <w:p>
            <w:r>
              <w:rPr>
                <w:rFonts w:ascii="Arial" w:cs="Arial" w:eastAsia="Arial" w:hAnsi="Arial"/>
                <w:b w:val="false"/>
                <w:bCs w:val="false"/>
                <w:color w:val="2C3340"/>
                <w:sz w:val="20"/>
                <w:szCs w:val="20"/>
              </w:rPr>
              <w:t xml:space="preserve">$500K</w:t>
            </w:r>
          </w:p>
        </w:tc>
        <w:tc>
          <w:tcPr>
            <w:tcW w:type="dxa" w:w="2200"/>
            <w:tcBorders>
              <w:top w:val="single" w:color="E0D9C8" w:sz="1"/>
              <w:left w:val="single" w:color="E0D9C8" w:sz="1"/>
              <w:bottom w:val="single" w:color="E0D9C8" w:sz="1"/>
              <w:right w:val="single" w:color="E0D9C8" w:sz="1"/>
            </w:tcBorders>
            <w:shd w:fill="F9F7F2" w:val="clear"/>
            <w:tcMar>
              <w:top w:type="dxa" w:w="100"/>
              <w:left w:type="dxa" w:w="160"/>
              <w:bottom w:type="dxa" w:w="100"/>
              <w:right w:type="dxa" w:w="160"/>
            </w:tcMar>
          </w:tcPr>
          <w:p>
            <w:r>
              <w:rPr>
                <w:rFonts w:ascii="Arial" w:cs="Arial" w:eastAsia="Arial" w:hAnsi="Arial"/>
                <w:b w:val="false"/>
                <w:bCs w:val="false"/>
                <w:color w:val="2C3340"/>
                <w:sz w:val="20"/>
                <w:szCs w:val="20"/>
              </w:rPr>
              <w:t xml:space="preserve">Q2 2026</w:t>
            </w:r>
          </w:p>
        </w:tc>
        <w:tc>
          <w:tcPr>
            <w:tcW w:type="dxa" w:w="2960"/>
            <w:tcBorders>
              <w:top w:val="single" w:color="E0D9C8" w:sz="1"/>
              <w:left w:val="single" w:color="E0D9C8" w:sz="1"/>
              <w:bottom w:val="single" w:color="E0D9C8" w:sz="1"/>
              <w:right w:val="single" w:color="E0D9C8" w:sz="1"/>
            </w:tcBorders>
            <w:shd w:fill="F9F7F2" w:val="clear"/>
            <w:tcMar>
              <w:top w:type="dxa" w:w="100"/>
              <w:left w:type="dxa" w:w="160"/>
              <w:bottom w:type="dxa" w:w="100"/>
              <w:right w:type="dxa" w:w="160"/>
            </w:tcMar>
          </w:tcPr>
          <w:p>
            <w:r>
              <w:rPr>
                <w:rFonts w:ascii="Arial" w:cs="Arial" w:eastAsia="Arial" w:hAnsi="Arial"/>
                <w:b w:val="false"/>
                <w:bCs w:val="false"/>
                <w:color w:val="2C3340"/>
                <w:sz w:val="20"/>
                <w:szCs w:val="20"/>
              </w:rPr>
              <w:t xml:space="preserve">First paying custodial users</w:t>
            </w:r>
          </w:p>
        </w:tc>
      </w:tr>
      <w:tr>
        <w:tc>
          <w:tcPr>
            <w:tcW w:type="dxa" w:w="2000"/>
            <w:tcBorders>
              <w:top w:val="single" w:color="E0D9C8" w:sz="1"/>
              <w:left w:val="single" w:color="E0D9C8" w:sz="1"/>
              <w:bottom w:val="single" w:color="E0D9C8" w:sz="1"/>
              <w:right w:val="single" w:color="E0D9C8" w:sz="1"/>
            </w:tcBorders>
            <w:shd w:fill="FFFFFF" w:val="clear"/>
            <w:tcMar>
              <w:top w:type="dxa" w:w="100"/>
              <w:left w:type="dxa" w:w="160"/>
              <w:bottom w:type="dxa" w:w="100"/>
              <w:right w:type="dxa" w:w="160"/>
            </w:tcMar>
          </w:tcPr>
          <w:p>
            <w:r>
              <w:rPr>
                <w:rFonts w:ascii="Arial" w:cs="Arial" w:eastAsia="Arial" w:hAnsi="Arial"/>
                <w:b/>
                <w:bCs/>
                <w:color w:val="2C3340"/>
                <w:sz w:val="20"/>
                <w:szCs w:val="20"/>
              </w:rPr>
              <w:t xml:space="preserve">Seed</w:t>
            </w:r>
          </w:p>
        </w:tc>
        <w:tc>
          <w:tcPr>
            <w:tcW w:type="dxa" w:w="2200"/>
            <w:tcBorders>
              <w:top w:val="single" w:color="E0D9C8" w:sz="1"/>
              <w:left w:val="single" w:color="E0D9C8" w:sz="1"/>
              <w:bottom w:val="single" w:color="E0D9C8" w:sz="1"/>
              <w:right w:val="single" w:color="E0D9C8" w:sz="1"/>
            </w:tcBorders>
            <w:shd w:fill="FFFFFF" w:val="clear"/>
            <w:tcMar>
              <w:top w:type="dxa" w:w="100"/>
              <w:left w:type="dxa" w:w="160"/>
              <w:bottom w:type="dxa" w:w="100"/>
              <w:right w:type="dxa" w:w="160"/>
            </w:tcMar>
          </w:tcPr>
          <w:p>
            <w:r>
              <w:rPr>
                <w:rFonts w:ascii="Arial" w:cs="Arial" w:eastAsia="Arial" w:hAnsi="Arial"/>
                <w:b w:val="false"/>
                <w:bCs w:val="false"/>
                <w:color w:val="2C3340"/>
                <w:sz w:val="20"/>
                <w:szCs w:val="20"/>
              </w:rPr>
              <w:t xml:space="preserve">$2M — $3M</w:t>
            </w:r>
          </w:p>
        </w:tc>
        <w:tc>
          <w:tcPr>
            <w:tcW w:type="dxa" w:w="2200"/>
            <w:tcBorders>
              <w:top w:val="single" w:color="E0D9C8" w:sz="1"/>
              <w:left w:val="single" w:color="E0D9C8" w:sz="1"/>
              <w:bottom w:val="single" w:color="E0D9C8" w:sz="1"/>
              <w:right w:val="single" w:color="E0D9C8" w:sz="1"/>
            </w:tcBorders>
            <w:shd w:fill="FFFFFF" w:val="clear"/>
            <w:tcMar>
              <w:top w:type="dxa" w:w="100"/>
              <w:left w:type="dxa" w:w="160"/>
              <w:bottom w:type="dxa" w:w="100"/>
              <w:right w:type="dxa" w:w="160"/>
            </w:tcMar>
          </w:tcPr>
          <w:p>
            <w:r>
              <w:rPr>
                <w:rFonts w:ascii="Arial" w:cs="Arial" w:eastAsia="Arial" w:hAnsi="Arial"/>
                <w:b w:val="false"/>
                <w:bCs w:val="false"/>
                <w:color w:val="2C3340"/>
                <w:sz w:val="20"/>
                <w:szCs w:val="20"/>
              </w:rPr>
              <w:t xml:space="preserve">Q4 2027</w:t>
            </w:r>
          </w:p>
        </w:tc>
        <w:tc>
          <w:tcPr>
            <w:tcW w:type="dxa" w:w="2960"/>
            <w:tcBorders>
              <w:top w:val="single" w:color="E0D9C8" w:sz="1"/>
              <w:left w:val="single" w:color="E0D9C8" w:sz="1"/>
              <w:bottom w:val="single" w:color="E0D9C8" w:sz="1"/>
              <w:right w:val="single" w:color="E0D9C8" w:sz="1"/>
            </w:tcBorders>
            <w:shd w:fill="FFFFFF" w:val="clear"/>
            <w:tcMar>
              <w:top w:type="dxa" w:w="100"/>
              <w:left w:type="dxa" w:w="160"/>
              <w:bottom w:type="dxa" w:w="100"/>
              <w:right w:type="dxa" w:w="160"/>
            </w:tcMar>
          </w:tcPr>
          <w:p>
            <w:r>
              <w:rPr>
                <w:rFonts w:ascii="Arial" w:cs="Arial" w:eastAsia="Arial" w:hAnsi="Arial"/>
                <w:b w:val="false"/>
                <w:bCs w:val="false"/>
                <w:color w:val="2C3340"/>
                <w:sz w:val="20"/>
                <w:szCs w:val="20"/>
              </w:rPr>
              <w:t xml:space="preserve">$500K+ ARR, 500+ users</w:t>
            </w:r>
          </w:p>
        </w:tc>
      </w:tr>
      <w:tr>
        <w:tc>
          <w:tcPr>
            <w:tcW w:type="dxa" w:w="2000"/>
            <w:tcBorders>
              <w:top w:val="single" w:color="E0D9C8" w:sz="1"/>
              <w:left w:val="single" w:color="E0D9C8" w:sz="1"/>
              <w:bottom w:val="single" w:color="E0D9C8" w:sz="1"/>
              <w:right w:val="single" w:color="E0D9C8" w:sz="1"/>
            </w:tcBorders>
            <w:shd w:fill="F9F7F2" w:val="clear"/>
            <w:tcMar>
              <w:top w:type="dxa" w:w="100"/>
              <w:left w:type="dxa" w:w="160"/>
              <w:bottom w:type="dxa" w:w="100"/>
              <w:right w:type="dxa" w:w="160"/>
            </w:tcMar>
          </w:tcPr>
          <w:p>
            <w:r>
              <w:rPr>
                <w:rFonts w:ascii="Arial" w:cs="Arial" w:eastAsia="Arial" w:hAnsi="Arial"/>
                <w:b/>
                <w:bCs/>
                <w:color w:val="2C3340"/>
                <w:sz w:val="20"/>
                <w:szCs w:val="20"/>
              </w:rPr>
              <w:t xml:space="preserve">Series A</w:t>
            </w:r>
          </w:p>
        </w:tc>
        <w:tc>
          <w:tcPr>
            <w:tcW w:type="dxa" w:w="2200"/>
            <w:tcBorders>
              <w:top w:val="single" w:color="E0D9C8" w:sz="1"/>
              <w:left w:val="single" w:color="E0D9C8" w:sz="1"/>
              <w:bottom w:val="single" w:color="E0D9C8" w:sz="1"/>
              <w:right w:val="single" w:color="E0D9C8" w:sz="1"/>
            </w:tcBorders>
            <w:shd w:fill="F9F7F2" w:val="clear"/>
            <w:tcMar>
              <w:top w:type="dxa" w:w="100"/>
              <w:left w:type="dxa" w:w="160"/>
              <w:bottom w:type="dxa" w:w="100"/>
              <w:right w:type="dxa" w:w="160"/>
            </w:tcMar>
          </w:tcPr>
          <w:p>
            <w:r>
              <w:rPr>
                <w:rFonts w:ascii="Arial" w:cs="Arial" w:eastAsia="Arial" w:hAnsi="Arial"/>
                <w:b w:val="false"/>
                <w:bCs w:val="false"/>
                <w:color w:val="2C3340"/>
                <w:sz w:val="20"/>
                <w:szCs w:val="20"/>
              </w:rPr>
              <w:t xml:space="preserve">$10M — $15M</w:t>
            </w:r>
          </w:p>
        </w:tc>
        <w:tc>
          <w:tcPr>
            <w:tcW w:type="dxa" w:w="2200"/>
            <w:tcBorders>
              <w:top w:val="single" w:color="E0D9C8" w:sz="1"/>
              <w:left w:val="single" w:color="E0D9C8" w:sz="1"/>
              <w:bottom w:val="single" w:color="E0D9C8" w:sz="1"/>
              <w:right w:val="single" w:color="E0D9C8" w:sz="1"/>
            </w:tcBorders>
            <w:shd w:fill="F9F7F2" w:val="clear"/>
            <w:tcMar>
              <w:top w:type="dxa" w:w="100"/>
              <w:left w:type="dxa" w:w="160"/>
              <w:bottom w:type="dxa" w:w="100"/>
              <w:right w:type="dxa" w:w="160"/>
            </w:tcMar>
          </w:tcPr>
          <w:p>
            <w:r>
              <w:rPr>
                <w:rFonts w:ascii="Arial" w:cs="Arial" w:eastAsia="Arial" w:hAnsi="Arial"/>
                <w:b w:val="false"/>
                <w:bCs w:val="false"/>
                <w:color w:val="2C3340"/>
                <w:sz w:val="20"/>
                <w:szCs w:val="20"/>
              </w:rPr>
              <w:t xml:space="preserve">2028-2029</w:t>
            </w:r>
          </w:p>
        </w:tc>
        <w:tc>
          <w:tcPr>
            <w:tcW w:type="dxa" w:w="2960"/>
            <w:tcBorders>
              <w:top w:val="single" w:color="E0D9C8" w:sz="1"/>
              <w:left w:val="single" w:color="E0D9C8" w:sz="1"/>
              <w:bottom w:val="single" w:color="E0D9C8" w:sz="1"/>
              <w:right w:val="single" w:color="E0D9C8" w:sz="1"/>
            </w:tcBorders>
            <w:shd w:fill="F9F7F2" w:val="clear"/>
            <w:tcMar>
              <w:top w:type="dxa" w:w="100"/>
              <w:left w:type="dxa" w:w="160"/>
              <w:bottom w:type="dxa" w:w="100"/>
              <w:right w:type="dxa" w:w="160"/>
            </w:tcMar>
          </w:tcPr>
          <w:p>
            <w:r>
              <w:rPr>
                <w:rFonts w:ascii="Arial" w:cs="Arial" w:eastAsia="Arial" w:hAnsi="Arial"/>
                <w:b w:val="false"/>
                <w:bCs w:val="false"/>
                <w:color w:val="2C3340"/>
                <w:sz w:val="20"/>
                <w:szCs w:val="20"/>
              </w:rPr>
              <w:t xml:space="preserve">$3M+ ARR, enterprise contracts</w:t>
            </w:r>
          </w:p>
        </w:tc>
      </w:tr>
    </w:tbl>
    <w:p>
      <w:pPr>
        <w:pBdr>
          <w:bottom w:val="single" w:color="C9A84C" w:sz="4" w:space="1"/>
        </w:pBdr>
        <w:spacing w:after="200" w:before="200"/>
      </w:pPr>
    </w:p>
    <w:p>
      <w:pPr>
        <w:pStyle w:val="Heading2"/>
        <w:spacing w:after="120" w:before="300"/>
      </w:pPr>
      <w:r>
        <w:rPr>
          <w:rFonts w:ascii="Georgia" w:cs="Georgia" w:eastAsia="Georgia" w:hAnsi="Georgia"/>
          <w:b/>
          <w:bCs/>
          <w:color w:val="2C3340"/>
          <w:sz w:val="26"/>
          <w:szCs w:val="26"/>
        </w:rPr>
        <w:t xml:space="preserve">Key terms you'll hear</w:t>
      </w:r>
    </w:p>
    <w:p>
      <w:pPr>
        <w:spacing w:after="80" w:before="240"/>
      </w:pPr>
      <w:r>
        <w:rPr>
          <w:rFonts w:ascii="Arial" w:cs="Arial" w:eastAsia="Arial" w:hAnsi="Arial"/>
          <w:b/>
          <w:bCs/>
          <w:color w:val="2C3340"/>
          <w:sz w:val="22"/>
          <w:szCs w:val="22"/>
        </w:rPr>
        <w:t xml:space="preserve">SAFE — Simple Agreement for Future Equity</w:t>
      </w:r>
    </w:p>
    <w:p>
      <w:pPr>
        <w:spacing w:after="80" w:before="60"/>
      </w:pPr>
      <w:r>
        <w:rPr>
          <w:rFonts w:ascii="Arial" w:cs="Arial" w:eastAsia="Arial" w:hAnsi="Arial"/>
          <w:color w:val="2C3340"/>
          <w:sz w:val="22"/>
          <w:szCs w:val="22"/>
        </w:rPr>
        <w:t xml:space="preserve">The most common pre-seed instrument. You give investors a promise of future equity when you raise a priced round. No valuation negotiation needed upfront. Fast and cheap to close. 9 out of 10 pre-seed rounds use this.</w:t>
      </w:r>
    </w:p>
    <w:p>
      <w:pPr>
        <w:spacing w:after="80" w:before="80"/>
      </w:pPr>
    </w:p>
    <w:p>
      <w:pPr>
        <w:spacing w:after="80" w:before="240"/>
      </w:pPr>
      <w:r>
        <w:rPr>
          <w:rFonts w:ascii="Arial" w:cs="Arial" w:eastAsia="Arial" w:hAnsi="Arial"/>
          <w:b/>
          <w:bCs/>
          <w:color w:val="2C3340"/>
          <w:sz w:val="22"/>
          <w:szCs w:val="22"/>
        </w:rPr>
        <w:t xml:space="preserve">Valuation cap</w:t>
      </w:r>
    </w:p>
    <w:p>
      <w:pPr>
        <w:spacing w:after="80" w:before="60"/>
      </w:pPr>
      <w:r>
        <w:rPr>
          <w:rFonts w:ascii="Arial" w:cs="Arial" w:eastAsia="Arial" w:hAnsi="Arial"/>
          <w:color w:val="2C3340"/>
          <w:sz w:val="22"/>
          <w:szCs w:val="22"/>
        </w:rPr>
        <w:t xml:space="preserve">The maximum valuation at which the SAFE converts to equity. If you raise your pre-seed on a $5M cap and your seed round values the company at $10M, SAFE investors convert at $5M — they get twice as much equity as seed investors for the same dollar amount. This is the investor's reward for taking early risk.</w:t>
      </w:r>
    </w:p>
    <w:p>
      <w:pPr>
        <w:spacing w:after="80" w:before="80"/>
      </w:pPr>
    </w:p>
    <w:p>
      <w:pPr>
        <w:spacing w:after="80" w:before="240"/>
      </w:pPr>
      <w:r>
        <w:rPr>
          <w:rFonts w:ascii="Arial" w:cs="Arial" w:eastAsia="Arial" w:hAnsi="Arial"/>
          <w:b/>
          <w:bCs/>
          <w:color w:val="2C3340"/>
          <w:sz w:val="22"/>
          <w:szCs w:val="22"/>
        </w:rPr>
        <w:t xml:space="preserve">Dilution</w:t>
      </w:r>
    </w:p>
    <w:p>
      <w:pPr>
        <w:spacing w:after="80" w:before="60"/>
      </w:pPr>
      <w:r>
        <w:rPr>
          <w:rFonts w:ascii="Arial" w:cs="Arial" w:eastAsia="Arial" w:hAnsi="Arial"/>
          <w:color w:val="2C3340"/>
          <w:sz w:val="22"/>
          <w:szCs w:val="22"/>
        </w:rPr>
        <w:t xml:space="preserve">When you issue new shares, existing shareholders own a smaller percentage. A $500K pre-seed at a $5M cap means roughly 10% dilution. A $2M seed at a $15M valuation means roughly 13% more dilution. After pre-seed and seed, founders typically own 65-75% of the company.</w:t>
      </w:r>
    </w:p>
    <w:p>
      <w:pPr>
        <w:spacing w:after="80" w:before="80"/>
      </w:pPr>
    </w:p>
    <w:p>
      <w:pPr>
        <w:spacing w:after="80" w:before="240"/>
      </w:pPr>
      <w:r>
        <w:rPr>
          <w:rFonts w:ascii="Arial" w:cs="Arial" w:eastAsia="Arial" w:hAnsi="Arial"/>
          <w:b/>
          <w:bCs/>
          <w:color w:val="2C3340"/>
          <w:sz w:val="22"/>
          <w:szCs w:val="22"/>
        </w:rPr>
        <w:t xml:space="preserve">Lead investor</w:t>
      </w:r>
    </w:p>
    <w:p>
      <w:pPr>
        <w:spacing w:after="80" w:before="60"/>
      </w:pPr>
      <w:r>
        <w:rPr>
          <w:rFonts w:ascii="Arial" w:cs="Arial" w:eastAsia="Arial" w:hAnsi="Arial"/>
          <w:color w:val="2C3340"/>
          <w:sz w:val="22"/>
          <w:szCs w:val="22"/>
        </w:rPr>
        <w:t xml:space="preserve">The investor who sets the terms and puts in the largest check. For pre-seed, the lead is often an angel or a micro-VC. For seed and above, it's typically a VC firm. Having a credible lead makes it much easier to fill the rest of the round.</w:t>
      </w:r>
    </w:p>
    <w:p>
      <w:pPr>
        <w:spacing w:after="80" w:before="80"/>
      </w:pPr>
    </w:p>
    <w:p>
      <w:pPr>
        <w:spacing w:after="80" w:before="240"/>
      </w:pPr>
      <w:r>
        <w:rPr>
          <w:rFonts w:ascii="Arial" w:cs="Arial" w:eastAsia="Arial" w:hAnsi="Arial"/>
          <w:b/>
          <w:bCs/>
          <w:color w:val="2C3340"/>
          <w:sz w:val="22"/>
          <w:szCs w:val="22"/>
        </w:rPr>
        <w:t xml:space="preserve">Demo Day</w:t>
      </w:r>
    </w:p>
    <w:p>
      <w:pPr>
        <w:spacing w:after="80" w:before="60"/>
      </w:pPr>
      <w:r>
        <w:rPr>
          <w:rFonts w:ascii="Arial" w:cs="Arial" w:eastAsia="Arial" w:hAnsi="Arial"/>
          <w:color w:val="2C3340"/>
          <w:sz w:val="22"/>
          <w:szCs w:val="22"/>
        </w:rPr>
        <w:t xml:space="preserve">The final presentation event of an accelerator program. Y Combinator's Demo Day is the most prestigious — hundreds of VCs attend and companies raise their seed rounds in the days following. Getting into YC is the fastest path to a seed round for many founders.</w:t>
      </w:r>
    </w:p>
    <w:p>
      <w:pPr>
        <w:pBdr>
          <w:bottom w:val="single" w:color="C9A84C" w:sz="4" w:space="1"/>
        </w:pBdr>
        <w:spacing w:after="200" w:before="200"/>
      </w:pPr>
    </w:p>
    <w:p>
      <w:pPr>
        <w:pStyle w:val="Heading2"/>
        <w:spacing w:after="120" w:before="300"/>
      </w:pPr>
      <w:r>
        <w:rPr>
          <w:rFonts w:ascii="Georgia" w:cs="Georgia" w:eastAsia="Georgia" w:hAnsi="Georgia"/>
          <w:b/>
          <w:bCs/>
          <w:color w:val="2C3340"/>
          <w:sz w:val="26"/>
          <w:szCs w:val="26"/>
        </w:rPr>
        <w:t xml:space="preserve">What to do right now</w:t>
      </w:r>
    </w:p>
    <w:p>
      <w:pPr>
        <w:pStyle w:val="ListParagraph"/>
        <w:numPr>
          <w:ilvl w:val="0"/>
          <w:numId w:val="2"/>
        </w:numPr>
        <w:spacing w:after="40" w:before="40"/>
      </w:pPr>
      <w:r>
        <w:rPr>
          <w:rFonts w:ascii="Arial" w:cs="Arial" w:eastAsia="Arial" w:hAnsi="Arial"/>
          <w:color w:val="2C3340"/>
          <w:sz w:val="21"/>
          <w:szCs w:val="21"/>
        </w:rPr>
        <w:t xml:space="preserve">Form the LLC — no investor can write a check to a sole proprietor.</w:t>
      </w:r>
    </w:p>
    <w:p>
      <w:pPr>
        <w:pStyle w:val="ListParagraph"/>
        <w:numPr>
          <w:ilvl w:val="0"/>
          <w:numId w:val="2"/>
        </w:numPr>
        <w:spacing w:after="40" w:before="40"/>
      </w:pPr>
      <w:r>
        <w:rPr>
          <w:rFonts w:ascii="Arial" w:cs="Arial" w:eastAsia="Arial" w:hAnsi="Arial"/>
          <w:color w:val="2C3340"/>
          <w:sz w:val="21"/>
          <w:szCs w:val="21"/>
        </w:rPr>
        <w:t xml:space="preserve">Apply to Y Combinator — applications are always open. Next batch deadline: check ycombinator.com/apply.</w:t>
      </w:r>
    </w:p>
    <w:p>
      <w:pPr>
        <w:pStyle w:val="ListParagraph"/>
        <w:numPr>
          <w:ilvl w:val="0"/>
          <w:numId w:val="2"/>
        </w:numPr>
        <w:spacing w:after="40" w:before="40"/>
      </w:pPr>
      <w:r>
        <w:rPr>
          <w:rFonts w:ascii="Arial" w:cs="Arial" w:eastAsia="Arial" w:hAnsi="Arial"/>
          <w:color w:val="2C3340"/>
          <w:sz w:val="21"/>
          <w:szCs w:val="21"/>
        </w:rPr>
        <w:t xml:space="preserve">Apply to Alliance DAO — rolling admissions, crypto-native, founder-friendly.</w:t>
      </w:r>
    </w:p>
    <w:p>
      <w:pPr>
        <w:pStyle w:val="ListParagraph"/>
        <w:numPr>
          <w:ilvl w:val="0"/>
          <w:numId w:val="2"/>
        </w:numPr>
        <w:spacing w:after="40" w:before="40"/>
      </w:pPr>
      <w:r>
        <w:rPr>
          <w:rFonts w:ascii="Arial" w:cs="Arial" w:eastAsia="Arial" w:hAnsi="Arial"/>
          <w:color w:val="2C3340"/>
          <w:sz w:val="21"/>
          <w:szCs w:val="21"/>
        </w:rPr>
        <w:t xml:space="preserve">Apply for Solana Foundation and Ethereum Foundation grants — non-dilutive, faster timeline.</w:t>
      </w:r>
    </w:p>
    <w:p>
      <w:pPr>
        <w:pStyle w:val="ListParagraph"/>
        <w:numPr>
          <w:ilvl w:val="0"/>
          <w:numId w:val="2"/>
        </w:numPr>
        <w:spacing w:after="40" w:before="40"/>
      </w:pPr>
      <w:r>
        <w:rPr>
          <w:rFonts w:ascii="Arial" w:cs="Arial" w:eastAsia="Arial" w:hAnsi="Arial"/>
          <w:color w:val="2C3340"/>
          <w:sz w:val="21"/>
          <w:szCs w:val="21"/>
        </w:rPr>
        <w:t xml:space="preserve">Get one paying user — even $1 of real revenue changes every investor conversation.</w:t>
      </w:r>
    </w:p>
    <w:p>
      <w:pPr>
        <w:pStyle w:val="ListParagraph"/>
        <w:numPr>
          <w:ilvl w:val="0"/>
          <w:numId w:val="2"/>
        </w:numPr>
        <w:spacing w:after="40" w:before="40"/>
      </w:pPr>
      <w:r>
        <w:rPr>
          <w:rFonts w:ascii="Arial" w:cs="Arial" w:eastAsia="Arial" w:hAnsi="Arial"/>
          <w:color w:val="2C3340"/>
          <w:sz w:val="21"/>
          <w:szCs w:val="21"/>
        </w:rPr>
        <w:t xml:space="preserve">Update this pitch deck with your real name/background on the Team slide once LLC is formed.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2C3340"/>
      <w:sz w:val="36"/>
      <w:szCs w:val="36"/>
    </w:rPr>
  </w:style>
  <w:style w:type="paragraph" w:styleId="Heading2">
    <w:name w:val="Heading 2"/>
    <w:basedOn w:val="Normal"/>
    <w:next w:val="Normal"/>
    <w:qFormat/>
    <w:pPr>
      <w:spacing w:after="160" w:before="360"/>
      <w:outlineLvl w:val="1"/>
    </w:pPr>
    <w:rPr>
      <w:rFonts w:ascii="Georgia" w:cs="Georgia" w:eastAsia="Georgia" w:hAnsi="Georgia"/>
      <w:b/>
      <w:bCs/>
      <w:color w:val="2C33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2026-04-13T04:16:24.404Z</dcterms:created>
  <dcterms:modified xsi:type="dcterms:W3CDTF">2026-04-13T04:16:24.405Z</dcterms:modified>
</cp:coreProperties>
</file>

<file path=docProps/custom.xml><?xml version="1.0" encoding="utf-8"?>
<Properties xmlns="http://schemas.openxmlformats.org/officeDocument/2006/custom-properties" xmlns:vt="http://schemas.openxmlformats.org/officeDocument/2006/docPropsVTypes"/>
</file>