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92DF7" w14:textId="77777777" w:rsidR="00FD6330" w:rsidRPr="00FD6330" w:rsidRDefault="00FD6330" w:rsidP="00FD6330">
      <w:pPr>
        <w:autoSpaceDE w:val="0"/>
        <w:autoSpaceDN w:val="0"/>
        <w:adjustRightInd w:val="0"/>
        <w:spacing w:after="0"/>
        <w:ind w:left="709" w:hanging="709"/>
        <w:jc w:val="both"/>
        <w:rPr>
          <w:rFonts w:ascii="Arial" w:hAnsi="Arial" w:cs="Arial"/>
          <w:b/>
          <w:sz w:val="24"/>
          <w:szCs w:val="24"/>
        </w:rPr>
      </w:pPr>
      <w:r w:rsidRPr="00FD6330">
        <w:rPr>
          <w:rFonts w:ascii="Arial" w:hAnsi="Arial" w:cs="Arial"/>
          <w:b/>
          <w:sz w:val="24"/>
          <w:szCs w:val="24"/>
        </w:rPr>
        <w:t>Quelle 1</w:t>
      </w:r>
    </w:p>
    <w:p w14:paraId="62E52B2E" w14:textId="77777777" w:rsidR="00FD6330" w:rsidRPr="00FD6330" w:rsidRDefault="00FD6330" w:rsidP="00FD6330">
      <w:pPr>
        <w:autoSpaceDE w:val="0"/>
        <w:autoSpaceDN w:val="0"/>
        <w:adjustRightInd w:val="0"/>
        <w:spacing w:after="0"/>
        <w:ind w:left="709" w:hanging="709"/>
        <w:jc w:val="both"/>
        <w:rPr>
          <w:rFonts w:ascii="Arial" w:hAnsi="Arial" w:cs="Arial"/>
          <w:sz w:val="24"/>
          <w:szCs w:val="24"/>
        </w:rPr>
      </w:pPr>
    </w:p>
    <w:p w14:paraId="0CB6645F" w14:textId="77777777" w:rsidR="00FD6330" w:rsidRPr="00FD6330" w:rsidRDefault="00FD6330" w:rsidP="00FD6330">
      <w:pPr>
        <w:autoSpaceDE w:val="0"/>
        <w:autoSpaceDN w:val="0"/>
        <w:adjustRightInd w:val="0"/>
        <w:spacing w:after="0"/>
        <w:ind w:left="709" w:hanging="709"/>
        <w:jc w:val="both"/>
        <w:rPr>
          <w:rFonts w:ascii="Arial" w:hAnsi="Arial" w:cs="Arial"/>
          <w:b/>
          <w:sz w:val="24"/>
          <w:szCs w:val="24"/>
        </w:rPr>
      </w:pPr>
      <w:r w:rsidRPr="00FD6330">
        <w:rPr>
          <w:rFonts w:ascii="Arial" w:hAnsi="Arial" w:cs="Arial"/>
          <w:sz w:val="24"/>
          <w:szCs w:val="24"/>
        </w:rPr>
        <w:t xml:space="preserve">Hilbert, T. S., </w:t>
      </w:r>
      <w:proofErr w:type="spellStart"/>
      <w:r w:rsidRPr="00FD6330">
        <w:rPr>
          <w:rFonts w:ascii="Arial" w:hAnsi="Arial" w:cs="Arial"/>
          <w:sz w:val="24"/>
          <w:szCs w:val="24"/>
        </w:rPr>
        <w:t>Nückles</w:t>
      </w:r>
      <w:proofErr w:type="spellEnd"/>
      <w:r w:rsidRPr="00FD6330">
        <w:rPr>
          <w:rFonts w:ascii="Arial" w:hAnsi="Arial" w:cs="Arial"/>
          <w:sz w:val="24"/>
          <w:szCs w:val="24"/>
        </w:rPr>
        <w:t xml:space="preserve">, M., Renkl, A., Minarik, C., Reich, A., &amp; Ruhe, K. (2008). Concept Mapping zum Lernen aus Texten: Können Prompts den Wissens-und Strategieerwerb fördern? </w:t>
      </w:r>
      <w:r w:rsidRPr="00FD6330">
        <w:rPr>
          <w:rFonts w:ascii="Arial" w:hAnsi="Arial" w:cs="Arial"/>
          <w:i/>
          <w:iCs/>
          <w:sz w:val="24"/>
          <w:szCs w:val="24"/>
        </w:rPr>
        <w:t>Zeitschrift für pädagogische Psychologie</w:t>
      </w:r>
      <w:r w:rsidRPr="00FD6330">
        <w:rPr>
          <w:rFonts w:ascii="Arial" w:hAnsi="Arial" w:cs="Arial"/>
          <w:sz w:val="24"/>
          <w:szCs w:val="24"/>
        </w:rPr>
        <w:t xml:space="preserve">, </w:t>
      </w:r>
      <w:r w:rsidRPr="00FD6330">
        <w:rPr>
          <w:rFonts w:ascii="Arial" w:hAnsi="Arial" w:cs="Arial"/>
          <w:i/>
          <w:iCs/>
          <w:sz w:val="24"/>
          <w:szCs w:val="24"/>
        </w:rPr>
        <w:t>22</w:t>
      </w:r>
      <w:r w:rsidRPr="00FD6330">
        <w:rPr>
          <w:rFonts w:ascii="Arial" w:hAnsi="Arial" w:cs="Arial"/>
          <w:sz w:val="24"/>
          <w:szCs w:val="24"/>
        </w:rPr>
        <w:t>(2), 119-125.</w:t>
      </w:r>
    </w:p>
    <w:p w14:paraId="4C355020" w14:textId="77777777" w:rsidR="00FD6330" w:rsidRPr="00FD6330" w:rsidRDefault="00FD6330" w:rsidP="00FD6330">
      <w:pPr>
        <w:autoSpaceDE w:val="0"/>
        <w:autoSpaceDN w:val="0"/>
        <w:adjustRightInd w:val="0"/>
        <w:spacing w:after="0"/>
        <w:jc w:val="center"/>
        <w:rPr>
          <w:rFonts w:ascii="Arial" w:hAnsi="Arial" w:cs="Arial"/>
          <w:b/>
          <w:sz w:val="24"/>
          <w:szCs w:val="24"/>
        </w:rPr>
      </w:pPr>
    </w:p>
    <w:p w14:paraId="344FBDA2" w14:textId="77777777" w:rsidR="001D3473" w:rsidRPr="00FD6330" w:rsidRDefault="001D3473" w:rsidP="00FD6330">
      <w:pPr>
        <w:autoSpaceDE w:val="0"/>
        <w:autoSpaceDN w:val="0"/>
        <w:adjustRightInd w:val="0"/>
        <w:spacing w:after="0"/>
        <w:jc w:val="center"/>
        <w:rPr>
          <w:rFonts w:ascii="Arial" w:hAnsi="Arial" w:cs="Arial"/>
          <w:b/>
          <w:bCs/>
          <w:sz w:val="24"/>
          <w:szCs w:val="24"/>
        </w:rPr>
      </w:pPr>
      <w:r w:rsidRPr="00FD6330">
        <w:rPr>
          <w:rFonts w:ascii="Arial" w:hAnsi="Arial" w:cs="Arial"/>
          <w:b/>
          <w:sz w:val="24"/>
          <w:szCs w:val="24"/>
        </w:rPr>
        <w:t>Concept Mapping zum Lernen aus Texten: Können Prompts den Wissens und Strategieerwerb fördern?</w:t>
      </w:r>
    </w:p>
    <w:p w14:paraId="722AB9CE" w14:textId="77777777" w:rsidR="001D3473" w:rsidRPr="00FD6330" w:rsidRDefault="001D3473" w:rsidP="00FD6330">
      <w:pPr>
        <w:autoSpaceDE w:val="0"/>
        <w:autoSpaceDN w:val="0"/>
        <w:adjustRightInd w:val="0"/>
        <w:spacing w:after="0"/>
        <w:rPr>
          <w:rFonts w:ascii="Arial" w:hAnsi="Arial" w:cs="Arial"/>
          <w:b/>
          <w:bCs/>
          <w:sz w:val="24"/>
          <w:szCs w:val="24"/>
        </w:rPr>
      </w:pPr>
    </w:p>
    <w:p w14:paraId="6C26F863" w14:textId="77777777" w:rsidR="00353C39" w:rsidRPr="001D3473" w:rsidRDefault="001D3473" w:rsidP="00FD6330">
      <w:pPr>
        <w:autoSpaceDE w:val="0"/>
        <w:autoSpaceDN w:val="0"/>
        <w:adjustRightInd w:val="0"/>
        <w:spacing w:after="0"/>
        <w:jc w:val="both"/>
        <w:rPr>
          <w:rFonts w:ascii="Arial" w:hAnsi="Arial" w:cs="Arial"/>
          <w:sz w:val="24"/>
          <w:szCs w:val="24"/>
        </w:rPr>
      </w:pPr>
      <w:r w:rsidRPr="00FD6330">
        <w:rPr>
          <w:rFonts w:ascii="Arial" w:hAnsi="Arial" w:cs="Arial"/>
          <w:sz w:val="24"/>
          <w:szCs w:val="24"/>
        </w:rPr>
        <w:t>Concept Mapping ist eine Lernstrategie, die</w:t>
      </w:r>
      <w:r w:rsidRPr="001D3473">
        <w:rPr>
          <w:rFonts w:ascii="Arial" w:hAnsi="Arial" w:cs="Arial"/>
          <w:sz w:val="24"/>
          <w:szCs w:val="24"/>
        </w:rPr>
        <w:t xml:space="preserve"> insbesondere das bedeutungsvolle Lernen unterstützt. </w:t>
      </w:r>
      <w:r w:rsidRPr="00FD6330">
        <w:rPr>
          <w:rFonts w:ascii="Arial" w:hAnsi="Arial" w:cs="Arial"/>
          <w:sz w:val="24"/>
          <w:szCs w:val="24"/>
        </w:rPr>
        <w:t>Ziel dieser Studie war es, den Nutzen von kognitiven und/oder metakognitiven Prompts auf den Lernerfolg beim Lernen durch Concept Mapping zu untersuchen.</w:t>
      </w:r>
      <w:r w:rsidRPr="001D3473">
        <w:rPr>
          <w:rFonts w:ascii="Arial" w:hAnsi="Arial" w:cs="Arial"/>
          <w:sz w:val="24"/>
          <w:szCs w:val="24"/>
        </w:rPr>
        <w:t xml:space="preserve"> Die teilnehmenden Schülerinnen und Schüler (</w:t>
      </w:r>
      <w:r w:rsidRPr="001D3473">
        <w:rPr>
          <w:rFonts w:ascii="Arial" w:hAnsi="Arial" w:cs="Arial"/>
          <w:i/>
          <w:iCs/>
          <w:sz w:val="24"/>
          <w:szCs w:val="24"/>
        </w:rPr>
        <w:t xml:space="preserve">N </w:t>
      </w:r>
      <w:r w:rsidRPr="001D3473">
        <w:rPr>
          <w:rFonts w:ascii="Arial" w:hAnsi="Arial" w:cs="Arial"/>
          <w:sz w:val="24"/>
          <w:szCs w:val="24"/>
        </w:rPr>
        <w:t xml:space="preserve">= 112, Durchschnittsalter: 17.20 Jahre) </w:t>
      </w:r>
      <w:r w:rsidR="00FD6330">
        <w:rPr>
          <w:rFonts w:ascii="Arial" w:hAnsi="Arial" w:cs="Arial"/>
          <w:sz w:val="24"/>
          <w:szCs w:val="24"/>
        </w:rPr>
        <w:t xml:space="preserve">wurden jeweils einer von vier Versuchsbedingungen (Kontrollgruppe ohne Prompts, Versuchsgruppe 1 und 2 mit kognitiven bzw. metakognitiven Prompts, Versuchsgruppe 3 mit gemischten Prompts) zufällig zugewiesen und </w:t>
      </w:r>
      <w:r w:rsidRPr="001D3473">
        <w:rPr>
          <w:rFonts w:ascii="Arial" w:hAnsi="Arial" w:cs="Arial"/>
          <w:sz w:val="24"/>
          <w:szCs w:val="24"/>
        </w:rPr>
        <w:t xml:space="preserve">erzielten einen signifikant besseren Lernerfolg, wenn sie durch Prompts beim Anfertigen einer Concept </w:t>
      </w:r>
      <w:proofErr w:type="spellStart"/>
      <w:r w:rsidRPr="001D3473">
        <w:rPr>
          <w:rFonts w:ascii="Arial" w:hAnsi="Arial" w:cs="Arial"/>
          <w:sz w:val="24"/>
          <w:szCs w:val="24"/>
        </w:rPr>
        <w:t>Map</w:t>
      </w:r>
      <w:proofErr w:type="spellEnd"/>
      <w:r w:rsidRPr="001D3473">
        <w:rPr>
          <w:rFonts w:ascii="Arial" w:hAnsi="Arial" w:cs="Arial"/>
          <w:sz w:val="24"/>
          <w:szCs w:val="24"/>
        </w:rPr>
        <w:t xml:space="preserve"> unterstützt wurden. Gemischte Prompts waren dabei im Vergleich zu nur kognitiven bzw. nur metakognitiven Prompts nicht effektiver, offensichtlich regte bereits die Verfügbarkeit von Prompts die Lernenden zu systematischerem Lernverhalten an. Als Fazit dieser Studie lässt sich festhalten, dass Prompts als Hilfestellung bei der Anwendung einer neuen Lerntechnik sehr wohl positive Effekte haben.</w:t>
      </w:r>
    </w:p>
    <w:p w14:paraId="2E13E52D" w14:textId="77777777" w:rsidR="00D50F0C" w:rsidRDefault="00D50F0C" w:rsidP="00D50F0C">
      <w:pPr>
        <w:autoSpaceDE w:val="0"/>
        <w:autoSpaceDN w:val="0"/>
        <w:adjustRightInd w:val="0"/>
        <w:spacing w:after="0"/>
        <w:ind w:left="709" w:hanging="709"/>
        <w:jc w:val="both"/>
        <w:rPr>
          <w:rFonts w:ascii="Arial" w:hAnsi="Arial" w:cs="Arial"/>
          <w:b/>
          <w:sz w:val="24"/>
          <w:szCs w:val="24"/>
        </w:rPr>
      </w:pPr>
    </w:p>
    <w:p w14:paraId="4C4BC8E3" w14:textId="77777777" w:rsidR="00677757" w:rsidRDefault="00677757" w:rsidP="00D50F0C">
      <w:pPr>
        <w:autoSpaceDE w:val="0"/>
        <w:autoSpaceDN w:val="0"/>
        <w:adjustRightInd w:val="0"/>
        <w:spacing w:after="0"/>
        <w:ind w:left="709" w:hanging="709"/>
        <w:jc w:val="both"/>
        <w:rPr>
          <w:rFonts w:ascii="Arial" w:hAnsi="Arial" w:cs="Arial"/>
          <w:b/>
          <w:sz w:val="24"/>
          <w:szCs w:val="24"/>
        </w:rPr>
      </w:pPr>
      <w:r>
        <w:rPr>
          <w:rFonts w:ascii="Arial" w:hAnsi="Arial" w:cs="Arial"/>
          <w:b/>
          <w:sz w:val="24"/>
          <w:szCs w:val="24"/>
        </w:rPr>
        <w:br w:type="page"/>
      </w:r>
    </w:p>
    <w:p w14:paraId="126688A1" w14:textId="77777777" w:rsidR="00D50F0C" w:rsidRPr="00FD6330" w:rsidRDefault="00D50F0C" w:rsidP="00D50F0C">
      <w:pPr>
        <w:autoSpaceDE w:val="0"/>
        <w:autoSpaceDN w:val="0"/>
        <w:adjustRightInd w:val="0"/>
        <w:spacing w:after="0"/>
        <w:ind w:left="709" w:hanging="709"/>
        <w:jc w:val="both"/>
        <w:rPr>
          <w:rFonts w:ascii="Arial" w:hAnsi="Arial" w:cs="Arial"/>
          <w:b/>
          <w:sz w:val="24"/>
          <w:szCs w:val="24"/>
        </w:rPr>
      </w:pPr>
      <w:r w:rsidRPr="00FD6330">
        <w:rPr>
          <w:rFonts w:ascii="Arial" w:hAnsi="Arial" w:cs="Arial"/>
          <w:b/>
          <w:sz w:val="24"/>
          <w:szCs w:val="24"/>
        </w:rPr>
        <w:lastRenderedPageBreak/>
        <w:t xml:space="preserve">Quelle </w:t>
      </w:r>
      <w:r>
        <w:rPr>
          <w:rFonts w:ascii="Arial" w:hAnsi="Arial" w:cs="Arial"/>
          <w:b/>
          <w:sz w:val="24"/>
          <w:szCs w:val="24"/>
        </w:rPr>
        <w:t>2</w:t>
      </w:r>
    </w:p>
    <w:p w14:paraId="02944C01" w14:textId="77777777" w:rsidR="00D50F0C" w:rsidRPr="00FD6330" w:rsidRDefault="00D50F0C" w:rsidP="00D50F0C">
      <w:pPr>
        <w:autoSpaceDE w:val="0"/>
        <w:autoSpaceDN w:val="0"/>
        <w:adjustRightInd w:val="0"/>
        <w:spacing w:after="0"/>
        <w:ind w:left="709" w:hanging="709"/>
        <w:jc w:val="both"/>
        <w:rPr>
          <w:rFonts w:ascii="Arial" w:hAnsi="Arial" w:cs="Arial"/>
          <w:sz w:val="24"/>
          <w:szCs w:val="24"/>
        </w:rPr>
      </w:pPr>
    </w:p>
    <w:p w14:paraId="0E3468BB" w14:textId="77777777" w:rsidR="001D3473" w:rsidRPr="00FD6330" w:rsidRDefault="00FD6330" w:rsidP="00D50F0C">
      <w:pPr>
        <w:autoSpaceDE w:val="0"/>
        <w:autoSpaceDN w:val="0"/>
        <w:adjustRightInd w:val="0"/>
        <w:spacing w:after="0"/>
        <w:ind w:left="709" w:hanging="709"/>
        <w:rPr>
          <w:rFonts w:ascii="Arial" w:hAnsi="Arial" w:cs="Arial"/>
          <w:bCs/>
          <w:sz w:val="24"/>
          <w:szCs w:val="24"/>
        </w:rPr>
      </w:pPr>
      <w:proofErr w:type="spellStart"/>
      <w:r w:rsidRPr="00FD6330">
        <w:rPr>
          <w:rFonts w:ascii="Arial" w:hAnsi="Arial" w:cs="Arial"/>
          <w:bCs/>
          <w:sz w:val="24"/>
          <w:szCs w:val="24"/>
        </w:rPr>
        <w:t>Gropengießer</w:t>
      </w:r>
      <w:proofErr w:type="spellEnd"/>
      <w:r>
        <w:rPr>
          <w:rFonts w:ascii="Arial" w:hAnsi="Arial" w:cs="Arial"/>
          <w:bCs/>
          <w:sz w:val="24"/>
          <w:szCs w:val="24"/>
        </w:rPr>
        <w:t xml:space="preserve">, H. (1997). Schülervorstellungen zum Sehen. </w:t>
      </w:r>
      <w:r w:rsidRPr="00FD6330">
        <w:rPr>
          <w:rFonts w:ascii="Arial" w:hAnsi="Arial" w:cs="Arial"/>
          <w:bCs/>
          <w:i/>
          <w:sz w:val="24"/>
          <w:szCs w:val="24"/>
        </w:rPr>
        <w:t>Zeitschrift für Didaktik der Naturwissenschaften, 2</w:t>
      </w:r>
      <w:r>
        <w:rPr>
          <w:rFonts w:ascii="Arial" w:hAnsi="Arial" w:cs="Arial"/>
          <w:bCs/>
          <w:sz w:val="24"/>
          <w:szCs w:val="24"/>
        </w:rPr>
        <w:t>(1), 71-87.</w:t>
      </w:r>
    </w:p>
    <w:p w14:paraId="0BA2816A" w14:textId="77777777" w:rsidR="001D3473" w:rsidRPr="001D3473" w:rsidRDefault="001D3473" w:rsidP="00FD6330">
      <w:pPr>
        <w:autoSpaceDE w:val="0"/>
        <w:autoSpaceDN w:val="0"/>
        <w:adjustRightInd w:val="0"/>
        <w:spacing w:after="0"/>
        <w:rPr>
          <w:rFonts w:ascii="Arial" w:hAnsi="Arial" w:cs="Arial"/>
          <w:b/>
          <w:bCs/>
          <w:sz w:val="24"/>
          <w:szCs w:val="24"/>
        </w:rPr>
      </w:pPr>
    </w:p>
    <w:p w14:paraId="744B81D1" w14:textId="77777777" w:rsidR="001D3473" w:rsidRPr="001D3473" w:rsidRDefault="001D3473" w:rsidP="00FD6330">
      <w:pPr>
        <w:autoSpaceDE w:val="0"/>
        <w:autoSpaceDN w:val="0"/>
        <w:adjustRightInd w:val="0"/>
        <w:spacing w:after="0"/>
        <w:jc w:val="center"/>
        <w:rPr>
          <w:rFonts w:ascii="Arial" w:hAnsi="Arial" w:cs="Arial"/>
          <w:sz w:val="24"/>
          <w:szCs w:val="24"/>
        </w:rPr>
      </w:pPr>
      <w:r w:rsidRPr="001D3473">
        <w:rPr>
          <w:rFonts w:ascii="Arial" w:hAnsi="Arial" w:cs="Arial"/>
          <w:b/>
          <w:bCs/>
          <w:sz w:val="24"/>
          <w:szCs w:val="24"/>
        </w:rPr>
        <w:t>Schülervorstellungen zum Sehen</w:t>
      </w:r>
    </w:p>
    <w:p w14:paraId="0FC0259E" w14:textId="77777777" w:rsidR="00FD6330" w:rsidRDefault="00FD6330" w:rsidP="00FD6330">
      <w:pPr>
        <w:autoSpaceDE w:val="0"/>
        <w:autoSpaceDN w:val="0"/>
        <w:adjustRightInd w:val="0"/>
        <w:spacing w:after="0"/>
        <w:rPr>
          <w:rFonts w:ascii="Arial" w:hAnsi="Arial" w:cs="Arial"/>
          <w:sz w:val="24"/>
          <w:szCs w:val="24"/>
        </w:rPr>
      </w:pPr>
    </w:p>
    <w:p w14:paraId="596FC715" w14:textId="77777777" w:rsidR="001D3473" w:rsidRDefault="001D3473" w:rsidP="00FD6330">
      <w:pPr>
        <w:autoSpaceDE w:val="0"/>
        <w:autoSpaceDN w:val="0"/>
        <w:adjustRightInd w:val="0"/>
        <w:spacing w:after="0"/>
        <w:jc w:val="both"/>
        <w:rPr>
          <w:rFonts w:ascii="Arial" w:hAnsi="Arial" w:cs="Arial"/>
          <w:sz w:val="24"/>
          <w:szCs w:val="24"/>
        </w:rPr>
      </w:pPr>
      <w:r w:rsidRPr="001D3473">
        <w:rPr>
          <w:rFonts w:ascii="Arial" w:hAnsi="Arial" w:cs="Arial"/>
          <w:sz w:val="24"/>
          <w:szCs w:val="24"/>
        </w:rPr>
        <w:t>Die Vorstellungen, die Schüler zu einem Thema haben, sind eine wesentliche Lernvoraussetzung und</w:t>
      </w:r>
      <w:r w:rsidR="00FD6330">
        <w:rPr>
          <w:rFonts w:ascii="Arial" w:hAnsi="Arial" w:cs="Arial"/>
          <w:sz w:val="24"/>
          <w:szCs w:val="24"/>
        </w:rPr>
        <w:t xml:space="preserve"> </w:t>
      </w:r>
      <w:r w:rsidRPr="001D3473">
        <w:rPr>
          <w:rFonts w:ascii="Arial" w:hAnsi="Arial" w:cs="Arial"/>
          <w:sz w:val="24"/>
          <w:szCs w:val="24"/>
        </w:rPr>
        <w:t>sollten in die Planung von Unterricht eingehen. Ein theoretischer Rahmen dafür ist das Modell der</w:t>
      </w:r>
      <w:r w:rsidR="00FD6330">
        <w:rPr>
          <w:rFonts w:ascii="Arial" w:hAnsi="Arial" w:cs="Arial"/>
          <w:sz w:val="24"/>
          <w:szCs w:val="24"/>
        </w:rPr>
        <w:t xml:space="preserve"> </w:t>
      </w:r>
      <w:r w:rsidRPr="001D3473">
        <w:rPr>
          <w:rFonts w:ascii="Arial" w:hAnsi="Arial" w:cs="Arial"/>
          <w:sz w:val="24"/>
          <w:szCs w:val="24"/>
        </w:rPr>
        <w:t>Didaktischen Rekonstruktion. Darin werden Schülervorstellungen zu einem Thema mit den entsprechenden</w:t>
      </w:r>
      <w:r w:rsidR="00FD6330">
        <w:rPr>
          <w:rFonts w:ascii="Arial" w:hAnsi="Arial" w:cs="Arial"/>
          <w:sz w:val="24"/>
          <w:szCs w:val="24"/>
        </w:rPr>
        <w:t xml:space="preserve"> </w:t>
      </w:r>
      <w:r w:rsidRPr="001D3473">
        <w:rPr>
          <w:rFonts w:ascii="Arial" w:hAnsi="Arial" w:cs="Arial"/>
          <w:sz w:val="24"/>
          <w:szCs w:val="24"/>
        </w:rPr>
        <w:t>fachlichen Vorstellungen in Beziehung gesetzt, um davon ausgehend die Inhalte des Unterrichts</w:t>
      </w:r>
      <w:r w:rsidR="00FD6330">
        <w:rPr>
          <w:rFonts w:ascii="Arial" w:hAnsi="Arial" w:cs="Arial"/>
          <w:sz w:val="24"/>
          <w:szCs w:val="24"/>
        </w:rPr>
        <w:t xml:space="preserve"> </w:t>
      </w:r>
      <w:r w:rsidRPr="001D3473">
        <w:rPr>
          <w:rFonts w:ascii="Arial" w:hAnsi="Arial" w:cs="Arial"/>
          <w:sz w:val="24"/>
          <w:szCs w:val="24"/>
        </w:rPr>
        <w:t xml:space="preserve">zu planen. </w:t>
      </w:r>
      <w:r w:rsidR="00D50F0C">
        <w:rPr>
          <w:rFonts w:ascii="Arial" w:hAnsi="Arial" w:cs="Arial"/>
          <w:sz w:val="24"/>
          <w:szCs w:val="24"/>
        </w:rPr>
        <w:t xml:space="preserve">[...] </w:t>
      </w:r>
      <w:r w:rsidRPr="001D3473">
        <w:rPr>
          <w:rFonts w:ascii="Arial" w:hAnsi="Arial" w:cs="Arial"/>
          <w:sz w:val="24"/>
          <w:szCs w:val="24"/>
        </w:rPr>
        <w:t>Zum Thema "Sehen"</w:t>
      </w:r>
      <w:r w:rsidR="00FD6330">
        <w:rPr>
          <w:rFonts w:ascii="Arial" w:hAnsi="Arial" w:cs="Arial"/>
          <w:sz w:val="24"/>
          <w:szCs w:val="24"/>
        </w:rPr>
        <w:t xml:space="preserve"> </w:t>
      </w:r>
      <w:r w:rsidRPr="001D3473">
        <w:rPr>
          <w:rFonts w:ascii="Arial" w:hAnsi="Arial" w:cs="Arial"/>
          <w:sz w:val="24"/>
          <w:szCs w:val="24"/>
        </w:rPr>
        <w:t>liegen von physikdidaktischer Seite Untersuchungen vor, die vor allem auf das Auge und dessen Interaktion</w:t>
      </w:r>
      <w:r w:rsidR="00FD6330">
        <w:rPr>
          <w:rFonts w:ascii="Arial" w:hAnsi="Arial" w:cs="Arial"/>
          <w:sz w:val="24"/>
          <w:szCs w:val="24"/>
        </w:rPr>
        <w:t xml:space="preserve"> </w:t>
      </w:r>
      <w:r w:rsidRPr="001D3473">
        <w:rPr>
          <w:rFonts w:ascii="Arial" w:hAnsi="Arial" w:cs="Arial"/>
          <w:sz w:val="24"/>
          <w:szCs w:val="24"/>
        </w:rPr>
        <w:t>mit dem Gegenstand fokussiert sind. Schülervorstellungen zum Sehen sind aber weit umfassender,</w:t>
      </w:r>
      <w:r w:rsidR="00FD6330">
        <w:rPr>
          <w:rFonts w:ascii="Arial" w:hAnsi="Arial" w:cs="Arial"/>
          <w:sz w:val="24"/>
          <w:szCs w:val="24"/>
        </w:rPr>
        <w:t xml:space="preserve"> </w:t>
      </w:r>
      <w:r w:rsidRPr="001D3473">
        <w:rPr>
          <w:rFonts w:ascii="Arial" w:hAnsi="Arial" w:cs="Arial"/>
          <w:sz w:val="24"/>
          <w:szCs w:val="24"/>
        </w:rPr>
        <w:t>sie schließen auch Sinnes- und Nervensystem, die Psyche sowie ontologische und epistemologische</w:t>
      </w:r>
      <w:r w:rsidR="00FD6330">
        <w:rPr>
          <w:rFonts w:ascii="Arial" w:hAnsi="Arial" w:cs="Arial"/>
          <w:sz w:val="24"/>
          <w:szCs w:val="24"/>
        </w:rPr>
        <w:t xml:space="preserve"> </w:t>
      </w:r>
      <w:r w:rsidRPr="001D3473">
        <w:rPr>
          <w:rFonts w:ascii="Arial" w:hAnsi="Arial" w:cs="Arial"/>
          <w:sz w:val="24"/>
          <w:szCs w:val="24"/>
        </w:rPr>
        <w:t xml:space="preserve">Überzeugungen ein. In diesem umfassenden Sinn wurden Vorstellungen von Schülern des </w:t>
      </w:r>
      <w:r w:rsidRPr="00FD6330">
        <w:rPr>
          <w:rFonts w:ascii="Arial" w:hAnsi="Arial" w:cs="Arial"/>
          <w:bCs/>
          <w:sz w:val="24"/>
          <w:szCs w:val="24"/>
        </w:rPr>
        <w:t>11.</w:t>
      </w:r>
      <w:r w:rsidRPr="001D3473">
        <w:rPr>
          <w:rFonts w:ascii="Arial" w:hAnsi="Arial" w:cs="Arial"/>
          <w:b/>
          <w:bCs/>
          <w:sz w:val="24"/>
          <w:szCs w:val="24"/>
        </w:rPr>
        <w:t xml:space="preserve"> </w:t>
      </w:r>
      <w:r w:rsidRPr="001D3473">
        <w:rPr>
          <w:rFonts w:ascii="Arial" w:hAnsi="Arial" w:cs="Arial"/>
          <w:sz w:val="24"/>
          <w:szCs w:val="24"/>
        </w:rPr>
        <w:t>Jahrgangs</w:t>
      </w:r>
      <w:r w:rsidR="00FD6330">
        <w:rPr>
          <w:rFonts w:ascii="Arial" w:hAnsi="Arial" w:cs="Arial"/>
          <w:sz w:val="24"/>
          <w:szCs w:val="24"/>
        </w:rPr>
        <w:t xml:space="preserve"> </w:t>
      </w:r>
      <w:r w:rsidRPr="001D3473">
        <w:rPr>
          <w:rFonts w:ascii="Arial" w:hAnsi="Arial" w:cs="Arial"/>
          <w:sz w:val="24"/>
          <w:szCs w:val="24"/>
        </w:rPr>
        <w:t>zum Sehen erhoben und in drei Denkfiguren überschaubar klassifiziert. Alle Interviewpar</w:t>
      </w:r>
      <w:r w:rsidR="00FD6330">
        <w:rPr>
          <w:rFonts w:ascii="Arial" w:hAnsi="Arial" w:cs="Arial"/>
          <w:sz w:val="24"/>
          <w:szCs w:val="24"/>
        </w:rPr>
        <w:t>t</w:t>
      </w:r>
      <w:r w:rsidRPr="001D3473">
        <w:rPr>
          <w:rFonts w:ascii="Arial" w:hAnsi="Arial" w:cs="Arial"/>
          <w:sz w:val="24"/>
          <w:szCs w:val="24"/>
        </w:rPr>
        <w:t>ner verfügen</w:t>
      </w:r>
      <w:r w:rsidR="00FD6330">
        <w:rPr>
          <w:rFonts w:ascii="Arial" w:hAnsi="Arial" w:cs="Arial"/>
          <w:sz w:val="24"/>
          <w:szCs w:val="24"/>
        </w:rPr>
        <w:t xml:space="preserve"> </w:t>
      </w:r>
      <w:r w:rsidRPr="001D3473">
        <w:rPr>
          <w:rFonts w:ascii="Arial" w:hAnsi="Arial" w:cs="Arial"/>
          <w:sz w:val="24"/>
          <w:szCs w:val="24"/>
        </w:rPr>
        <w:t>nebeneinander über zwei gegensätzliche Denkfiguren zum Sehen. Sie werden üblicherweise in verschiedenen</w:t>
      </w:r>
      <w:r w:rsidR="00FD6330">
        <w:rPr>
          <w:rFonts w:ascii="Arial" w:hAnsi="Arial" w:cs="Arial"/>
          <w:sz w:val="24"/>
          <w:szCs w:val="24"/>
        </w:rPr>
        <w:t xml:space="preserve"> </w:t>
      </w:r>
      <w:r w:rsidRPr="001D3473">
        <w:rPr>
          <w:rFonts w:ascii="Arial" w:hAnsi="Arial" w:cs="Arial"/>
          <w:sz w:val="24"/>
          <w:szCs w:val="24"/>
        </w:rPr>
        <w:t>Kontexten gebraucht, ohne da</w:t>
      </w:r>
      <w:r w:rsidR="00D50F0C">
        <w:rPr>
          <w:rFonts w:ascii="Arial" w:hAnsi="Arial" w:cs="Arial"/>
          <w:sz w:val="24"/>
          <w:szCs w:val="24"/>
        </w:rPr>
        <w:t>ss</w:t>
      </w:r>
      <w:r w:rsidRPr="001D3473">
        <w:rPr>
          <w:rFonts w:ascii="Arial" w:hAnsi="Arial" w:cs="Arial"/>
          <w:sz w:val="24"/>
          <w:szCs w:val="24"/>
        </w:rPr>
        <w:t xml:space="preserve"> der Gegensatz dabei hervorträte und als Widerspruch erkannt</w:t>
      </w:r>
      <w:r w:rsidR="00FD6330">
        <w:rPr>
          <w:rFonts w:ascii="Arial" w:hAnsi="Arial" w:cs="Arial"/>
          <w:sz w:val="24"/>
          <w:szCs w:val="24"/>
        </w:rPr>
        <w:t xml:space="preserve"> </w:t>
      </w:r>
      <w:r w:rsidRPr="001D3473">
        <w:rPr>
          <w:rFonts w:ascii="Arial" w:hAnsi="Arial" w:cs="Arial"/>
          <w:sz w:val="24"/>
          <w:szCs w:val="24"/>
        </w:rPr>
        <w:t xml:space="preserve">würde. </w:t>
      </w:r>
    </w:p>
    <w:p w14:paraId="303562AC" w14:textId="77777777" w:rsidR="00FD6330" w:rsidRDefault="00FD6330" w:rsidP="00FD6330">
      <w:pPr>
        <w:autoSpaceDE w:val="0"/>
        <w:autoSpaceDN w:val="0"/>
        <w:adjustRightInd w:val="0"/>
        <w:spacing w:after="0"/>
        <w:jc w:val="both"/>
        <w:rPr>
          <w:rFonts w:ascii="Arial" w:hAnsi="Arial" w:cs="Arial"/>
          <w:sz w:val="24"/>
          <w:szCs w:val="24"/>
        </w:rPr>
      </w:pPr>
    </w:p>
    <w:p w14:paraId="0B17257F" w14:textId="77777777" w:rsidR="00677757" w:rsidRDefault="00677757" w:rsidP="00677757">
      <w:pPr>
        <w:autoSpaceDE w:val="0"/>
        <w:autoSpaceDN w:val="0"/>
        <w:adjustRightInd w:val="0"/>
        <w:spacing w:after="0"/>
        <w:ind w:left="709" w:hanging="709"/>
        <w:jc w:val="both"/>
        <w:rPr>
          <w:rFonts w:ascii="Arial" w:hAnsi="Arial" w:cs="Arial"/>
          <w:b/>
          <w:sz w:val="24"/>
          <w:szCs w:val="24"/>
        </w:rPr>
      </w:pPr>
      <w:r>
        <w:rPr>
          <w:rFonts w:ascii="Arial" w:hAnsi="Arial" w:cs="Arial"/>
          <w:b/>
          <w:sz w:val="24"/>
          <w:szCs w:val="24"/>
        </w:rPr>
        <w:br w:type="page"/>
      </w:r>
    </w:p>
    <w:p w14:paraId="120637C8" w14:textId="77777777" w:rsidR="00677757" w:rsidRPr="00FD6330" w:rsidRDefault="00677757" w:rsidP="00677757">
      <w:pPr>
        <w:autoSpaceDE w:val="0"/>
        <w:autoSpaceDN w:val="0"/>
        <w:adjustRightInd w:val="0"/>
        <w:spacing w:after="0"/>
        <w:ind w:left="709" w:hanging="709"/>
        <w:jc w:val="both"/>
        <w:rPr>
          <w:rFonts w:ascii="Arial" w:hAnsi="Arial" w:cs="Arial"/>
          <w:b/>
          <w:sz w:val="24"/>
          <w:szCs w:val="24"/>
        </w:rPr>
      </w:pPr>
      <w:r w:rsidRPr="00FD6330">
        <w:rPr>
          <w:rFonts w:ascii="Arial" w:hAnsi="Arial" w:cs="Arial"/>
          <w:b/>
          <w:sz w:val="24"/>
          <w:szCs w:val="24"/>
        </w:rPr>
        <w:lastRenderedPageBreak/>
        <w:t xml:space="preserve">Quelle </w:t>
      </w:r>
      <w:r>
        <w:rPr>
          <w:rFonts w:ascii="Arial" w:hAnsi="Arial" w:cs="Arial"/>
          <w:b/>
          <w:sz w:val="24"/>
          <w:szCs w:val="24"/>
        </w:rPr>
        <w:t>3</w:t>
      </w:r>
    </w:p>
    <w:p w14:paraId="1396A171" w14:textId="77777777" w:rsidR="00677757" w:rsidRDefault="00677757" w:rsidP="00FD6330">
      <w:pPr>
        <w:autoSpaceDE w:val="0"/>
        <w:autoSpaceDN w:val="0"/>
        <w:adjustRightInd w:val="0"/>
        <w:spacing w:after="0"/>
        <w:jc w:val="both"/>
        <w:rPr>
          <w:rFonts w:ascii="Arial" w:hAnsi="Arial" w:cs="Arial"/>
          <w:sz w:val="24"/>
          <w:szCs w:val="24"/>
        </w:rPr>
      </w:pPr>
    </w:p>
    <w:p w14:paraId="14BC1EDB" w14:textId="77777777" w:rsidR="00FD6330" w:rsidRDefault="00D50F0C" w:rsidP="00D50F0C">
      <w:pPr>
        <w:autoSpaceDE w:val="0"/>
        <w:autoSpaceDN w:val="0"/>
        <w:adjustRightInd w:val="0"/>
        <w:spacing w:after="0"/>
        <w:ind w:left="709" w:hanging="709"/>
        <w:jc w:val="both"/>
        <w:rPr>
          <w:rFonts w:ascii="Arial" w:hAnsi="Arial" w:cs="Arial"/>
          <w:sz w:val="24"/>
          <w:szCs w:val="24"/>
        </w:rPr>
      </w:pPr>
      <w:r w:rsidRPr="00D50F0C">
        <w:rPr>
          <w:rFonts w:ascii="Arial" w:hAnsi="Arial" w:cs="Arial"/>
          <w:sz w:val="24"/>
          <w:szCs w:val="24"/>
        </w:rPr>
        <w:t xml:space="preserve">Jüttner, M., &amp; Neuhaus, B. J. (2013). Das Professionswissen von Biologielehrkräften–Ein Vergleich zwischen Biologielehrkräften, Biologen und Pädagogen. </w:t>
      </w:r>
      <w:r w:rsidRPr="00D50F0C">
        <w:rPr>
          <w:rFonts w:ascii="Arial" w:hAnsi="Arial" w:cs="Arial"/>
          <w:i/>
          <w:sz w:val="24"/>
          <w:szCs w:val="24"/>
        </w:rPr>
        <w:t>Zeitschrift für Didaktik der Naturwissenschaften, 19</w:t>
      </w:r>
      <w:r w:rsidRPr="00D50F0C">
        <w:rPr>
          <w:rFonts w:ascii="Arial" w:hAnsi="Arial" w:cs="Arial"/>
          <w:sz w:val="24"/>
          <w:szCs w:val="24"/>
        </w:rPr>
        <w:t>, 31-49.</w:t>
      </w:r>
    </w:p>
    <w:p w14:paraId="0FF870E2" w14:textId="77777777" w:rsidR="00FD6330" w:rsidRPr="001D3473" w:rsidRDefault="00FD6330" w:rsidP="00FD6330">
      <w:pPr>
        <w:autoSpaceDE w:val="0"/>
        <w:autoSpaceDN w:val="0"/>
        <w:adjustRightInd w:val="0"/>
        <w:spacing w:after="0"/>
        <w:jc w:val="both"/>
        <w:rPr>
          <w:rFonts w:ascii="Arial" w:hAnsi="Arial" w:cs="Arial"/>
          <w:sz w:val="24"/>
          <w:szCs w:val="24"/>
        </w:rPr>
      </w:pPr>
    </w:p>
    <w:p w14:paraId="490F3FDB" w14:textId="77777777" w:rsidR="00FD6330" w:rsidRDefault="001D3473" w:rsidP="00FD6330">
      <w:pPr>
        <w:spacing w:after="0"/>
        <w:jc w:val="center"/>
        <w:outlineLvl w:val="3"/>
        <w:rPr>
          <w:rFonts w:ascii="Arial" w:eastAsia="Times New Roman" w:hAnsi="Arial" w:cs="Arial"/>
          <w:b/>
          <w:bCs/>
          <w:sz w:val="24"/>
          <w:szCs w:val="24"/>
          <w:lang w:eastAsia="de-DE"/>
        </w:rPr>
      </w:pPr>
      <w:r w:rsidRPr="001D3473">
        <w:rPr>
          <w:rFonts w:ascii="Arial" w:eastAsia="Times New Roman" w:hAnsi="Arial" w:cs="Arial"/>
          <w:b/>
          <w:bCs/>
          <w:sz w:val="24"/>
          <w:szCs w:val="24"/>
          <w:lang w:eastAsia="de-DE"/>
        </w:rPr>
        <w:t>Das Professionswissen von Biologielehrkräften - Ein Vergleich zwischen Biologielehrkräften, Biologen und Pädagogen</w:t>
      </w:r>
    </w:p>
    <w:p w14:paraId="69117F69" w14:textId="77777777" w:rsidR="00D50F0C" w:rsidRDefault="00D50F0C" w:rsidP="00FD6330">
      <w:pPr>
        <w:spacing w:after="0"/>
        <w:jc w:val="center"/>
        <w:outlineLvl w:val="3"/>
        <w:rPr>
          <w:rFonts w:ascii="Arial" w:eastAsia="Times New Roman" w:hAnsi="Arial" w:cs="Arial"/>
          <w:i/>
          <w:iCs/>
          <w:sz w:val="24"/>
          <w:szCs w:val="24"/>
          <w:lang w:eastAsia="de-DE"/>
        </w:rPr>
      </w:pPr>
    </w:p>
    <w:p w14:paraId="5F51CA97" w14:textId="77777777" w:rsidR="001D3473" w:rsidRDefault="001D3473" w:rsidP="00FD6330">
      <w:pPr>
        <w:spacing w:after="0"/>
        <w:jc w:val="both"/>
        <w:outlineLvl w:val="3"/>
        <w:rPr>
          <w:rFonts w:ascii="Arial" w:eastAsia="Times New Roman" w:hAnsi="Arial" w:cs="Arial"/>
          <w:sz w:val="24"/>
          <w:szCs w:val="24"/>
          <w:lang w:eastAsia="de-DE"/>
        </w:rPr>
      </w:pPr>
      <w:r w:rsidRPr="001D3473">
        <w:rPr>
          <w:rFonts w:ascii="Arial" w:eastAsia="Times New Roman" w:hAnsi="Arial" w:cs="Arial"/>
          <w:sz w:val="24"/>
          <w:szCs w:val="24"/>
          <w:lang w:eastAsia="de-DE"/>
        </w:rPr>
        <w:t xml:space="preserve">Forschungsarbeiten zur Professionalität von Lehrkräften können für die Qualitätsverbesserung von Unterricht wegweisend sein. Allerdings untersuchen bisher nur vereinzelte Studien Teilaspekte des Professionswissens von Lehrkräften der Naturwissenschaften. </w:t>
      </w:r>
      <w:r w:rsidR="00D50F0C">
        <w:rPr>
          <w:rFonts w:ascii="Arial" w:eastAsia="Times New Roman" w:hAnsi="Arial" w:cs="Arial"/>
          <w:sz w:val="24"/>
          <w:szCs w:val="24"/>
          <w:lang w:eastAsia="de-DE"/>
        </w:rPr>
        <w:t>[...]</w:t>
      </w:r>
      <w:r w:rsidRPr="001D3473">
        <w:rPr>
          <w:rFonts w:ascii="Arial" w:eastAsia="Times New Roman" w:hAnsi="Arial" w:cs="Arial"/>
          <w:sz w:val="24"/>
          <w:szCs w:val="24"/>
          <w:lang w:eastAsia="de-DE"/>
        </w:rPr>
        <w:t xml:space="preserve"> Im Rahmen der vorliegenden Studie wird </w:t>
      </w:r>
      <w:r w:rsidR="00D50F0C">
        <w:rPr>
          <w:rFonts w:ascii="Arial" w:eastAsia="Times New Roman" w:hAnsi="Arial" w:cs="Arial"/>
          <w:sz w:val="24"/>
          <w:szCs w:val="24"/>
          <w:lang w:eastAsia="de-DE"/>
        </w:rPr>
        <w:t>die Validität eines Instruments zur Erfassung des biologischen Fachwissens und des biologiedidaktischen Wissens von Biologielehrkräften untersucht. Dazu wird</w:t>
      </w:r>
      <w:r w:rsidRPr="001D3473">
        <w:rPr>
          <w:rFonts w:ascii="Arial" w:eastAsia="Times New Roman" w:hAnsi="Arial" w:cs="Arial"/>
          <w:sz w:val="24"/>
          <w:szCs w:val="24"/>
          <w:lang w:eastAsia="de-DE"/>
        </w:rPr>
        <w:t xml:space="preserve"> </w:t>
      </w:r>
      <w:r w:rsidR="00D50F0C">
        <w:rPr>
          <w:rFonts w:ascii="Arial" w:eastAsia="Times New Roman" w:hAnsi="Arial" w:cs="Arial"/>
          <w:sz w:val="24"/>
          <w:szCs w:val="24"/>
          <w:lang w:eastAsia="de-DE"/>
        </w:rPr>
        <w:t xml:space="preserve">ein </w:t>
      </w:r>
      <w:r w:rsidRPr="001D3473">
        <w:rPr>
          <w:rFonts w:ascii="Arial" w:eastAsia="Times New Roman" w:hAnsi="Arial" w:cs="Arial"/>
          <w:sz w:val="24"/>
          <w:szCs w:val="24"/>
          <w:lang w:eastAsia="de-DE"/>
        </w:rPr>
        <w:t>Kontrastgruppenvergleich (</w:t>
      </w:r>
      <w:r w:rsidRPr="001D3473">
        <w:rPr>
          <w:rFonts w:ascii="Arial" w:eastAsia="Times New Roman" w:hAnsi="Arial" w:cs="Arial"/>
          <w:i/>
          <w:iCs/>
          <w:sz w:val="24"/>
          <w:szCs w:val="24"/>
          <w:lang w:eastAsia="de-DE"/>
        </w:rPr>
        <w:t>N</w:t>
      </w:r>
      <w:r w:rsidRPr="001D3473">
        <w:rPr>
          <w:rFonts w:ascii="Arial" w:eastAsia="Times New Roman" w:hAnsi="Arial" w:cs="Arial"/>
          <w:sz w:val="24"/>
          <w:szCs w:val="24"/>
          <w:lang w:eastAsia="de-DE"/>
        </w:rPr>
        <w:t xml:space="preserve"> = 167) </w:t>
      </w:r>
      <w:r w:rsidR="00D50F0C">
        <w:rPr>
          <w:rFonts w:ascii="Arial" w:eastAsia="Times New Roman" w:hAnsi="Arial" w:cs="Arial"/>
          <w:sz w:val="24"/>
          <w:szCs w:val="24"/>
          <w:lang w:eastAsia="de-DE"/>
        </w:rPr>
        <w:t>mit den drei</w:t>
      </w:r>
      <w:r w:rsidRPr="001D3473">
        <w:rPr>
          <w:rFonts w:ascii="Arial" w:eastAsia="Times New Roman" w:hAnsi="Arial" w:cs="Arial"/>
          <w:sz w:val="24"/>
          <w:szCs w:val="24"/>
          <w:lang w:eastAsia="de-DE"/>
        </w:rPr>
        <w:t xml:space="preserve"> Expertengruppen</w:t>
      </w:r>
      <w:r w:rsidR="00D50F0C">
        <w:rPr>
          <w:rFonts w:ascii="Arial" w:eastAsia="Times New Roman" w:hAnsi="Arial" w:cs="Arial"/>
          <w:sz w:val="24"/>
          <w:szCs w:val="24"/>
          <w:lang w:eastAsia="de-DE"/>
        </w:rPr>
        <w:t xml:space="preserve"> (Biologielehrkräfte, Diplombiologen, Diplompädagogen) durchgeführt.</w:t>
      </w:r>
      <w:r w:rsidRPr="001D3473">
        <w:rPr>
          <w:rFonts w:ascii="Arial" w:eastAsia="Times New Roman" w:hAnsi="Arial" w:cs="Arial"/>
          <w:sz w:val="24"/>
          <w:szCs w:val="24"/>
          <w:lang w:eastAsia="de-DE"/>
        </w:rPr>
        <w:t xml:space="preserve"> </w:t>
      </w:r>
      <w:r w:rsidR="00D50F0C">
        <w:rPr>
          <w:rFonts w:ascii="Arial" w:eastAsia="Times New Roman" w:hAnsi="Arial" w:cs="Arial"/>
          <w:sz w:val="24"/>
          <w:szCs w:val="24"/>
          <w:lang w:eastAsia="de-DE"/>
        </w:rPr>
        <w:t xml:space="preserve">Dieser soll Auskunft darüber liefern, </w:t>
      </w:r>
      <w:r w:rsidRPr="001D3473">
        <w:rPr>
          <w:rFonts w:ascii="Arial" w:eastAsia="Times New Roman" w:hAnsi="Arial" w:cs="Arial"/>
          <w:sz w:val="24"/>
          <w:szCs w:val="24"/>
          <w:lang w:eastAsia="de-DE"/>
        </w:rPr>
        <w:t xml:space="preserve">inwiefern das erhobene Wissen biologielehrerspezifisches Wissen darstellt. Im fachdidaktischen Wissen - welches als das für den Biologielehrer spezifische Wissen gilt - wiesen die Biologielehrkräfte signifikant höhere Testwerte auf als die Diplombiologen und Diplompädagogen. Im Fachwissenstest schnitten die Biologielehrkräfte tendenziell besser ab, als die Diplompädagogen. Dies impliziert, dass mit den entwickelten Tests biologielehrerspezifisches fachdidaktisches Wissen und Fachwissen erfasst und in Zukunft für weitere Forschungsziele bezüglich des Expertenwissens von Biologielehrkräften eingesetzt werden kann. </w:t>
      </w:r>
    </w:p>
    <w:p w14:paraId="5FD5EED3" w14:textId="77777777" w:rsidR="00FD6330" w:rsidRPr="001D3473" w:rsidRDefault="00FD6330" w:rsidP="00FD6330">
      <w:pPr>
        <w:spacing w:after="0"/>
        <w:jc w:val="both"/>
        <w:outlineLvl w:val="3"/>
        <w:rPr>
          <w:rFonts w:ascii="Arial" w:eastAsia="Times New Roman" w:hAnsi="Arial" w:cs="Arial"/>
          <w:sz w:val="24"/>
          <w:szCs w:val="24"/>
          <w:lang w:eastAsia="de-DE"/>
        </w:rPr>
      </w:pPr>
    </w:p>
    <w:p w14:paraId="2D380B0A" w14:textId="77777777" w:rsidR="00677757" w:rsidRDefault="00677757" w:rsidP="00677757">
      <w:pPr>
        <w:autoSpaceDE w:val="0"/>
        <w:autoSpaceDN w:val="0"/>
        <w:adjustRightInd w:val="0"/>
        <w:spacing w:after="0"/>
        <w:ind w:left="709" w:hanging="709"/>
        <w:jc w:val="both"/>
        <w:rPr>
          <w:rFonts w:ascii="Arial" w:hAnsi="Arial" w:cs="Arial"/>
          <w:b/>
          <w:sz w:val="24"/>
          <w:szCs w:val="24"/>
        </w:rPr>
      </w:pPr>
      <w:r>
        <w:rPr>
          <w:rFonts w:ascii="Arial" w:hAnsi="Arial" w:cs="Arial"/>
          <w:b/>
          <w:sz w:val="24"/>
          <w:szCs w:val="24"/>
        </w:rPr>
        <w:br w:type="page"/>
      </w:r>
    </w:p>
    <w:p w14:paraId="5A0C582C" w14:textId="77777777" w:rsidR="00677757" w:rsidRPr="00FD6330" w:rsidRDefault="00677757" w:rsidP="00677757">
      <w:pPr>
        <w:autoSpaceDE w:val="0"/>
        <w:autoSpaceDN w:val="0"/>
        <w:adjustRightInd w:val="0"/>
        <w:spacing w:after="0"/>
        <w:ind w:left="709" w:hanging="709"/>
        <w:jc w:val="both"/>
        <w:rPr>
          <w:rFonts w:ascii="Arial" w:hAnsi="Arial" w:cs="Arial"/>
          <w:b/>
          <w:sz w:val="24"/>
          <w:szCs w:val="24"/>
        </w:rPr>
      </w:pPr>
      <w:r w:rsidRPr="00FD6330">
        <w:rPr>
          <w:rFonts w:ascii="Arial" w:hAnsi="Arial" w:cs="Arial"/>
          <w:b/>
          <w:sz w:val="24"/>
          <w:szCs w:val="24"/>
        </w:rPr>
        <w:lastRenderedPageBreak/>
        <w:t xml:space="preserve">Quelle </w:t>
      </w:r>
      <w:r>
        <w:rPr>
          <w:rFonts w:ascii="Arial" w:hAnsi="Arial" w:cs="Arial"/>
          <w:b/>
          <w:sz w:val="24"/>
          <w:szCs w:val="24"/>
        </w:rPr>
        <w:t>4</w:t>
      </w:r>
    </w:p>
    <w:p w14:paraId="269F6C26" w14:textId="77777777" w:rsidR="00677757" w:rsidRDefault="00677757" w:rsidP="00677757">
      <w:pPr>
        <w:pStyle w:val="berschrift4"/>
        <w:spacing w:before="0" w:beforeAutospacing="0" w:after="0" w:afterAutospacing="0" w:line="276" w:lineRule="auto"/>
        <w:ind w:left="709" w:hanging="709"/>
        <w:jc w:val="both"/>
        <w:rPr>
          <w:rFonts w:ascii="Arial" w:hAnsi="Arial" w:cs="Arial"/>
          <w:b w:val="0"/>
        </w:rPr>
      </w:pPr>
    </w:p>
    <w:p w14:paraId="4D04B151" w14:textId="77777777" w:rsidR="00FD6330" w:rsidRPr="00D50F0C" w:rsidRDefault="00D50F0C" w:rsidP="00677757">
      <w:pPr>
        <w:pStyle w:val="berschrift4"/>
        <w:spacing w:before="0" w:beforeAutospacing="0" w:after="0" w:afterAutospacing="0" w:line="276" w:lineRule="auto"/>
        <w:ind w:left="709" w:hanging="709"/>
        <w:jc w:val="both"/>
        <w:rPr>
          <w:rFonts w:ascii="Arial" w:hAnsi="Arial" w:cs="Arial"/>
          <w:b w:val="0"/>
        </w:rPr>
      </w:pPr>
      <w:proofErr w:type="spellStart"/>
      <w:r w:rsidRPr="00D50F0C">
        <w:rPr>
          <w:rFonts w:ascii="Arial" w:hAnsi="Arial" w:cs="Arial"/>
          <w:b w:val="0"/>
        </w:rPr>
        <w:t>Hostenbach</w:t>
      </w:r>
      <w:proofErr w:type="spellEnd"/>
      <w:r w:rsidRPr="00D50F0C">
        <w:rPr>
          <w:rFonts w:ascii="Arial" w:hAnsi="Arial" w:cs="Arial"/>
          <w:b w:val="0"/>
        </w:rPr>
        <w:t xml:space="preserve">, J., &amp; </w:t>
      </w:r>
      <w:proofErr w:type="spellStart"/>
      <w:r w:rsidRPr="00D50F0C">
        <w:rPr>
          <w:rFonts w:ascii="Arial" w:hAnsi="Arial" w:cs="Arial"/>
          <w:b w:val="0"/>
        </w:rPr>
        <w:t>Walpuski</w:t>
      </w:r>
      <w:proofErr w:type="spellEnd"/>
      <w:r w:rsidRPr="00D50F0C">
        <w:rPr>
          <w:rFonts w:ascii="Arial" w:hAnsi="Arial" w:cs="Arial"/>
          <w:b w:val="0"/>
        </w:rPr>
        <w:t>, M. (2013). Untersuchung der Einflussfaktoren auf die Bewertungskompetenz im Fach Chemie. Zeitschrift für Didaktik der Naturwissenschaften, 19, 129-157.</w:t>
      </w:r>
    </w:p>
    <w:p w14:paraId="48133D27" w14:textId="77777777" w:rsidR="00FD6330" w:rsidRDefault="00FD6330" w:rsidP="00FD6330">
      <w:pPr>
        <w:pStyle w:val="berschrift4"/>
        <w:spacing w:before="0" w:beforeAutospacing="0" w:after="0" w:afterAutospacing="0" w:line="276" w:lineRule="auto"/>
        <w:rPr>
          <w:rFonts w:ascii="Arial" w:hAnsi="Arial" w:cs="Arial"/>
        </w:rPr>
      </w:pPr>
    </w:p>
    <w:p w14:paraId="251DDB02" w14:textId="77777777" w:rsidR="00FD6330" w:rsidRDefault="001D3473" w:rsidP="00FD6330">
      <w:pPr>
        <w:pStyle w:val="berschrift4"/>
        <w:spacing w:before="0" w:beforeAutospacing="0" w:after="0" w:afterAutospacing="0" w:line="276" w:lineRule="auto"/>
        <w:jc w:val="center"/>
        <w:rPr>
          <w:rFonts w:ascii="Arial" w:hAnsi="Arial" w:cs="Arial"/>
          <w:b w:val="0"/>
          <w:bCs w:val="0"/>
          <w:i/>
          <w:iCs/>
        </w:rPr>
      </w:pPr>
      <w:r w:rsidRPr="001D3473">
        <w:rPr>
          <w:rFonts w:ascii="Arial" w:hAnsi="Arial" w:cs="Arial"/>
        </w:rPr>
        <w:t>Untersuchung der Einflussfaktoren auf die Bewertungskompetenz im Fach Chemie</w:t>
      </w:r>
    </w:p>
    <w:p w14:paraId="0567AD67" w14:textId="77777777" w:rsidR="00FD6330" w:rsidRDefault="00FD6330" w:rsidP="00FD6330">
      <w:pPr>
        <w:pStyle w:val="berschrift4"/>
        <w:spacing w:before="0" w:beforeAutospacing="0" w:after="0" w:afterAutospacing="0" w:line="276" w:lineRule="auto"/>
        <w:jc w:val="center"/>
        <w:rPr>
          <w:rFonts w:ascii="Arial" w:hAnsi="Arial" w:cs="Arial"/>
          <w:b w:val="0"/>
          <w:bCs w:val="0"/>
          <w:i/>
          <w:iCs/>
        </w:rPr>
      </w:pPr>
    </w:p>
    <w:p w14:paraId="7573FB71" w14:textId="77777777" w:rsidR="001D3473" w:rsidRPr="001D3473" w:rsidRDefault="001D3473" w:rsidP="00FD6330">
      <w:pPr>
        <w:pStyle w:val="berschrift4"/>
        <w:spacing w:before="0" w:beforeAutospacing="0" w:after="0" w:afterAutospacing="0" w:line="276" w:lineRule="auto"/>
        <w:jc w:val="both"/>
        <w:rPr>
          <w:rFonts w:ascii="Arial" w:hAnsi="Arial" w:cs="Arial"/>
        </w:rPr>
      </w:pPr>
      <w:r w:rsidRPr="00FD6330">
        <w:rPr>
          <w:rFonts w:ascii="Arial" w:hAnsi="Arial" w:cs="Arial"/>
          <w:b w:val="0"/>
        </w:rPr>
        <w:t xml:space="preserve">Bewertungskompetenz stellt neben Fachwissen, Erkenntnisgewinnung und Kommunikation einen gleichberechtigten Kompetenzbereich in den Bildungsstandards dar. Die Schülerkompetenz in diesem Bereich soll, wie auch in den anderen Kompetenzbereichen, mit Hilfe eines Kompetenzstrukturmodells messbar gemacht werden. </w:t>
      </w:r>
      <w:r w:rsidR="00677757">
        <w:rPr>
          <w:rFonts w:ascii="Arial" w:hAnsi="Arial" w:cs="Arial"/>
          <w:b w:val="0"/>
        </w:rPr>
        <w:t>[...]</w:t>
      </w:r>
      <w:r w:rsidRPr="00FD6330">
        <w:rPr>
          <w:rFonts w:ascii="Arial" w:hAnsi="Arial" w:cs="Arial"/>
          <w:b w:val="0"/>
        </w:rPr>
        <w:t xml:space="preserve"> </w:t>
      </w:r>
      <w:r w:rsidR="00677757">
        <w:rPr>
          <w:rFonts w:ascii="Arial" w:hAnsi="Arial" w:cs="Arial"/>
          <w:b w:val="0"/>
        </w:rPr>
        <w:t>D</w:t>
      </w:r>
      <w:r w:rsidRPr="00FD6330">
        <w:rPr>
          <w:rFonts w:ascii="Arial" w:hAnsi="Arial" w:cs="Arial"/>
          <w:b w:val="0"/>
        </w:rPr>
        <w:t>er</w:t>
      </w:r>
      <w:r w:rsidR="00677757">
        <w:rPr>
          <w:rFonts w:ascii="Arial" w:hAnsi="Arial" w:cs="Arial"/>
          <w:b w:val="0"/>
        </w:rPr>
        <w:t xml:space="preserve"> vorliegende</w:t>
      </w:r>
      <w:r w:rsidRPr="00FD6330">
        <w:rPr>
          <w:rFonts w:ascii="Arial" w:hAnsi="Arial" w:cs="Arial"/>
          <w:b w:val="0"/>
        </w:rPr>
        <w:t xml:space="preserve"> Artikel </w:t>
      </w:r>
      <w:r w:rsidR="00677757">
        <w:rPr>
          <w:rFonts w:ascii="Arial" w:hAnsi="Arial" w:cs="Arial"/>
          <w:b w:val="0"/>
        </w:rPr>
        <w:t xml:space="preserve">beschäftigt sich </w:t>
      </w:r>
      <w:r w:rsidRPr="00FD6330">
        <w:rPr>
          <w:rFonts w:ascii="Arial" w:hAnsi="Arial" w:cs="Arial"/>
          <w:b w:val="0"/>
        </w:rPr>
        <w:t xml:space="preserve">mit der Überprüfung eines Modells bezüglich des Wirkgefüges von Einflussfaktoren auf die Bewertungskompetenz. Dazu werden die Bewertungskompetenz und mögliche Einflussfaktoren auf diese mit </w:t>
      </w:r>
      <w:proofErr w:type="spellStart"/>
      <w:r w:rsidRPr="00FD6330">
        <w:rPr>
          <w:rFonts w:ascii="Arial" w:hAnsi="Arial" w:cs="Arial"/>
          <w:b w:val="0"/>
        </w:rPr>
        <w:t>paper</w:t>
      </w:r>
      <w:proofErr w:type="spellEnd"/>
      <w:r w:rsidRPr="00FD6330">
        <w:rPr>
          <w:rFonts w:ascii="Arial" w:hAnsi="Arial" w:cs="Arial"/>
          <w:b w:val="0"/>
        </w:rPr>
        <w:t>-</w:t>
      </w:r>
      <w:proofErr w:type="spellStart"/>
      <w:r w:rsidRPr="00FD6330">
        <w:rPr>
          <w:rFonts w:ascii="Arial" w:hAnsi="Arial" w:cs="Arial"/>
          <w:b w:val="0"/>
        </w:rPr>
        <w:t>pencil</w:t>
      </w:r>
      <w:proofErr w:type="spellEnd"/>
      <w:r w:rsidRPr="00FD6330">
        <w:rPr>
          <w:rFonts w:ascii="Arial" w:hAnsi="Arial" w:cs="Arial"/>
          <w:b w:val="0"/>
        </w:rPr>
        <w:t xml:space="preserve">-Tests erhoben und die Zusammenhänge mit Korrelations- und Regressionsanalysen untersucht. Die Ergebnisse zeigen, dass die außerfachliche Anwendung von Bewertungsstrategien, der Umgang mit Fachwissen und die Einschätzung von Datenqualität die stärksten Prädiktoren für die Bewertungskompetenz im Fach Chemie sind. </w:t>
      </w:r>
      <w:r w:rsidR="00677757">
        <w:rPr>
          <w:rFonts w:ascii="Arial" w:hAnsi="Arial" w:cs="Arial"/>
          <w:b w:val="0"/>
        </w:rPr>
        <w:t>[...]</w:t>
      </w:r>
      <w:r w:rsidRPr="00FD6330">
        <w:rPr>
          <w:rFonts w:ascii="Arial" w:hAnsi="Arial" w:cs="Arial"/>
          <w:b w:val="0"/>
        </w:rPr>
        <w:t xml:space="preserve"> </w:t>
      </w:r>
    </w:p>
    <w:sectPr w:rsidR="001D3473" w:rsidRPr="001D3473">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13F33" w14:textId="77777777" w:rsidR="00A81E8B" w:rsidRDefault="00A81E8B" w:rsidP="00677757">
      <w:pPr>
        <w:spacing w:after="0" w:line="240" w:lineRule="auto"/>
      </w:pPr>
      <w:r>
        <w:separator/>
      </w:r>
    </w:p>
  </w:endnote>
  <w:endnote w:type="continuationSeparator" w:id="0">
    <w:p w14:paraId="6FA7F500" w14:textId="77777777" w:rsidR="00A81E8B" w:rsidRDefault="00A81E8B" w:rsidP="0067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82A7" w14:textId="77777777" w:rsidR="00A81E8B" w:rsidRDefault="00A81E8B" w:rsidP="00677757">
      <w:pPr>
        <w:spacing w:after="0" w:line="240" w:lineRule="auto"/>
      </w:pPr>
      <w:r>
        <w:separator/>
      </w:r>
    </w:p>
  </w:footnote>
  <w:footnote w:type="continuationSeparator" w:id="0">
    <w:p w14:paraId="70476A22" w14:textId="77777777" w:rsidR="00A81E8B" w:rsidRDefault="00A81E8B" w:rsidP="0067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705913"/>
      <w:docPartObj>
        <w:docPartGallery w:val="Page Numbers (Top of Page)"/>
        <w:docPartUnique/>
      </w:docPartObj>
    </w:sdtPr>
    <w:sdtEndPr>
      <w:rPr>
        <w:rFonts w:ascii="Arial" w:hAnsi="Arial" w:cs="Arial"/>
        <w:sz w:val="28"/>
        <w:szCs w:val="28"/>
      </w:rPr>
    </w:sdtEndPr>
    <w:sdtContent>
      <w:p w14:paraId="6C3F6E7B" w14:textId="77777777" w:rsidR="00677757" w:rsidRPr="00677757" w:rsidRDefault="00677757">
        <w:pPr>
          <w:pStyle w:val="Kopfzeile"/>
          <w:rPr>
            <w:rFonts w:ascii="Arial" w:hAnsi="Arial" w:cs="Arial"/>
            <w:sz w:val="28"/>
            <w:szCs w:val="28"/>
          </w:rPr>
        </w:pPr>
        <w:r w:rsidRPr="00677757">
          <w:rPr>
            <w:rFonts w:ascii="Arial" w:hAnsi="Arial" w:cs="Arial"/>
            <w:sz w:val="28"/>
            <w:szCs w:val="28"/>
          </w:rPr>
          <w:fldChar w:fldCharType="begin"/>
        </w:r>
        <w:r w:rsidRPr="00677757">
          <w:rPr>
            <w:rFonts w:ascii="Arial" w:hAnsi="Arial" w:cs="Arial"/>
            <w:sz w:val="28"/>
            <w:szCs w:val="28"/>
          </w:rPr>
          <w:instrText>PAGE   \* MERGEFORMAT</w:instrText>
        </w:r>
        <w:r w:rsidRPr="00677757">
          <w:rPr>
            <w:rFonts w:ascii="Arial" w:hAnsi="Arial" w:cs="Arial"/>
            <w:sz w:val="28"/>
            <w:szCs w:val="28"/>
          </w:rPr>
          <w:fldChar w:fldCharType="separate"/>
        </w:r>
        <w:r w:rsidR="00613798">
          <w:rPr>
            <w:rFonts w:ascii="Arial" w:hAnsi="Arial" w:cs="Arial"/>
            <w:noProof/>
            <w:sz w:val="28"/>
            <w:szCs w:val="28"/>
          </w:rPr>
          <w:t>4</w:t>
        </w:r>
        <w:r w:rsidRPr="00677757">
          <w:rPr>
            <w:rFonts w:ascii="Arial" w:hAnsi="Arial" w:cs="Arial"/>
            <w:sz w:val="28"/>
            <w:szCs w:val="28"/>
          </w:rPr>
          <w:fldChar w:fldCharType="end"/>
        </w:r>
      </w:p>
    </w:sdtContent>
  </w:sdt>
  <w:p w14:paraId="587E6389" w14:textId="77777777" w:rsidR="00677757" w:rsidRDefault="0067775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EA"/>
    <w:rsid w:val="001D3473"/>
    <w:rsid w:val="002E34EA"/>
    <w:rsid w:val="00353C39"/>
    <w:rsid w:val="00613798"/>
    <w:rsid w:val="00677757"/>
    <w:rsid w:val="00783B71"/>
    <w:rsid w:val="009E1BCB"/>
    <w:rsid w:val="00A81E8B"/>
    <w:rsid w:val="00D50F0C"/>
    <w:rsid w:val="00DB7272"/>
    <w:rsid w:val="00F67853"/>
    <w:rsid w:val="00FD63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2C96"/>
  <w15:docId w15:val="{AED04CA4-AE2F-450A-9BC6-C8C8BE59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1D3473"/>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1D3473"/>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1D34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D3473"/>
    <w:rPr>
      <w:color w:val="0000FF"/>
      <w:u w:val="single"/>
    </w:rPr>
  </w:style>
  <w:style w:type="paragraph" w:styleId="Kopfzeile">
    <w:name w:val="header"/>
    <w:basedOn w:val="Standard"/>
    <w:link w:val="KopfzeileZchn"/>
    <w:uiPriority w:val="99"/>
    <w:unhideWhenUsed/>
    <w:rsid w:val="00677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7757"/>
  </w:style>
  <w:style w:type="paragraph" w:styleId="Fuzeile">
    <w:name w:val="footer"/>
    <w:basedOn w:val="Standard"/>
    <w:link w:val="FuzeileZchn"/>
    <w:uiPriority w:val="99"/>
    <w:unhideWhenUsed/>
    <w:rsid w:val="00677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7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289559">
      <w:bodyDiv w:val="1"/>
      <w:marLeft w:val="0"/>
      <w:marRight w:val="0"/>
      <w:marTop w:val="0"/>
      <w:marBottom w:val="0"/>
      <w:divBdr>
        <w:top w:val="none" w:sz="0" w:space="0" w:color="auto"/>
        <w:left w:val="none" w:sz="0" w:space="0" w:color="auto"/>
        <w:bottom w:val="none" w:sz="0" w:space="0" w:color="auto"/>
        <w:right w:val="none" w:sz="0" w:space="0" w:color="auto"/>
      </w:divBdr>
    </w:div>
    <w:div w:id="14434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Großschedl</dc:creator>
  <cp:lastModifiedBy>Tine Groß</cp:lastModifiedBy>
  <cp:revision>2</cp:revision>
  <cp:lastPrinted>2017-09-29T13:28:00Z</cp:lastPrinted>
  <dcterms:created xsi:type="dcterms:W3CDTF">2023-01-10T15:01:00Z</dcterms:created>
  <dcterms:modified xsi:type="dcterms:W3CDTF">2023-01-10T15:01:00Z</dcterms:modified>
</cp:coreProperties>
</file>