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color w:val="0F172A"/>
          <w:sz w:val="56"/>
        </w:rPr>
        <w:t>Project Proposal</w:t>
      </w:r>
    </w:p>
    <w:p>
      <w:pPr>
        <w:jc w:val="center"/>
      </w:pPr>
      <w:r>
        <w:rPr>
          <w:color w:val="475569"/>
          <w:sz w:val="28"/>
        </w:rPr>
        <w:t>Real-Time Document Collaboration Service</w:t>
      </w:r>
    </w:p>
    <w:p>
      <w:r>
        <w:t/>
      </w:r>
    </w:p>
    <w:p>
      <w:pPr>
        <w:pStyle w:val="Heading2"/>
      </w:pPr>
      <w:r>
        <w:t>Executive summary</w:t>
      </w:r>
    </w:p>
    <w:p>
      <w:r>
        <w:t>We propose to build a real-time collaborative .docx editor service that lets multiple users edit the same Word document in the browser. The service will round-trip Microsoft Word files with high fidelity and integrate with existing document hosts via the WOPI protocol.</w:t>
      </w:r>
    </w:p>
    <w:p>
      <w:pPr>
        <w:pStyle w:val="Heading2"/>
      </w:pPr>
      <w:r>
        <w:t>Objectives</w:t>
      </w:r>
    </w:p>
    <w:p>
      <w:pPr>
        <w:pStyle w:val="ListBullet"/>
        <w:numPr>
          <w:ilvl w:val="0"/>
          <w:numId w:val="1"/>
        </w:numPr>
      </w:pPr>
      <w:r>
        <w:t>Ship a single-user .docx editor with end-to-end round-trip fidelity ≥ 90%</w:t>
      </w:r>
    </w:p>
    <w:p>
      <w:pPr>
        <w:pStyle w:val="ListBullet"/>
        <w:numPr>
          <w:ilvl w:val="0"/>
          <w:numId w:val="1"/>
        </w:numPr>
      </w:pPr>
      <w:r>
        <w:t>Support two-or-more concurrent editors per document with sub-second sync</w:t>
      </w:r>
    </w:p>
    <w:p>
      <w:pPr>
        <w:pStyle w:val="ListBullet"/>
        <w:numPr>
          <w:ilvl w:val="0"/>
          <w:numId w:val="1"/>
        </w:numPr>
      </w:pPr>
      <w:r>
        <w:t>Integrate with at least one WOPI-compatible host (Nextcloud first)</w:t>
      </w:r>
    </w:p>
    <w:p>
      <w:pPr>
        <w:pStyle w:val="ListBullet"/>
        <w:numPr>
          <w:ilvl w:val="0"/>
          <w:numId w:val="1"/>
        </w:numPr>
      </w:pPr>
      <w:r>
        <w:t>Stay storage-less in our own service — host owns the file</w:t>
      </w:r>
    </w:p>
    <w:p>
      <w:pPr>
        <w:pStyle w:val="Heading2"/>
      </w:pPr>
      <w:r>
        <w:t>Approach</w:t>
      </w:r>
    </w:p>
    <w:p>
      <w:r>
        <w:t>Browser side, we extend an existing OOXML-preserving ProseMirror editor (MIT licensed) with the y-prosemirror Yjs plugin for CRDT-backed editing. Server side, a stateless Go gateway handles the y-websocket protocol, holds the in-memory Y.Doc per active room, and delegates persistence to the host via WOPI.</w:t>
      </w:r>
    </w:p>
    <w:p>
      <w:pPr>
        <w:pStyle w:val="Heading2"/>
      </w:pPr>
      <w:r>
        <w:t>Milestones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>Milestone</w:t>
            </w:r>
          </w:p>
        </w:tc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>Target</w:t>
            </w:r>
          </w:p>
        </w:tc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>Outcome</w:t>
            </w:r>
          </w:p>
        </w:tc>
      </w:tr>
      <w:tr>
        <w:tc>
          <w:tcPr>
            <w:tcW w:w="3120" w:type="dxa"/>
          </w:tcPr>
          <w:p>
            <w:r>
              <w:t>M1 · Yjs round-trip</w:t>
            </w:r>
          </w:p>
        </w:tc>
        <w:tc>
          <w:tcPr>
            <w:tcW w:w="3120" w:type="dxa"/>
          </w:tcPr>
          <w:p>
            <w:r>
              <w:t>Apr 2026</w:t>
            </w:r>
          </w:p>
        </w:tc>
        <w:tc>
          <w:tcPr>
            <w:tcW w:w="3120" w:type="dxa"/>
          </w:tcPr>
          <w:p>
            <w:r>
              <w:t>Two browsers edit one document locally</w:t>
            </w:r>
          </w:p>
        </w:tc>
      </w:tr>
      <w:tr>
        <w:tc>
          <w:tcPr>
            <w:tcW w:w="3120" w:type="dxa"/>
          </w:tcPr>
          <w:p>
            <w:r>
              <w:t>M2 · Go gateway v0</w:t>
            </w:r>
          </w:p>
        </w:tc>
        <w:tc>
          <w:tcPr>
            <w:tcW w:w="3120" w:type="dxa"/>
          </w:tcPr>
          <w:p>
            <w:r>
              <w:t>May 2026</w:t>
            </w:r>
          </w:p>
        </w:tc>
        <w:tc>
          <w:tcPr>
            <w:tcW w:w="3120" w:type="dxa"/>
          </w:tcPr>
          <w:p>
            <w:r>
              <w:t>Self-contained Docker image with upload + share link</w:t>
            </w:r>
          </w:p>
        </w:tc>
      </w:tr>
      <w:tr>
        <w:tc>
          <w:tcPr>
            <w:tcW w:w="3120" w:type="dxa"/>
          </w:tcPr>
          <w:p>
            <w:r>
              <w:t>M3 · WOPI integration</w:t>
            </w:r>
          </w:p>
        </w:tc>
        <w:tc>
          <w:tcPr>
            <w:tcW w:w="3120" w:type="dxa"/>
          </w:tcPr>
          <w:p>
            <w:r>
              <w:t>Jul 2026</w:t>
            </w:r>
          </w:p>
        </w:tc>
        <w:tc>
          <w:tcPr>
            <w:tcW w:w="3120" w:type="dxa"/>
          </w:tcPr>
          <w:p>
            <w:r>
              <w:t>Real host (Nextcloud) reads and writes documents</w:t>
            </w:r>
          </w:p>
        </w:tc>
      </w:tr>
      <w:tr>
        <w:tc>
          <w:tcPr>
            <w:tcW w:w="3120" w:type="dxa"/>
          </w:tcPr>
          <w:p>
            <w:r>
              <w:t>M4 · Public preview</w:t>
            </w:r>
          </w:p>
        </w:tc>
        <w:tc>
          <w:tcPr>
            <w:tcW w:w="3120" w:type="dxa"/>
          </w:tcPr>
          <w:p>
            <w:r>
              <w:t>Aug 2026</w:t>
            </w:r>
          </w:p>
        </w:tc>
        <w:tc>
          <w:tcPr>
            <w:tcW w:w="3120" w:type="dxa"/>
          </w:tcPr>
          <w:p>
            <w:r>
              <w:t>Stable release, fidelity score above 90%</w:t>
            </w:r>
          </w:p>
        </w:tc>
      </w:tr>
    </w:tbl>
    <w:p>
      <w:r>
        <w:t/>
      </w:r>
    </w:p>
    <w:p>
      <w:pPr>
        <w:pStyle w:val="Heading2"/>
      </w:pPr>
      <w:r>
        <w:t>Open questions</w:t>
      </w:r>
    </w:p>
    <w:p>
      <w:pPr>
        <w:pStyle w:val="ListBullet"/>
        <w:numPr>
          <w:ilvl w:val="0"/>
          <w:numId w:val="1"/>
        </w:numPr>
      </w:pPr>
      <w:r>
        <w:t>Cross-node fanout: sticky routing per docId, or Redis pubsub?</w:t>
      </w:r>
    </w:p>
    <w:p>
      <w:pPr>
        <w:pStyle w:val="ListBullet"/>
        <w:numPr>
          <w:ilvl w:val="0"/>
          <w:numId w:val="1"/>
        </w:numPr>
      </w:pPr>
      <w:r>
        <w:t>Tauri desktop build: ship alongside the web build, or separate cadence?</w:t>
      </w:r>
    </w:p>
    <w:p>
      <w:pPr>
        <w:pStyle w:val="ListBullet"/>
        <w:numPr>
          <w:ilvl w:val="0"/>
          <w:numId w:val="1"/>
        </w:numPr>
      </w:pPr>
      <w:r>
        <w:t>Pricing model for the hosted Docker distribution.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  <w:rPr>
        <w:rFonts w:ascii="Symbol" w:hAnsi="Symbol"/>
      </w:rPr>
    </w:lvl>
    <w:lvl w:ilvl="1">
      <w:numFmt w:val="bullet"/>
      <w:lvlText w:val="◦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F2937"/>
      </w:rPr>
    </w:rPrDefault>
    <w:pPrDefault>
      <w:pPr>
        <w:spacing w:after="120" w:line="288" w:lineRule="auto"/>
      </w:pPr>
    </w:pPrDefault>
  </w:docDefaults>
  <w:style w:type="paragraph" w:styleId="Heading1">
    <w:name w:val="heading 1"/>
    <w:pPr>
      <w:spacing w:before="240" w:after="120"/>
    </w:pPr>
    <w:rPr>
      <w:rFonts w:ascii="Calibri" w:hAnsi="Calibri"/>
      <w:b/>
      <w:sz w:val="40"/>
      <w:color w:val="0F172A"/>
    </w:rPr>
  </w:style>
  <w:style w:type="paragraph" w:styleId="Heading2">
    <w:name w:val="heading 2"/>
    <w:pPr>
      <w:spacing w:before="200" w:after="80"/>
    </w:pPr>
    <w:rPr>
      <w:rFonts w:ascii="Calibri" w:hAnsi="Calibri"/>
      <w:b/>
      <w:sz w:val="28"/>
      <w:color w:val="1E40AF"/>
    </w:rPr>
  </w:style>
  <w:style w:type="paragraph" w:styleId="Heading3">
    <w:name w:val="heading 3"/>
    <w:pPr>
      <w:spacing w:before="160" w:after="60"/>
    </w:pPr>
    <w:rPr>
      <w:b/>
      <w:sz w:val="24"/>
      <w:color w:val="334155"/>
    </w:rPr>
  </w:style>
  <w:style w:type="paragraph" w:styleId="ListBullet">
    <w:name w:val="List Bullet"/>
  </w:style>
  <w:style w:type="paragraph" w:styleId="ListNumber">
    <w:name w:val="List Number"/>
  </w:style>
  <w:style w:type="table" w:styleId="TableGrid">
    <w:name w:val="Table Grid"/>
    <w:tblPr>
      <w:tblBorders>
        <w:top w:val="single" w:sz="4" w:color="CBD5E1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