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7D92EA">
      <w:pPr>
        <w:jc w:val="center"/>
        <w:rPr>
          <w:rFonts w:hint="eastAsia"/>
          <w:b/>
          <w:sz w:val="44"/>
        </w:rPr>
      </w:pPr>
      <w:r>
        <w:rPr>
          <w:rFonts w:hint="eastAsia"/>
          <w:b/>
          <w:sz w:val="44"/>
        </w:rPr>
        <w:t>开题报告</w:t>
      </w:r>
    </w:p>
    <w:tbl>
      <w:tblPr>
        <w:tblStyle w:val="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4"/>
        <w:gridCol w:w="824"/>
        <w:gridCol w:w="740"/>
        <w:gridCol w:w="1484"/>
        <w:gridCol w:w="740"/>
        <w:gridCol w:w="1632"/>
        <w:gridCol w:w="1391"/>
        <w:gridCol w:w="990"/>
      </w:tblGrid>
      <w:tr w14:paraId="047FE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 w:type="pct"/>
            <w:noWrap w:val="0"/>
            <w:vAlign w:val="center"/>
          </w:tcPr>
          <w:p w14:paraId="689DCD0F">
            <w:pPr>
              <w:jc w:val="center"/>
              <w:rPr>
                <w:rFonts w:hint="eastAsia"/>
                <w:sz w:val="44"/>
              </w:rPr>
            </w:pPr>
            <w:r>
              <w:rPr>
                <w:rFonts w:hint="eastAsia"/>
                <w:sz w:val="24"/>
              </w:rPr>
              <w:t>姓名</w:t>
            </w:r>
          </w:p>
        </w:tc>
        <w:tc>
          <w:tcPr>
            <w:tcW w:w="479" w:type="pct"/>
            <w:noWrap w:val="0"/>
            <w:vAlign w:val="center"/>
          </w:tcPr>
          <w:p w14:paraId="7705AB44">
            <w:pPr>
              <w:jc w:val="center"/>
              <w:rPr>
                <w:rFonts w:hint="eastAsia"/>
                <w:sz w:val="24"/>
              </w:rPr>
            </w:pPr>
          </w:p>
        </w:tc>
        <w:tc>
          <w:tcPr>
            <w:tcW w:w="430" w:type="pct"/>
            <w:noWrap w:val="0"/>
            <w:vAlign w:val="center"/>
          </w:tcPr>
          <w:p w14:paraId="1118E844">
            <w:pPr>
              <w:jc w:val="center"/>
              <w:rPr>
                <w:rFonts w:hint="eastAsia"/>
                <w:sz w:val="24"/>
              </w:rPr>
            </w:pPr>
            <w:r>
              <w:rPr>
                <w:rFonts w:hint="eastAsia"/>
                <w:sz w:val="24"/>
              </w:rPr>
              <w:t>学号</w:t>
            </w:r>
          </w:p>
        </w:tc>
        <w:tc>
          <w:tcPr>
            <w:tcW w:w="862" w:type="pct"/>
            <w:noWrap w:val="0"/>
            <w:vAlign w:val="center"/>
          </w:tcPr>
          <w:p w14:paraId="3EEF3614">
            <w:pPr>
              <w:jc w:val="center"/>
              <w:rPr>
                <w:rFonts w:hint="eastAsia"/>
                <w:sz w:val="24"/>
              </w:rPr>
            </w:pPr>
          </w:p>
        </w:tc>
        <w:tc>
          <w:tcPr>
            <w:tcW w:w="430" w:type="pct"/>
            <w:noWrap w:val="0"/>
            <w:vAlign w:val="center"/>
          </w:tcPr>
          <w:p w14:paraId="160B9449">
            <w:pPr>
              <w:jc w:val="center"/>
              <w:rPr>
                <w:rFonts w:hint="eastAsia"/>
                <w:sz w:val="24"/>
              </w:rPr>
            </w:pPr>
            <w:r>
              <w:rPr>
                <w:rFonts w:hint="eastAsia"/>
                <w:sz w:val="24"/>
              </w:rPr>
              <w:t>班级</w:t>
            </w:r>
          </w:p>
        </w:tc>
        <w:tc>
          <w:tcPr>
            <w:tcW w:w="948" w:type="pct"/>
            <w:noWrap w:val="0"/>
            <w:vAlign w:val="center"/>
          </w:tcPr>
          <w:p w14:paraId="62861555">
            <w:pPr>
              <w:jc w:val="center"/>
              <w:rPr>
                <w:rFonts w:hint="eastAsia"/>
                <w:sz w:val="24"/>
              </w:rPr>
            </w:pPr>
          </w:p>
        </w:tc>
        <w:tc>
          <w:tcPr>
            <w:tcW w:w="808" w:type="pct"/>
            <w:noWrap w:val="0"/>
            <w:vAlign w:val="center"/>
          </w:tcPr>
          <w:p w14:paraId="62A8DDEA">
            <w:pPr>
              <w:jc w:val="center"/>
              <w:rPr>
                <w:rFonts w:hint="eastAsia"/>
                <w:sz w:val="24"/>
              </w:rPr>
            </w:pPr>
            <w:r>
              <w:rPr>
                <w:rFonts w:hint="eastAsia"/>
                <w:sz w:val="24"/>
              </w:rPr>
              <w:t>论文指导老师</w:t>
            </w:r>
          </w:p>
        </w:tc>
        <w:tc>
          <w:tcPr>
            <w:tcW w:w="571" w:type="pct"/>
            <w:noWrap w:val="0"/>
            <w:vAlign w:val="center"/>
          </w:tcPr>
          <w:p w14:paraId="4895D47C">
            <w:pPr>
              <w:jc w:val="center"/>
              <w:rPr>
                <w:rFonts w:hint="eastAsia"/>
                <w:sz w:val="44"/>
              </w:rPr>
            </w:pPr>
          </w:p>
        </w:tc>
      </w:tr>
      <w:tr w14:paraId="0D0E1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8"/>
            <w:noWrap w:val="0"/>
            <w:vAlign w:val="top"/>
          </w:tcPr>
          <w:p w14:paraId="0B82E0DB">
            <w:pPr>
              <w:widowControl/>
              <w:spacing w:line="360" w:lineRule="auto"/>
              <w:jc w:val="left"/>
              <w:rPr>
                <w:rFonts w:hint="eastAsia"/>
                <w:bCs/>
                <w:sz w:val="24"/>
              </w:rPr>
            </w:pPr>
            <w:r>
              <w:t>再生混凝土在装配式建筑中的应用评价——以住宅项目为例</w:t>
            </w:r>
          </w:p>
        </w:tc>
      </w:tr>
      <w:tr w14:paraId="6412E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8"/>
            <w:noWrap w:val="0"/>
            <w:vAlign w:val="top"/>
          </w:tcPr>
          <w:p>
            <w:pPr>
              <w:rPr>
                <w:rFonts w:eastAsia="宋体" w:ascii="宋体" w:hAnsi="宋体"/>
                <w:b/>
                <w:color w:val="000000"/>
                <w:sz w:val="21"/>
                <w:szCs w:val="21"/>
              </w:rPr>
            </w:pPr>
            <w:r>
              <w:rPr>
                <w:rFonts w:eastAsia="宋体" w:ascii="宋体" w:hAnsi="宋体"/>
                <w:b/>
                <w:color w:val="000000"/>
                <w:sz w:val="21"/>
                <w:szCs w:val="21"/>
              </w:rPr>
              <w:t>课题概况（主旨，思路，方法）</w:t>
            </w:r>
          </w:p>
          <w:p>
            <w:pPr>
              <w:rPr>
                <w:rFonts w:eastAsia="宋体" w:ascii="宋体" w:hAnsi="宋体"/>
                <w:color w:val="000000"/>
                <w:sz w:val="21"/>
                <w:szCs w:val="21"/>
              </w:rPr>
            </w:pPr>
            <w:r>
              <w:rPr>
                <w:rFonts w:eastAsia="宋体" w:ascii="宋体" w:hAnsi="宋体"/>
                <w:color w:val="000000"/>
                <w:sz w:val="21"/>
                <w:szCs w:val="21"/>
              </w:rPr>
              <w:t>　　本文以广西某30层、建筑高度接近100 m的再生混凝土公寓项目为研究对象，围绕该项目中再生骨料取代率为30%、总用量约10679 m³的再生混凝土在装配式住宅中的实际应用情况开展评价。研究从技术性能、施工适应性和经济与环境效益三个维度分析再生混凝土在高层住宅结构中的应用效果，找出制约其推广应用的主要问题，并提出具有可操作性的优化对策，为再生混凝土在住宅工程中的进一步应用提供参考。</w:t>
            </w:r>
          </w:p>
          <w:p>
            <w:pPr>
              <w:rPr>
                <w:rFonts w:eastAsia="宋体" w:ascii="宋体" w:hAnsi="宋体"/>
                <w:color w:val="000000"/>
                <w:sz w:val="21"/>
                <w:szCs w:val="21"/>
              </w:rPr>
            </w:pPr>
            <w:r>
              <w:rPr>
                <w:rFonts w:eastAsia="宋体" w:ascii="宋体" w:hAnsi="宋体"/>
                <w:color w:val="000000"/>
                <w:sz w:val="21"/>
                <w:szCs w:val="21"/>
              </w:rPr>
              <w:t>　　第一部分梳理再生混凝土与装配式建筑的基本理论和技术规定，明确再生骨料的分级要求、再生混凝土的性能特征以及装配式混凝土结构体系的技术要点。第二部分介绍工程案例的基本情况，包括项目规模、结构体系、再生混凝土的配合比与制备工艺、施工组织方式和质量控制措施。第三部分从技术性能、施工适应性、经济与环境效益三个维度建立评价指标体系，结合工程实际资料与已有研究成果开展评价。第四部分归纳应用中存在的主要问题，提出加强骨料分级与预处理、优化配合比参数、完善过程质量留痕、开展连接节点试验验证等优化对策。</w:t>
            </w:r>
          </w:p>
          <w:p>
            <w:pPr>
              <w:rPr>
                <w:rFonts w:eastAsia="宋体" w:ascii="宋体" w:hAnsi="宋体"/>
                <w:color w:val="000000"/>
                <w:sz w:val="21"/>
                <w:szCs w:val="21"/>
              </w:rPr>
            </w:pPr>
            <w:r>
              <w:rPr>
                <w:rFonts w:eastAsia="宋体" w:ascii="宋体" w:hAnsi="宋体"/>
                <w:color w:val="000000"/>
                <w:sz w:val="21"/>
                <w:szCs w:val="21"/>
              </w:rPr>
              <w:t>　　一是文献研究法，通过查阅再生混凝土与装配式建筑领域的国家标准、行业规程、专著和期刊文献，确定评价指标和评价依据。二是案例分析法，以广西某百米级再生混凝土公寓项目为实证对象，整理其公开报道中的工程参数并开展分析。三是对比分析法，将再生混凝土的性能指标与国家标准的规定值进行对比，判断其在装配式住宅中的适用性。四是归纳总结法，在评价结果的基础上归纳主要问题并提出对策。</w:t>
            </w:r>
          </w:p>
        </w:tc>
      </w:tr>
      <w:tr w14:paraId="4CC10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1" w:hRule="atLeast"/>
        </w:trPr>
        <w:tc>
          <w:tcPr>
            <w:tcW w:w="5000" w:type="pct"/>
            <w:gridSpan w:val="8"/>
            <w:noWrap w:val="0"/>
            <w:vAlign w:val="top"/>
          </w:tcPr>
          <w:p>
            <w:pPr>
              <w:rPr>
                <w:rFonts w:eastAsia="宋体" w:ascii="宋体" w:hAnsi="宋体"/>
                <w:b/>
                <w:color w:val="000000"/>
                <w:sz w:val="21"/>
                <w:szCs w:val="21"/>
              </w:rPr>
            </w:pPr>
            <w:r>
              <w:rPr>
                <w:rFonts w:eastAsia="宋体" w:ascii="宋体" w:hAnsi="宋体"/>
                <w:b/>
                <w:color w:val="000000"/>
                <w:sz w:val="21"/>
                <w:szCs w:val="21"/>
              </w:rPr>
              <w:t>导师意见：</w:t>
            </w:r>
          </w:p>
          <w:p>
            <w:pPr>
              <w:rPr>
                <w:rFonts w:eastAsia="宋体" w:ascii="宋体" w:hAnsi="宋体"/>
                <w:color w:val="000000"/>
                <w:sz w:val="21"/>
                <w:szCs w:val="21"/>
              </w:rPr>
            </w:pPr>
            <w:r>
              <w:rPr>
                <w:rFonts w:eastAsia="宋体" w:ascii="宋体" w:hAnsi="宋体"/>
                <w:color w:val="000000"/>
                <w:sz w:val="21"/>
                <w:szCs w:val="21"/>
              </w:rPr>
              <w:t>　　该选题紧扣建筑固废资源化利用与装配式建筑发展两个方向，具有较强的现实意义。论文主旨明确，研究思路清晰，框架基本符合要求，同意开题。</w:t>
            </w:r>
          </w:p>
          <w:p>
            <w:pPr>
              <w:rPr>
                <w:rFonts w:eastAsia="宋体" w:ascii="宋体" w:hAnsi="宋体"/>
                <w:color w:val="000000"/>
                <w:sz w:val="21"/>
                <w:szCs w:val="21"/>
              </w:rPr>
            </w:pPr>
            <w:r>
              <w:rPr>
                <w:rFonts w:eastAsia="宋体" w:ascii="宋体" w:hAnsi="宋体"/>
                <w:color w:val="000000"/>
                <w:sz w:val="21"/>
                <w:szCs w:val="21"/>
              </w:rPr>
              <w:t/>
            </w:r>
          </w:p>
          <w:p>
            <w:pPr>
              <w:rPr>
                <w:rFonts w:eastAsia="宋体" w:ascii="宋体" w:hAnsi="宋体"/>
                <w:color w:val="000000"/>
                <w:sz w:val="21"/>
                <w:szCs w:val="21"/>
              </w:rPr>
            </w:pPr>
            <w:r>
              <w:rPr>
                <w:rFonts w:eastAsia="宋体" w:ascii="宋体" w:hAnsi="宋体"/>
                <w:color w:val="000000"/>
                <w:sz w:val="21"/>
                <w:szCs w:val="21"/>
              </w:rPr>
              <w:t>签名：____________　时间：2025.9.10</w:t>
            </w:r>
          </w:p>
        </w:tc>
      </w:tr>
      <w:tr w14:paraId="3423A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8"/>
            <w:noWrap w:val="0"/>
            <w:vAlign w:val="top"/>
          </w:tcPr>
          <w:p>
            <w:pPr>
              <w:rPr>
                <w:rFonts w:eastAsia="宋体" w:ascii="宋体" w:hAnsi="宋体"/>
                <w:b/>
                <w:color w:val="000000"/>
                <w:sz w:val="21"/>
                <w:szCs w:val="21"/>
              </w:rPr>
            </w:pPr>
            <w:r>
              <w:rPr>
                <w:rFonts w:eastAsia="宋体" w:ascii="宋体" w:hAnsi="宋体"/>
                <w:b/>
                <w:color w:val="000000"/>
                <w:sz w:val="21"/>
                <w:szCs w:val="21"/>
              </w:rPr>
              <w:t>论文评审组长意见：</w:t>
            </w:r>
          </w:p>
          <w:p>
            <w:pPr>
              <w:rPr>
                <w:rFonts w:eastAsia="宋体" w:ascii="宋体" w:hAnsi="宋体"/>
                <w:color w:val="000000"/>
                <w:sz w:val="21"/>
                <w:szCs w:val="21"/>
              </w:rPr>
            </w:pPr>
            <w:r>
              <w:rPr>
                <w:rFonts w:eastAsia="宋体" w:ascii="宋体" w:hAnsi="宋体"/>
                <w:color w:val="000000"/>
                <w:sz w:val="21"/>
                <w:szCs w:val="21"/>
              </w:rPr>
              <w:t>　　同意导师意见。</w:t>
            </w:r>
          </w:p>
          <w:p>
            <w:pPr>
              <w:rPr>
                <w:rFonts w:eastAsia="宋体" w:ascii="宋体" w:hAnsi="宋体"/>
                <w:color w:val="000000"/>
                <w:sz w:val="21"/>
                <w:szCs w:val="21"/>
              </w:rPr>
            </w:pPr>
            <w:r>
              <w:rPr>
                <w:rFonts w:eastAsia="宋体" w:ascii="宋体" w:hAnsi="宋体"/>
                <w:color w:val="000000"/>
                <w:sz w:val="21"/>
                <w:szCs w:val="21"/>
              </w:rPr>
              <w:t/>
            </w:r>
          </w:p>
          <w:p>
            <w:pPr>
              <w:rPr>
                <w:rFonts w:eastAsia="宋体" w:ascii="宋体" w:hAnsi="宋体"/>
                <w:color w:val="000000"/>
                <w:sz w:val="21"/>
                <w:szCs w:val="21"/>
              </w:rPr>
            </w:pPr>
            <w:r>
              <w:rPr>
                <w:rFonts w:eastAsia="宋体" w:ascii="宋体" w:hAnsi="宋体"/>
                <w:color w:val="000000"/>
                <w:sz w:val="21"/>
                <w:szCs w:val="21"/>
              </w:rPr>
              <w:t>签名：____________　时间：2025.9.12</w:t>
            </w:r>
          </w:p>
        </w:tc>
      </w:tr>
      <w:tr w14:paraId="5757B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5000" w:type="pct"/>
            <w:gridSpan w:val="8"/>
            <w:noWrap w:val="0"/>
            <w:vAlign w:val="center"/>
          </w:tcPr>
          <w:p w14:paraId="2A440C20">
            <w:pPr>
              <w:jc w:val="both"/>
              <w:rPr>
                <w:rFonts w:hint="eastAsia"/>
                <w:sz w:val="24"/>
              </w:rPr>
            </w:pPr>
            <w:r>
              <w:rPr>
                <w:rFonts w:hint="eastAsia"/>
                <w:sz w:val="24"/>
              </w:rPr>
              <w:t>备注</w:t>
            </w:r>
          </w:p>
        </w:tc>
      </w:tr>
    </w:tbl>
    <w:p w14:paraId="797C319E">
      <w:pPr>
        <w:rPr>
          <w:rFonts w:hint="eastAsia"/>
        </w:rPr>
      </w:pPr>
      <w:r>
        <w:rPr>
          <w:rFonts w:hint="eastAsia"/>
        </w:rPr>
        <w:br w:type="page"/>
      </w:r>
    </w:p>
    <w:p w14:paraId="40E89914">
      <w:pPr>
        <w:rPr>
          <w:rFonts w:hint="eastAsia"/>
        </w:rPr>
      </w:pPr>
    </w:p>
    <w:p w14:paraId="23B0FE63">
      <w:pPr>
        <w:jc w:val="center"/>
        <w:rPr>
          <w:rFonts w:hint="eastAsia"/>
          <w:b/>
          <w:bCs/>
          <w:sz w:val="32"/>
        </w:rPr>
      </w:pPr>
      <w:r>
        <w:rPr>
          <w:rFonts w:hint="eastAsia"/>
          <w:b/>
          <w:bCs/>
          <w:sz w:val="32"/>
        </w:rPr>
        <w:t>炎黄职业技术学院毕业论文任务书</w:t>
      </w:r>
    </w:p>
    <w:p w14:paraId="1FB3C007">
      <w:pPr>
        <w:rPr>
          <w:rFonts w:hint="eastAsia"/>
          <w:sz w:val="24"/>
        </w:rPr>
      </w:pPr>
      <w:r>
        <w:rPr>
          <w:rFonts w:hint="eastAsia"/>
          <w:sz w:val="24"/>
        </w:rPr>
        <w:t>系</w:t>
      </w:r>
      <w:r>
        <w:rPr>
          <w:rFonts w:hint="eastAsia"/>
          <w:sz w:val="24"/>
          <w:u w:val="single"/>
        </w:rPr>
        <w:t xml:space="preserve"> </w:t>
      </w:r>
      <w:r>
        <w:rPr>
          <w:rFonts w:hint="eastAsia"/>
          <w:sz w:val="24"/>
          <w:u w:val="single"/>
          <w:lang w:val="en-US" w:eastAsia="zh-CN"/>
        </w:rPr>
        <w:t>计算机系</w:t>
      </w:r>
      <w:r>
        <w:rPr>
          <w:rFonts w:hint="eastAsia"/>
          <w:sz w:val="24"/>
        </w:rPr>
        <w:t xml:space="preserve">专业 </w:t>
      </w:r>
      <w:r>
        <w:rPr>
          <w:rFonts w:hint="eastAsia"/>
          <w:sz w:val="24"/>
          <w:u w:val="single"/>
          <w:lang w:val="en-US" w:eastAsia="zh-CN"/>
        </w:rPr>
        <w:t xml:space="preserve">计算机应用技术 </w:t>
      </w:r>
      <w:r>
        <w:rPr>
          <w:rFonts w:hint="eastAsia"/>
          <w:sz w:val="24"/>
        </w:rPr>
        <w:t>班级</w:t>
      </w:r>
      <w:r>
        <w:rPr>
          <w:rFonts w:hint="eastAsia"/>
          <w:sz w:val="24"/>
          <w:u w:val="single"/>
          <w:lang w:val="en-US" w:eastAsia="zh-CN"/>
        </w:rPr>
        <w:t xml:space="preserve">         </w:t>
      </w:r>
      <w:r>
        <w:rPr>
          <w:rFonts w:hint="eastAsia"/>
          <w:sz w:val="24"/>
        </w:rPr>
        <w:t>姓名</w:t>
      </w:r>
      <w:r>
        <w:rPr>
          <w:rFonts w:hint="eastAsia"/>
          <w:sz w:val="24"/>
          <w:u w:val="single"/>
        </w:rPr>
        <w:t xml:space="preserve">        </w:t>
      </w:r>
      <w:r>
        <w:rPr>
          <w:rFonts w:hint="eastAsia"/>
          <w:sz w:val="24"/>
        </w:rPr>
        <w:t>学号</w:t>
      </w:r>
      <w:r>
        <w:rPr>
          <w:rFonts w:hint="eastAsia"/>
          <w:sz w:val="24"/>
          <w:u w:val="single"/>
        </w:rPr>
        <w:t xml:space="preserve">   </w:t>
      </w:r>
      <w:r>
        <w:rPr>
          <w:rFonts w:hint="eastAsia"/>
          <w:sz w:val="24"/>
          <w:u w:val="single"/>
          <w:lang w:val="en-US" w:eastAsia="zh-CN"/>
        </w:rPr>
        <w:t xml:space="preserve"> </w:t>
      </w:r>
      <w:r>
        <w:rPr>
          <w:rFonts w:hint="eastAsia"/>
          <w:sz w:val="24"/>
          <w:u w:val="single"/>
        </w:rPr>
        <w:t xml:space="preserve">       </w:t>
      </w:r>
    </w:p>
    <w:tbl>
      <w:tblPr>
        <w:tblStyle w:val="8"/>
        <w:tblpPr w:leftFromText="180" w:rightFromText="180" w:vertAnchor="page" w:horzAnchor="margin" w:tblpY="315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DEFC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8522" w:type="dxa"/>
            <w:noWrap w:val="0"/>
            <w:vAlign w:val="center"/>
          </w:tcPr>
          <w:p>
            <w:pPr>
              <w:rPr>
                <w:rFonts w:eastAsia="宋体" w:ascii="宋体" w:hAnsi="宋体"/>
                <w:color w:val="000000"/>
                <w:sz w:val="21"/>
                <w:szCs w:val="21"/>
              </w:rPr>
            </w:pPr>
            <w:r>
              <w:rPr>
                <w:rFonts w:eastAsia="宋体" w:ascii="宋体" w:hAnsi="宋体"/>
                <w:color w:val="000000"/>
                <w:sz w:val="21"/>
                <w:szCs w:val="21"/>
              </w:rPr>
              <w:t>课题名称：再生混凝土在装配式建筑中的应用评价——以住宅项目为例</w:t>
            </w:r>
          </w:p>
        </w:tc>
      </w:tr>
      <w:tr w14:paraId="4AED2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4" w:hRule="atLeast"/>
        </w:trPr>
        <w:tc>
          <w:tcPr>
            <w:tcW w:w="8522" w:type="dxa"/>
            <w:noWrap w:val="0"/>
            <w:vAlign w:val="top"/>
          </w:tcPr>
          <w:p>
            <w:pPr>
              <w:rPr>
                <w:rFonts w:eastAsia="宋体" w:ascii="宋体" w:hAnsi="宋体"/>
                <w:b/>
                <w:color w:val="000000"/>
                <w:sz w:val="21"/>
                <w:szCs w:val="21"/>
              </w:rPr>
            </w:pPr>
            <w:r>
              <w:rPr>
                <w:rFonts w:eastAsia="宋体" w:ascii="宋体" w:hAnsi="宋体"/>
                <w:b/>
                <w:color w:val="000000"/>
                <w:sz w:val="21"/>
                <w:szCs w:val="21"/>
              </w:rPr>
              <w:t>本课题主要内容：</w:t>
            </w:r>
          </w:p>
          <w:p>
            <w:pPr>
              <w:rPr>
                <w:rFonts w:eastAsia="宋体" w:ascii="宋体" w:hAnsi="宋体"/>
                <w:color w:val="000000"/>
                <w:sz w:val="21"/>
                <w:szCs w:val="21"/>
              </w:rPr>
            </w:pPr>
            <w:r>
              <w:rPr>
                <w:rFonts w:eastAsia="宋体" w:ascii="宋体" w:hAnsi="宋体"/>
                <w:color w:val="000000"/>
                <w:sz w:val="21"/>
                <w:szCs w:val="21"/>
              </w:rPr>
              <w:t>本课题以广西某百米级再生混凝土公寓项目为依托，研究再生混凝土在装配式住宅中的应用效果。主要内容包括：梳理再生骨料与再生混凝土的基本概念、性能指标及相关标准规定；介绍工程案例的项目规模、结构体系以及再生混凝土的配合比、制备工艺和施工组织方式；从技术性能、施工适应性、经济与环境效益三个维度构建评价指标体系并开展评价；分析再生混凝土在装配式住宅应用中存在的主要问题，提出加强再生骨料分级与预处理、优化配合比参数、完善过程质量留痕、开展连接节点试验验证等优化对策。</w:t>
            </w:r>
          </w:p>
        </w:tc>
      </w:tr>
      <w:tr w14:paraId="47550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pPr>
              <w:rPr>
                <w:rFonts w:eastAsia="宋体" w:ascii="宋体" w:hAnsi="宋体"/>
                <w:b/>
                <w:color w:val="000000"/>
                <w:sz w:val="21"/>
                <w:szCs w:val="21"/>
              </w:rPr>
            </w:pPr>
            <w:r>
              <w:rPr>
                <w:rFonts w:eastAsia="宋体" w:ascii="宋体" w:hAnsi="宋体"/>
                <w:b/>
                <w:color w:val="000000"/>
                <w:sz w:val="21"/>
                <w:szCs w:val="21"/>
              </w:rPr>
              <w:t>本课题研究方法与要求：</w:t>
            </w:r>
          </w:p>
          <w:p>
            <w:pPr>
              <w:rPr>
                <w:rFonts w:eastAsia="宋体" w:ascii="宋体" w:hAnsi="宋体"/>
                <w:color w:val="000000"/>
                <w:sz w:val="21"/>
                <w:szCs w:val="21"/>
              </w:rPr>
            </w:pPr>
            <w:r>
              <w:rPr>
                <w:rFonts w:eastAsia="宋体" w:ascii="宋体" w:hAnsi="宋体"/>
                <w:color w:val="000000"/>
                <w:sz w:val="21"/>
                <w:szCs w:val="21"/>
              </w:rPr>
              <w:t/>
            </w:r>
          </w:p>
          <w:p>
            <w:pPr>
              <w:rPr>
                <w:rFonts w:eastAsia="宋体" w:ascii="宋体" w:hAnsi="宋体"/>
                <w:color w:val="000000"/>
                <w:sz w:val="21"/>
                <w:szCs w:val="21"/>
              </w:rPr>
            </w:pPr>
            <w:r>
              <w:rPr>
                <w:rFonts w:eastAsia="宋体" w:ascii="宋体" w:hAnsi="宋体"/>
                <w:color w:val="000000"/>
                <w:sz w:val="21"/>
                <w:szCs w:val="21"/>
              </w:rPr>
              <w:t>方法：采用文献研究法、案例分析法、对比分析法和归纳总结法。通过查阅标准、专著和期刊文献确定评价依据；以实际工程案例为对象整理分析工程参数；将性能指标与国家标准规定值进行对比；在评价结果基础上归纳问题并提出对策。</w:t>
            </w:r>
          </w:p>
          <w:p>
            <w:pPr>
              <w:rPr>
                <w:rFonts w:eastAsia="宋体" w:ascii="宋体" w:hAnsi="宋体"/>
                <w:color w:val="000000"/>
                <w:sz w:val="21"/>
                <w:szCs w:val="21"/>
              </w:rPr>
            </w:pPr>
            <w:r>
              <w:rPr>
                <w:rFonts w:eastAsia="宋体" w:ascii="宋体" w:hAnsi="宋体"/>
                <w:color w:val="000000"/>
                <w:sz w:val="21"/>
                <w:szCs w:val="21"/>
              </w:rPr>
              <w:t/>
            </w:r>
          </w:p>
          <w:p>
            <w:pPr>
              <w:rPr>
                <w:rFonts w:eastAsia="宋体" w:ascii="宋体" w:hAnsi="宋体"/>
                <w:color w:val="000000"/>
                <w:sz w:val="21"/>
                <w:szCs w:val="21"/>
              </w:rPr>
            </w:pPr>
            <w:r>
              <w:rPr>
                <w:rFonts w:eastAsia="宋体" w:ascii="宋体" w:hAnsi="宋体"/>
                <w:color w:val="000000"/>
                <w:sz w:val="21"/>
                <w:szCs w:val="21"/>
              </w:rPr>
              <w:t>要求：论文应做到论点明确、论据充分、数据可靠，引用的文献资料应当真实并按规范著录，正文按学校规定的格式排版，字数满足要求。工程案例的参数应以公开资料为准，不得杜撰数据。分析应有针对性，提出的对策应具体可行。</w:t>
            </w:r>
          </w:p>
        </w:tc>
      </w:tr>
      <w:tr w14:paraId="7434C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8" w:hRule="atLeast"/>
        </w:trPr>
        <w:tc>
          <w:tcPr>
            <w:tcW w:w="8522" w:type="dxa"/>
            <w:noWrap w:val="0"/>
            <w:vAlign w:val="top"/>
          </w:tcPr>
          <w:p>
            <w:pPr>
              <w:rPr>
                <w:rFonts w:eastAsia="宋体" w:ascii="宋体" w:hAnsi="宋体"/>
                <w:b/>
                <w:color w:val="000000"/>
                <w:sz w:val="21"/>
                <w:szCs w:val="21"/>
              </w:rPr>
            </w:pPr>
            <w:r>
              <w:rPr>
                <w:rFonts w:eastAsia="宋体" w:ascii="宋体" w:hAnsi="宋体"/>
                <w:b/>
                <w:color w:val="000000"/>
                <w:sz w:val="21"/>
                <w:szCs w:val="21"/>
              </w:rPr>
              <w:t>本课题研究进度安排：</w:t>
            </w:r>
          </w:p>
          <w:p>
            <w:pPr>
              <w:rPr>
                <w:rFonts w:eastAsia="宋体" w:ascii="宋体" w:hAnsi="宋体"/>
                <w:color w:val="000000"/>
                <w:sz w:val="21"/>
                <w:szCs w:val="21"/>
              </w:rPr>
            </w:pPr>
            <w:r>
              <w:rPr>
                <w:rFonts w:eastAsia="宋体" w:ascii="宋体" w:hAnsi="宋体"/>
                <w:color w:val="000000"/>
                <w:sz w:val="21"/>
                <w:szCs w:val="21"/>
              </w:rPr>
              <w:t>第一阶段：2025.08.18~2025.09.03　　完成选题，查阅文献，撰写开题报告。</w:t>
            </w:r>
          </w:p>
          <w:p>
            <w:pPr>
              <w:rPr>
                <w:rFonts w:eastAsia="宋体" w:ascii="宋体" w:hAnsi="宋体"/>
                <w:color w:val="000000"/>
                <w:sz w:val="21"/>
                <w:szCs w:val="21"/>
              </w:rPr>
            </w:pPr>
            <w:r>
              <w:rPr>
                <w:rFonts w:eastAsia="宋体" w:ascii="宋体" w:hAnsi="宋体"/>
                <w:color w:val="000000"/>
                <w:sz w:val="21"/>
                <w:szCs w:val="21"/>
              </w:rPr>
              <w:t>第二阶段：2025.09.04~2025.09.12　　完善资料，确定论文主体结构，完成写作提纲。</w:t>
            </w:r>
          </w:p>
          <w:p>
            <w:pPr>
              <w:rPr>
                <w:rFonts w:eastAsia="宋体" w:ascii="宋体" w:hAnsi="宋体"/>
                <w:color w:val="000000"/>
                <w:sz w:val="21"/>
                <w:szCs w:val="21"/>
              </w:rPr>
            </w:pPr>
            <w:r>
              <w:rPr>
                <w:rFonts w:eastAsia="宋体" w:ascii="宋体" w:hAnsi="宋体"/>
                <w:color w:val="000000"/>
                <w:sz w:val="21"/>
                <w:szCs w:val="21"/>
              </w:rPr>
              <w:t>第三阶段：2025.09.13~2025.10.11　　完成论文初稿。</w:t>
            </w:r>
          </w:p>
          <w:p>
            <w:pPr>
              <w:rPr>
                <w:rFonts w:eastAsia="宋体" w:ascii="宋体" w:hAnsi="宋体"/>
                <w:color w:val="000000"/>
                <w:sz w:val="21"/>
                <w:szCs w:val="21"/>
              </w:rPr>
            </w:pPr>
            <w:r>
              <w:rPr>
                <w:rFonts w:eastAsia="宋体" w:ascii="宋体" w:hAnsi="宋体"/>
                <w:color w:val="000000"/>
                <w:sz w:val="21"/>
                <w:szCs w:val="21"/>
              </w:rPr>
              <w:t>第四阶段：2025.10.12~2025.11.25　　修改完善并定稿。</w:t>
            </w:r>
          </w:p>
        </w:tc>
      </w:tr>
      <w:tr w14:paraId="20FF0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4" w:hRule="atLeast"/>
        </w:trPr>
        <w:tc>
          <w:tcPr>
            <w:tcW w:w="8522" w:type="dxa"/>
            <w:noWrap w:val="0"/>
            <w:vAlign w:val="top"/>
          </w:tcPr>
          <w:p>
            <w:pPr>
              <w:rPr>
                <w:rFonts w:eastAsia="宋体" w:ascii="宋体" w:hAnsi="宋体"/>
                <w:b/>
                <w:color w:val="000000"/>
                <w:sz w:val="21"/>
                <w:szCs w:val="21"/>
              </w:rPr>
            </w:pPr>
            <w:r>
              <w:rPr>
                <w:rFonts w:eastAsia="宋体" w:ascii="宋体" w:hAnsi="宋体"/>
                <w:b/>
                <w:color w:val="000000"/>
                <w:sz w:val="21"/>
                <w:szCs w:val="21"/>
              </w:rPr>
              <w:t>主要参考文献：</w:t>
            </w:r>
          </w:p>
          <w:p>
            <w:pPr>
              <w:rPr>
                <w:rFonts w:eastAsia="宋体" w:ascii="宋体" w:hAnsi="宋体"/>
                <w:color w:val="000000"/>
                <w:sz w:val="21"/>
                <w:szCs w:val="21"/>
              </w:rPr>
            </w:pPr>
            <w:r>
              <w:rPr>
                <w:rFonts w:eastAsia="宋体" w:ascii="宋体" w:hAnsi="宋体"/>
                <w:color w:val="000000"/>
                <w:sz w:val="21"/>
                <w:szCs w:val="21"/>
              </w:rPr>
              <w:t>[1]  肖建庄. 再生混凝土[M]. 北京: 中国建筑工业出版社, 2008.</w:t>
            </w:r>
          </w:p>
          <w:p>
            <w:pPr>
              <w:rPr>
                <w:rFonts w:eastAsia="宋体" w:ascii="宋体" w:hAnsi="宋体"/>
                <w:color w:val="000000"/>
                <w:sz w:val="21"/>
                <w:szCs w:val="21"/>
              </w:rPr>
            </w:pPr>
            <w:r>
              <w:rPr>
                <w:rFonts w:eastAsia="宋体" w:ascii="宋体" w:hAnsi="宋体"/>
                <w:color w:val="000000"/>
                <w:sz w:val="21"/>
                <w:szCs w:val="21"/>
              </w:rPr>
              <w:t>[2]  中华人民共和国住房和城乡建设部. 再生骨料应用技术规程: JGJ/T 240-2011[S]. 北京: 中国建筑工业出版社, 2011.</w:t>
            </w:r>
          </w:p>
          <w:p>
            <w:pPr>
              <w:rPr>
                <w:rFonts w:eastAsia="宋体" w:ascii="宋体" w:hAnsi="宋体"/>
                <w:color w:val="000000"/>
                <w:sz w:val="21"/>
                <w:szCs w:val="21"/>
              </w:rPr>
            </w:pPr>
            <w:r>
              <w:rPr>
                <w:rFonts w:eastAsia="宋体" w:ascii="宋体" w:hAnsi="宋体"/>
                <w:color w:val="000000"/>
                <w:sz w:val="21"/>
                <w:szCs w:val="21"/>
              </w:rPr>
              <w:t>[3]  中华人民共和国住房和城乡建设部. 装配式混凝土建筑技术标准: GB/T 51231-2016[S]. 北京: 中国建筑工业出版社, 2016.</w:t>
            </w:r>
          </w:p>
          <w:p>
            <w:pPr>
              <w:rPr>
                <w:rFonts w:eastAsia="宋体" w:ascii="宋体" w:hAnsi="宋体"/>
                <w:color w:val="000000"/>
                <w:sz w:val="21"/>
                <w:szCs w:val="21"/>
              </w:rPr>
            </w:pPr>
            <w:r>
              <w:rPr>
                <w:rFonts w:eastAsia="宋体" w:ascii="宋体" w:hAnsi="宋体"/>
                <w:color w:val="000000"/>
                <w:sz w:val="21"/>
                <w:szCs w:val="21"/>
              </w:rPr>
              <w:t>[4]  海然, 崔力, 翟胜田, 等. 基于文献聚类分析的再生混凝土抗压强度及耐久性最新研究进展[J]. 材料导报, 2025, 39(17): 24050154.</w:t>
            </w:r>
          </w:p>
          <w:p>
            <w:pPr>
              <w:rPr>
                <w:rFonts w:eastAsia="宋体" w:ascii="宋体" w:hAnsi="宋体"/>
                <w:color w:val="000000"/>
                <w:sz w:val="21"/>
                <w:szCs w:val="21"/>
              </w:rPr>
            </w:pPr>
            <w:r>
              <w:rPr>
                <w:rFonts w:eastAsia="宋体" w:ascii="宋体" w:hAnsi="宋体"/>
                <w:color w:val="000000"/>
                <w:sz w:val="21"/>
                <w:szCs w:val="21"/>
              </w:rPr>
              <w:t>[5]  李想, 孙建刚, 张书进, 等. 一种基于再生混凝土的装配式结构抗震性能试验研究[J]. 振动工程学报, 2021, 34(5).</w:t>
            </w:r>
          </w:p>
        </w:tc>
      </w:tr>
    </w:tbl>
    <w:p w14:paraId="522CA347">
      <w:pPr>
        <w:rPr>
          <w:rFonts w:hint="eastAsia"/>
          <w:sz w:val="24"/>
        </w:rPr>
      </w:pPr>
    </w:p>
    <w:p w14:paraId="56CE5877">
      <w:pPr>
        <w:ind w:firstLine="1800"/>
        <w:jc w:val="center"/>
        <w:rPr>
          <w:sz w:val="24"/>
        </w:rPr>
      </w:pPr>
      <w:r>
        <w:rPr>
          <w:rFonts w:hint="eastAsia"/>
          <w:sz w:val="24"/>
        </w:rPr>
        <w:t xml:space="preserve">                               指导老师</w:t>
      </w:r>
      <w:r>
        <w:rPr>
          <w:sz w:val="24"/>
        </w:rPr>
        <w:t>_______________</w:t>
      </w:r>
    </w:p>
    <w:p w14:paraId="094065B4">
      <w:pPr>
        <w:ind w:firstLine="1800"/>
        <w:rPr>
          <w:sz w:val="24"/>
        </w:rPr>
      </w:pPr>
      <w:r>
        <w:rPr>
          <w:rFonts w:hint="eastAsia"/>
          <w:sz w:val="24"/>
        </w:rPr>
        <w:t xml:space="preserve">                             </w:t>
      </w:r>
      <w:r>
        <w:rPr>
          <w:sz w:val="24"/>
        </w:rPr>
        <w:t xml:space="preserve">  </w:t>
      </w:r>
      <w:r>
        <w:rPr>
          <w:rFonts w:hint="eastAsia"/>
          <w:sz w:val="24"/>
        </w:rPr>
        <w:t>职务（称）</w:t>
      </w:r>
      <w:r>
        <w:rPr>
          <w:sz w:val="24"/>
        </w:rPr>
        <w:t>_______________</w:t>
      </w:r>
    </w:p>
    <w:p w14:paraId="115F42AB">
      <w:pPr>
        <w:rPr>
          <w:rFonts w:hint="eastAsia"/>
          <w:sz w:val="24"/>
        </w:rPr>
      </w:pPr>
      <w:r>
        <w:rPr>
          <w:rFonts w:hint="eastAsia"/>
          <w:sz w:val="24"/>
        </w:rPr>
        <w:t xml:space="preserve">                                                 </w:t>
      </w:r>
      <w:r>
        <w:rPr>
          <w:rFonts w:hint="eastAsia"/>
          <w:sz w:val="24"/>
          <w:lang w:val="en-US" w:eastAsia="zh-CN"/>
        </w:rPr>
        <w:t>2025</w:t>
      </w:r>
      <w:r>
        <w:rPr>
          <w:rFonts w:hint="eastAsia"/>
          <w:sz w:val="24"/>
        </w:rPr>
        <w:t>年</w:t>
      </w:r>
      <w:r>
        <w:rPr>
          <w:rFonts w:hint="eastAsia"/>
          <w:sz w:val="24"/>
          <w:lang w:val="en-US" w:eastAsia="zh-CN"/>
        </w:rPr>
        <w:t>9</w:t>
      </w:r>
      <w:r>
        <w:rPr>
          <w:rFonts w:hint="eastAsia"/>
          <w:sz w:val="24"/>
        </w:rPr>
        <w:t xml:space="preserve">月 </w:t>
      </w:r>
      <w:r>
        <w:rPr>
          <w:rFonts w:hint="eastAsia"/>
          <w:sz w:val="24"/>
          <w:lang w:val="en-US" w:eastAsia="zh-CN"/>
        </w:rPr>
        <w:t>10</w:t>
      </w:r>
      <w:r>
        <w:rPr>
          <w:rFonts w:hint="eastAsia"/>
          <w:sz w:val="24"/>
        </w:rPr>
        <w:t>日</w:t>
      </w:r>
    </w:p>
    <w:p w14:paraId="0478ADD6">
      <w:pPr/>
      <w:r>
        <w:br w:type="page"/>
      </w:r>
    </w:p>
    <w:p w14:paraId="6A4314C8">
      <w:pPr>
        <w:jc w:val="center"/>
        <w:rPr>
          <w:rFonts w:hint="eastAsia"/>
        </w:rPr>
      </w:pPr>
      <w:r>
        <w:rPr>
          <w:rFonts w:hint="eastAsia"/>
          <w:b/>
          <w:bCs/>
          <w:sz w:val="32"/>
        </w:rPr>
        <w:t>炎黄职业技术学院毕业论文中期检查指导表</w:t>
      </w:r>
    </w:p>
    <w:tbl>
      <w:tblPr>
        <w:tblStyle w:val="8"/>
        <w:tblpPr w:leftFromText="180" w:rightFromText="180" w:vertAnchor="page" w:horzAnchor="margin" w:tblpY="268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8"/>
        <w:gridCol w:w="1260"/>
        <w:gridCol w:w="1260"/>
        <w:gridCol w:w="1440"/>
        <w:gridCol w:w="1219"/>
        <w:gridCol w:w="1975"/>
      </w:tblGrid>
      <w:tr w14:paraId="3D5E1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trPr>
        <w:tc>
          <w:tcPr>
            <w:tcW w:w="1368" w:type="dxa"/>
            <w:noWrap w:val="0"/>
            <w:vAlign w:val="center"/>
          </w:tcPr>
          <w:p w14:paraId="516A3784">
            <w:pPr>
              <w:jc w:val="center"/>
              <w:rPr>
                <w:rFonts w:hint="eastAsia"/>
                <w:sz w:val="24"/>
              </w:rPr>
            </w:pPr>
            <w:r>
              <w:rPr>
                <w:rFonts w:hint="eastAsia"/>
                <w:sz w:val="24"/>
              </w:rPr>
              <w:t>姓名</w:t>
            </w:r>
          </w:p>
        </w:tc>
        <w:tc>
          <w:tcPr>
            <w:tcW w:w="1260" w:type="dxa"/>
            <w:noWrap w:val="0"/>
            <w:vAlign w:val="center"/>
          </w:tcPr>
          <w:p w14:paraId="26020783">
            <w:pPr>
              <w:jc w:val="center"/>
              <w:rPr>
                <w:rFonts w:hint="default" w:eastAsia="宋体"/>
                <w:sz w:val="24"/>
                <w:lang w:val="en-US" w:eastAsia="zh-CN"/>
              </w:rPr>
            </w:pPr>
          </w:p>
        </w:tc>
        <w:tc>
          <w:tcPr>
            <w:tcW w:w="1260" w:type="dxa"/>
            <w:noWrap w:val="0"/>
            <w:vAlign w:val="center"/>
          </w:tcPr>
          <w:p w14:paraId="4D293719">
            <w:pPr>
              <w:jc w:val="center"/>
              <w:rPr>
                <w:rFonts w:hint="eastAsia"/>
                <w:sz w:val="24"/>
              </w:rPr>
            </w:pPr>
            <w:r>
              <w:rPr>
                <w:rFonts w:hint="eastAsia"/>
                <w:sz w:val="24"/>
              </w:rPr>
              <w:t>系别</w:t>
            </w:r>
          </w:p>
        </w:tc>
        <w:tc>
          <w:tcPr>
            <w:tcW w:w="1440" w:type="dxa"/>
            <w:noWrap w:val="0"/>
            <w:vAlign w:val="center"/>
          </w:tcPr>
          <w:p w14:paraId="6E615DDF">
            <w:pPr>
              <w:jc w:val="center"/>
              <w:rPr>
                <w:rFonts w:hint="default" w:eastAsia="宋体"/>
                <w:sz w:val="24"/>
                <w:lang w:val="en-US" w:eastAsia="zh-CN"/>
              </w:rPr>
            </w:pPr>
            <w:r>
              <w:rPr>
                <w:rFonts w:hint="eastAsia" w:eastAsia="宋体"/>
                <w:sz w:val="24"/>
                <w:lang w:val="en-US" w:eastAsia="zh-CN"/>
              </w:rPr>
              <w:t>计算机系</w:t>
            </w:r>
          </w:p>
        </w:tc>
        <w:tc>
          <w:tcPr>
            <w:tcW w:w="1219" w:type="dxa"/>
            <w:noWrap w:val="0"/>
            <w:vAlign w:val="center"/>
          </w:tcPr>
          <w:p w14:paraId="2DD07E6B">
            <w:pPr>
              <w:jc w:val="center"/>
              <w:rPr>
                <w:rFonts w:hint="eastAsia"/>
                <w:sz w:val="24"/>
              </w:rPr>
            </w:pPr>
            <w:r>
              <w:rPr>
                <w:rFonts w:hint="eastAsia"/>
                <w:sz w:val="24"/>
              </w:rPr>
              <w:t>班级</w:t>
            </w:r>
          </w:p>
        </w:tc>
        <w:tc>
          <w:tcPr>
            <w:tcW w:w="1975" w:type="dxa"/>
            <w:noWrap w:val="0"/>
            <w:vAlign w:val="center"/>
          </w:tcPr>
          <w:p w14:paraId="132DBA1C">
            <w:pPr>
              <w:jc w:val="center"/>
              <w:rPr>
                <w:rFonts w:hint="default" w:eastAsia="宋体"/>
                <w:sz w:val="24"/>
                <w:lang w:val="en-US" w:eastAsia="zh-CN"/>
              </w:rPr>
            </w:pPr>
          </w:p>
        </w:tc>
      </w:tr>
      <w:tr w14:paraId="62C6C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6" w:hRule="atLeast"/>
        </w:trPr>
        <w:tc>
          <w:tcPr>
            <w:tcW w:w="1368" w:type="dxa"/>
            <w:noWrap w:val="0"/>
            <w:vAlign w:val="center"/>
          </w:tcPr>
          <w:p w14:paraId="638BDCC6">
            <w:pPr>
              <w:jc w:val="center"/>
              <w:rPr>
                <w:rFonts w:hint="eastAsia"/>
                <w:sz w:val="24"/>
              </w:rPr>
            </w:pPr>
            <w:r>
              <w:rPr>
                <w:rFonts w:hint="eastAsia"/>
                <w:sz w:val="24"/>
              </w:rPr>
              <w:t>论文题目</w:t>
            </w:r>
          </w:p>
        </w:tc>
        <w:tc>
          <w:tcPr>
            <w:tcW w:w="3960" w:type="dxa"/>
            <w:gridSpan w:val="3"/>
            <w:noWrap w:val="0"/>
            <w:vAlign w:val="center"/>
          </w:tcPr>
          <w:p w14:paraId="3610E9E8">
            <w:pPr>
              <w:jc w:val="center"/>
              <w:rPr>
                <w:rFonts w:hint="eastAsia"/>
                <w:sz w:val="24"/>
              </w:rPr>
            </w:pPr>
          </w:p>
        </w:tc>
        <w:tc>
          <w:tcPr>
            <w:tcW w:w="1219" w:type="dxa"/>
            <w:noWrap w:val="0"/>
            <w:vAlign w:val="center"/>
          </w:tcPr>
          <w:p w14:paraId="4B5903C4">
            <w:pPr>
              <w:jc w:val="center"/>
              <w:rPr>
                <w:rFonts w:hint="eastAsia"/>
                <w:sz w:val="24"/>
              </w:rPr>
            </w:pPr>
            <w:r>
              <w:rPr>
                <w:rFonts w:hint="eastAsia"/>
                <w:sz w:val="24"/>
              </w:rPr>
              <w:t>指导老师</w:t>
            </w:r>
          </w:p>
        </w:tc>
        <w:tc>
          <w:tcPr>
            <w:tcW w:w="1975" w:type="dxa"/>
            <w:noWrap w:val="0"/>
            <w:vAlign w:val="center"/>
          </w:tcPr>
          <w:p w14:paraId="03DC5F84">
            <w:pPr>
              <w:jc w:val="center"/>
              <w:rPr>
                <w:rFonts w:hint="eastAsia" w:eastAsia="宋体"/>
                <w:sz w:val="24"/>
                <w:lang w:eastAsia="zh-CN"/>
              </w:rPr>
            </w:pPr>
          </w:p>
        </w:tc>
      </w:tr>
      <w:tr w14:paraId="100C0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68" w:type="dxa"/>
            <w:noWrap w:val="0"/>
            <w:vAlign w:val="center"/>
          </w:tcPr>
          <w:p w14:paraId="33354884">
            <w:pPr>
              <w:jc w:val="left"/>
              <w:rPr>
                <w:rFonts w:hint="eastAsia"/>
                <w:sz w:val="24"/>
              </w:rPr>
            </w:pPr>
            <w:r>
              <w:rPr>
                <w:rFonts w:hint="eastAsia"/>
                <w:sz w:val="24"/>
              </w:rPr>
              <w:t>第一阶段时间安排、完成任务情况以及教师指导意见</w:t>
            </w:r>
          </w:p>
        </w:tc>
        <w:tc>
          <w:tcPr>
            <w:tcW w:w="7154" w:type="dxa"/>
            <w:gridSpan w:val="5"/>
            <w:noWrap w:val="0"/>
            <w:vAlign w:val="top"/>
          </w:tcPr>
          <w:p>
            <w:pPr>
              <w:rPr>
                <w:rFonts w:eastAsia="宋体" w:ascii="宋体" w:hAnsi="宋体"/>
                <w:b/>
                <w:color w:val="000000"/>
                <w:sz w:val="21"/>
                <w:szCs w:val="21"/>
              </w:rPr>
            </w:pPr>
            <w:r>
              <w:rPr>
                <w:rFonts w:eastAsia="宋体" w:ascii="宋体" w:hAnsi="宋体"/>
                <w:b/>
                <w:color w:val="000000"/>
                <w:sz w:val="21"/>
                <w:szCs w:val="21"/>
              </w:rPr>
              <w:t>时间安排：2025.08.18~2025.09.03</w:t>
            </w:r>
          </w:p>
          <w:p>
            <w:pPr>
              <w:rPr>
                <w:rFonts w:eastAsia="宋体" w:ascii="宋体" w:hAnsi="宋体"/>
                <w:color w:val="000000"/>
                <w:sz w:val="21"/>
                <w:szCs w:val="21"/>
              </w:rPr>
            </w:pPr>
            <w:r>
              <w:rPr>
                <w:rFonts w:eastAsia="宋体" w:ascii="宋体" w:hAnsi="宋体"/>
                <w:color w:val="000000"/>
                <w:sz w:val="21"/>
                <w:szCs w:val="21"/>
              </w:rPr>
              <w:t>完成任务情况：完成论文选题，查阅再生混凝土与装配式建筑相关文献，撰写开题报告，下发任务书，收集工程案例资料。</w:t>
            </w:r>
          </w:p>
          <w:p>
            <w:pPr>
              <w:rPr>
                <w:rFonts w:eastAsia="宋体" w:ascii="宋体" w:hAnsi="宋体"/>
                <w:color w:val="000000"/>
                <w:sz w:val="21"/>
                <w:szCs w:val="21"/>
              </w:rPr>
            </w:pPr>
            <w:r>
              <w:rPr>
                <w:rFonts w:eastAsia="宋体" w:ascii="宋体" w:hAnsi="宋体"/>
                <w:color w:val="000000"/>
                <w:sz w:val="21"/>
                <w:szCs w:val="21"/>
              </w:rPr>
              <w:t>教师指导意见：资料收集较为充分，但工程实测数据偏少，需进一步补充。</w:t>
            </w:r>
          </w:p>
        </w:tc>
      </w:tr>
      <w:tr w14:paraId="0646C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68" w:type="dxa"/>
            <w:noWrap w:val="0"/>
            <w:vAlign w:val="center"/>
          </w:tcPr>
          <w:p w14:paraId="437694DB">
            <w:pPr>
              <w:jc w:val="left"/>
              <w:rPr>
                <w:sz w:val="24"/>
              </w:rPr>
            </w:pPr>
            <w:r>
              <w:rPr>
                <w:rFonts w:hint="eastAsia"/>
                <w:sz w:val="24"/>
              </w:rPr>
              <w:t>第二阶段时间安排、完成任务情况以及教师指导意见</w:t>
            </w:r>
          </w:p>
        </w:tc>
        <w:tc>
          <w:tcPr>
            <w:tcW w:w="7154" w:type="dxa"/>
            <w:gridSpan w:val="5"/>
            <w:noWrap w:val="0"/>
            <w:vAlign w:val="top"/>
          </w:tcPr>
          <w:p>
            <w:pPr>
              <w:rPr>
                <w:rFonts w:eastAsia="宋体" w:ascii="宋体" w:hAnsi="宋体"/>
                <w:b/>
                <w:color w:val="000000"/>
                <w:sz w:val="21"/>
                <w:szCs w:val="21"/>
              </w:rPr>
            </w:pPr>
            <w:r>
              <w:rPr>
                <w:rFonts w:eastAsia="宋体" w:ascii="宋体" w:hAnsi="宋体"/>
                <w:b/>
                <w:color w:val="000000"/>
                <w:sz w:val="21"/>
                <w:szCs w:val="21"/>
              </w:rPr>
              <w:t>时间安排：2025.09.04~2025.09.12</w:t>
            </w:r>
          </w:p>
          <w:p>
            <w:pPr>
              <w:rPr>
                <w:rFonts w:eastAsia="宋体" w:ascii="宋体" w:hAnsi="宋体"/>
                <w:color w:val="000000"/>
                <w:sz w:val="21"/>
                <w:szCs w:val="21"/>
              </w:rPr>
            </w:pPr>
            <w:r>
              <w:rPr>
                <w:rFonts w:eastAsia="宋体" w:ascii="宋体" w:hAnsi="宋体"/>
                <w:color w:val="000000"/>
                <w:sz w:val="21"/>
                <w:szCs w:val="21"/>
              </w:rPr>
              <w:t>完成任务情况：补充收集广西百米级再生混凝土公寓项目的公开资料，确定论文主体结构为六章，完成详细写作提纲。</w:t>
            </w:r>
          </w:p>
          <w:p>
            <w:pPr>
              <w:rPr>
                <w:rFonts w:eastAsia="宋体" w:ascii="宋体" w:hAnsi="宋体"/>
                <w:color w:val="000000"/>
                <w:sz w:val="21"/>
                <w:szCs w:val="21"/>
              </w:rPr>
            </w:pPr>
            <w:r>
              <w:rPr>
                <w:rFonts w:eastAsia="宋体" w:ascii="宋体" w:hAnsi="宋体"/>
                <w:color w:val="000000"/>
                <w:sz w:val="21"/>
                <w:szCs w:val="21"/>
              </w:rPr>
              <w:t>教师指导意见：框架合理，层次清晰，可按计划推进。</w:t>
            </w:r>
          </w:p>
        </w:tc>
      </w:tr>
      <w:tr w14:paraId="7D135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327" w:hRule="atLeast"/>
        </w:trPr>
        <w:tc>
          <w:tcPr>
            <w:tcW w:w="1368" w:type="dxa"/>
            <w:noWrap w:val="0"/>
            <w:vAlign w:val="center"/>
          </w:tcPr>
          <w:p w14:paraId="042D9A79">
            <w:pPr>
              <w:jc w:val="left"/>
              <w:rPr>
                <w:sz w:val="24"/>
              </w:rPr>
            </w:pPr>
            <w:r>
              <w:rPr>
                <w:rFonts w:hint="eastAsia"/>
                <w:sz w:val="24"/>
              </w:rPr>
              <w:t>第三阶段 时间安排、完成任务情况以及教师指导意见</w:t>
            </w:r>
          </w:p>
        </w:tc>
        <w:tc>
          <w:tcPr>
            <w:tcW w:w="7154" w:type="dxa"/>
            <w:gridSpan w:val="5"/>
            <w:noWrap w:val="0"/>
            <w:vAlign w:val="top"/>
          </w:tcPr>
          <w:p>
            <w:pPr>
              <w:rPr>
                <w:rFonts w:eastAsia="宋体" w:ascii="宋体" w:hAnsi="宋体"/>
                <w:b/>
                <w:color w:val="000000"/>
                <w:sz w:val="21"/>
                <w:szCs w:val="21"/>
              </w:rPr>
            </w:pPr>
            <w:r>
              <w:rPr>
                <w:rFonts w:eastAsia="宋体" w:ascii="宋体" w:hAnsi="宋体"/>
                <w:b/>
                <w:color w:val="000000"/>
                <w:sz w:val="21"/>
                <w:szCs w:val="21"/>
              </w:rPr>
              <w:t>时间安排：2025.09.13~2025.10.11</w:t>
            </w:r>
          </w:p>
          <w:p>
            <w:pPr>
              <w:rPr>
                <w:rFonts w:eastAsia="宋体" w:ascii="宋体" w:hAnsi="宋体"/>
                <w:color w:val="000000"/>
                <w:sz w:val="21"/>
                <w:szCs w:val="21"/>
              </w:rPr>
            </w:pPr>
            <w:r>
              <w:rPr>
                <w:rFonts w:eastAsia="宋体" w:ascii="宋体" w:hAnsi="宋体"/>
                <w:color w:val="000000"/>
                <w:sz w:val="21"/>
                <w:szCs w:val="21"/>
              </w:rPr>
              <w:t>完成任务情况：完成论文初稿，内容与格式基本符合要求。</w:t>
            </w:r>
          </w:p>
          <w:p>
            <w:pPr>
              <w:rPr>
                <w:rFonts w:eastAsia="宋体" w:ascii="宋体" w:hAnsi="宋体"/>
                <w:color w:val="000000"/>
                <w:sz w:val="21"/>
                <w:szCs w:val="21"/>
              </w:rPr>
            </w:pPr>
            <w:r>
              <w:rPr>
                <w:rFonts w:eastAsia="宋体" w:ascii="宋体" w:hAnsi="宋体"/>
                <w:color w:val="000000"/>
                <w:sz w:val="21"/>
                <w:szCs w:val="21"/>
              </w:rPr>
              <w:t>教师指导意见：初稿对施工适应性的分析还需加强，部分章节需再修改。</w:t>
            </w:r>
          </w:p>
        </w:tc>
      </w:tr>
      <w:tr w14:paraId="39BD3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89" w:hRule="atLeast"/>
        </w:trPr>
        <w:tc>
          <w:tcPr>
            <w:tcW w:w="1368" w:type="dxa"/>
            <w:noWrap w:val="0"/>
            <w:vAlign w:val="center"/>
          </w:tcPr>
          <w:p w14:paraId="0F2478C3">
            <w:pPr>
              <w:jc w:val="left"/>
              <w:rPr>
                <w:sz w:val="24"/>
              </w:rPr>
            </w:pPr>
            <w:r>
              <w:rPr>
                <w:rFonts w:hint="eastAsia"/>
                <w:sz w:val="24"/>
              </w:rPr>
              <w:t>第四阶段 时间安排、完成任务情况以及教师指导意见</w:t>
            </w:r>
          </w:p>
        </w:tc>
        <w:tc>
          <w:tcPr>
            <w:tcW w:w="7154" w:type="dxa"/>
            <w:gridSpan w:val="5"/>
            <w:noWrap w:val="0"/>
            <w:vAlign w:val="top"/>
          </w:tcPr>
          <w:p>
            <w:pPr>
              <w:rPr>
                <w:rFonts w:eastAsia="宋体" w:ascii="宋体" w:hAnsi="宋体"/>
                <w:b/>
                <w:color w:val="000000"/>
                <w:sz w:val="21"/>
                <w:szCs w:val="21"/>
              </w:rPr>
            </w:pPr>
            <w:r>
              <w:rPr>
                <w:rFonts w:eastAsia="宋体" w:ascii="宋体" w:hAnsi="宋体"/>
                <w:b/>
                <w:color w:val="000000"/>
                <w:sz w:val="21"/>
                <w:szCs w:val="21"/>
              </w:rPr>
              <w:t>时间安排：2025.10.12~2025.11.25</w:t>
            </w:r>
          </w:p>
          <w:p>
            <w:pPr>
              <w:rPr>
                <w:rFonts w:eastAsia="宋体" w:ascii="宋体" w:hAnsi="宋体"/>
                <w:color w:val="000000"/>
                <w:sz w:val="21"/>
                <w:szCs w:val="21"/>
              </w:rPr>
            </w:pPr>
            <w:r>
              <w:rPr>
                <w:rFonts w:eastAsia="宋体" w:ascii="宋体" w:hAnsi="宋体"/>
                <w:color w:val="000000"/>
                <w:sz w:val="21"/>
                <w:szCs w:val="21"/>
              </w:rPr>
              <w:t>完成任务情况：按指导意见修改完善，完成论文定稿。</w:t>
            </w:r>
          </w:p>
          <w:p>
            <w:pPr>
              <w:rPr>
                <w:rFonts w:eastAsia="宋体" w:ascii="宋体" w:hAnsi="宋体"/>
                <w:color w:val="000000"/>
                <w:sz w:val="21"/>
                <w:szCs w:val="21"/>
              </w:rPr>
            </w:pPr>
            <w:r>
              <w:rPr>
                <w:rFonts w:eastAsia="宋体" w:ascii="宋体" w:hAnsi="宋体"/>
                <w:color w:val="000000"/>
                <w:sz w:val="21"/>
                <w:szCs w:val="21"/>
              </w:rPr>
              <w:t>教师指导意见：完成情况良好。</w:t>
            </w:r>
          </w:p>
        </w:tc>
      </w:tr>
    </w:tbl>
    <w:p w14:paraId="3E933190">
      <w:pPr/>
    </w:p>
    <w:p w14:paraId="47BFC32B">
      <w:pPr>
        <w:rPr>
          <w:rFonts w:hint="eastAsia" w:ascii="方正小标宋简体" w:hAnsi="方正小标宋简体" w:eastAsia="方正小标宋简体" w:cs="方正小标宋简体"/>
          <w:sz w:val="40"/>
          <w:szCs w:val="6"/>
        </w:rPr>
      </w:pPr>
      <w:r>
        <w:rPr>
          <w:rFonts w:hint="eastAsia" w:ascii="方正小标宋简体" w:hAnsi="方正小标宋简体" w:eastAsia="方正小标宋简体" w:cs="方正小标宋简体"/>
          <w:sz w:val="40"/>
          <w:szCs w:val="6"/>
        </w:rPr>
        <w:br w:type="page"/>
      </w:r>
    </w:p>
    <w:p w14:paraId="6A58A817">
      <w:pPr>
        <w:spacing w:before="120" w:beforeLines="50" w:after="48" w:afterLines="20"/>
        <w:rPr>
          <w:rFonts w:hint="eastAsia" w:ascii="方正小标宋简体" w:hAnsi="方正小标宋简体" w:eastAsia="方正小标宋简体" w:cs="方正小标宋简体"/>
          <w:sz w:val="40"/>
          <w:szCs w:val="6"/>
        </w:rPr>
      </w:pPr>
      <w:bookmarkStart w:id="0" w:name="_GoBack"/>
      <w:bookmarkEnd w:id="0"/>
    </w:p>
    <w:p w14:paraId="6794644C">
      <w:pPr>
        <w:keepNext/>
        <w:spacing w:before="120" w:beforeLines="50" w:after="48" w:afterLines="20"/>
        <w:rPr>
          <w:rFonts w:hint="eastAsia" w:ascii="方正小标宋简体" w:hAnsi="方正小标宋简体" w:eastAsia="方正小标宋简体" w:cs="方正小标宋简体"/>
          <w:sz w:val="106"/>
        </w:rPr>
      </w:pPr>
      <w:r>
        <w:rPr>
          <w:rFonts w:hint="eastAsia" w:eastAsia="楷体_GB2312"/>
          <w:color w:val="000000"/>
          <w:sz w:val="60"/>
        </w:rPr>
        <w:drawing>
          <wp:anchor distT="0" distB="0" distL="114300" distR="114300" simplePos="0" relativeHeight="251664384" behindDoc="0" locked="0" layoutInCell="1" allowOverlap="1">
            <wp:simplePos x="0" y="0"/>
            <wp:positionH relativeFrom="column">
              <wp:posOffset>1276985</wp:posOffset>
            </wp:positionH>
            <wp:positionV relativeFrom="paragraph">
              <wp:posOffset>246380</wp:posOffset>
            </wp:positionV>
            <wp:extent cx="3801110" cy="1061720"/>
            <wp:effectExtent l="0" t="0" r="8890" b="0"/>
            <wp:wrapNone/>
            <wp:docPr id="3" name="图片 3" descr="校徽-带字版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校徽-带字版本"/>
                    <pic:cNvPicPr>
                      <a:picLocks noChangeAspect="1"/>
                    </pic:cNvPicPr>
                  </pic:nvPicPr>
                  <pic:blipFill>
                    <a:blip r:embed="rId6"/>
                    <a:srcRect l="21762"/>
                    <a:stretch>
                      <a:fillRect/>
                    </a:stretch>
                  </pic:blipFill>
                  <pic:spPr>
                    <a:xfrm>
                      <a:off x="0" y="0"/>
                      <a:ext cx="3801110" cy="1061720"/>
                    </a:xfrm>
                    <a:prstGeom prst="rect">
                      <a:avLst/>
                    </a:prstGeom>
                    <a:noFill/>
                    <a:ln>
                      <a:noFill/>
                    </a:ln>
                  </pic:spPr>
                </pic:pic>
              </a:graphicData>
            </a:graphic>
          </wp:anchor>
        </w:drawing>
      </w:r>
      <w:r>
        <w:drawing>
          <wp:anchor distT="0" distB="0" distL="114300" distR="114300" simplePos="0" relativeHeight="251665408" behindDoc="0" locked="0" layoutInCell="1" allowOverlap="1">
            <wp:simplePos x="0" y="0"/>
            <wp:positionH relativeFrom="column">
              <wp:posOffset>-74295</wp:posOffset>
            </wp:positionH>
            <wp:positionV relativeFrom="paragraph">
              <wp:posOffset>115570</wp:posOffset>
            </wp:positionV>
            <wp:extent cx="1293495" cy="1189355"/>
            <wp:effectExtent l="0" t="0" r="0" b="0"/>
            <wp:wrapNone/>
            <wp:docPr id="5" name="图片 2" descr="炎黄logo20240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炎黄logo20240901"/>
                    <pic:cNvPicPr>
                      <a:picLocks noChangeAspect="1"/>
                    </pic:cNvPicPr>
                  </pic:nvPicPr>
                  <pic:blipFill>
                    <a:blip r:embed="rId7"/>
                    <a:stretch>
                      <a:fillRect/>
                    </a:stretch>
                  </pic:blipFill>
                  <pic:spPr>
                    <a:xfrm>
                      <a:off x="0" y="0"/>
                      <a:ext cx="1293495" cy="1189355"/>
                    </a:xfrm>
                    <a:prstGeom prst="rect">
                      <a:avLst/>
                    </a:prstGeom>
                    <a:noFill/>
                    <a:ln>
                      <a:noFill/>
                    </a:ln>
                  </pic:spPr>
                </pic:pic>
              </a:graphicData>
            </a:graphic>
          </wp:anchor>
        </w:drawing>
      </w:r>
    </w:p>
    <w:p w14:paraId="3378A566">
      <w:pPr>
        <w:spacing w:before="120" w:beforeLines="50" w:after="48" w:afterLines="20"/>
        <w:rPr>
          <w:rFonts w:hint="eastAsia" w:ascii="方正小标宋简体" w:hAnsi="方正小标宋简体" w:eastAsia="方正小标宋简体" w:cs="方正小标宋简体"/>
          <w:sz w:val="48"/>
          <w:szCs w:val="10"/>
        </w:rPr>
      </w:pPr>
    </w:p>
    <w:p w14:paraId="45F401D6">
      <w:pPr>
        <w:spacing w:before="120" w:beforeLines="50" w:after="48" w:afterLines="20"/>
        <w:jc w:val="center"/>
        <w:rPr>
          <w:rFonts w:hint="eastAsia" w:ascii="方正小标宋简体" w:hAnsi="方正小标宋简体" w:eastAsia="方正小标宋简体" w:cs="方正小标宋简体"/>
          <w:sz w:val="106"/>
        </w:rPr>
      </w:pPr>
      <w:r>
        <w:rPr>
          <w:rFonts w:hint="eastAsia" w:ascii="方正小标宋简体" w:hAnsi="方正小标宋简体" w:eastAsia="方正小标宋简体" w:cs="方正小标宋简体"/>
          <w:sz w:val="106"/>
        </w:rPr>
        <w:t>毕  业  论  文</w:t>
      </w:r>
    </w:p>
    <w:p w14:paraId="28C86DEC">
      <w:pPr>
        <w:jc w:val="center"/>
        <w:rPr>
          <w:rFonts w:hint="eastAsia"/>
          <w:sz w:val="48"/>
        </w:rPr>
      </w:pPr>
    </w:p>
    <w:tbl>
      <w:tblPr>
        <w:tblStyle w:val="8"/>
        <w:tblW w:w="7140" w:type="dxa"/>
        <w:tblInd w:w="948" w:type="dxa"/>
        <w:tblLayout w:type="fixed"/>
        <w:tblCellMar>
          <w:top w:w="0" w:type="dxa"/>
          <w:left w:w="108" w:type="dxa"/>
          <w:bottom w:w="0" w:type="dxa"/>
          <w:right w:w="108" w:type="dxa"/>
        </w:tblCellMar>
      </w:tblPr>
      <w:tblGrid>
        <w:gridCol w:w="1406"/>
        <w:gridCol w:w="2269"/>
        <w:gridCol w:w="1260"/>
        <w:gridCol w:w="2205"/>
      </w:tblGrid>
      <w:tr w14:paraId="3C5F7232">
        <w:tblPrEx>
          <w:tblCellMar>
            <w:top w:w="0" w:type="dxa"/>
            <w:left w:w="108" w:type="dxa"/>
            <w:bottom w:w="0" w:type="dxa"/>
            <w:right w:w="108" w:type="dxa"/>
          </w:tblCellMar>
        </w:tblPrEx>
        <w:trPr>
          <w:trHeight w:val="765" w:hRule="atLeast"/>
        </w:trPr>
        <w:tc>
          <w:tcPr>
            <w:tcW w:w="1406" w:type="dxa"/>
            <w:noWrap w:val="0"/>
            <w:vAlign w:val="bottom"/>
          </w:tcPr>
          <w:p w14:paraId="02FF6B80">
            <w:pPr>
              <w:spacing w:line="520" w:lineRule="exact"/>
              <w:jc w:val="distribute"/>
              <w:rPr>
                <w:b/>
                <w:bCs/>
                <w:kern w:val="0"/>
                <w:sz w:val="32"/>
              </w:rPr>
            </w:pPr>
            <w:r>
              <w:rPr>
                <w:rFonts w:hint="eastAsia"/>
                <w:b/>
                <w:bCs/>
                <w:kern w:val="0"/>
                <w:sz w:val="32"/>
              </w:rPr>
              <w:t>姓  名</w:t>
            </w:r>
            <w:r>
              <w:rPr>
                <w:b/>
                <w:bCs/>
                <w:kern w:val="0"/>
                <w:sz w:val="32"/>
              </w:rPr>
              <w:t>:</w:t>
            </w:r>
          </w:p>
        </w:tc>
        <w:tc>
          <w:tcPr>
            <w:tcW w:w="2269" w:type="dxa"/>
            <w:tcBorders>
              <w:bottom w:val="single" w:color="auto" w:sz="8" w:space="0"/>
            </w:tcBorders>
            <w:noWrap w:val="0"/>
            <w:vAlign w:val="bottom"/>
          </w:tcPr>
          <w:p w14:paraId="498C7D14">
            <w:pPr>
              <w:spacing w:line="520" w:lineRule="exact"/>
              <w:jc w:val="center"/>
              <w:rPr>
                <w:rFonts w:hint="eastAsia" w:eastAsia="楷体_GB2312"/>
                <w:sz w:val="32"/>
              </w:rPr>
            </w:pPr>
          </w:p>
        </w:tc>
        <w:tc>
          <w:tcPr>
            <w:tcW w:w="1260" w:type="dxa"/>
            <w:noWrap w:val="0"/>
            <w:vAlign w:val="bottom"/>
          </w:tcPr>
          <w:p w14:paraId="32951E62">
            <w:pPr>
              <w:spacing w:line="520" w:lineRule="exact"/>
              <w:jc w:val="distribute"/>
              <w:rPr>
                <w:rFonts w:hint="eastAsia"/>
                <w:b/>
                <w:bCs/>
                <w:kern w:val="0"/>
                <w:sz w:val="32"/>
              </w:rPr>
            </w:pPr>
            <w:r>
              <w:rPr>
                <w:rFonts w:hint="eastAsia" w:hAnsi="宋体"/>
                <w:b/>
                <w:bCs/>
                <w:kern w:val="0"/>
                <w:sz w:val="32"/>
              </w:rPr>
              <w:t>学</w:t>
            </w:r>
            <w:r>
              <w:rPr>
                <w:rFonts w:hint="eastAsia"/>
                <w:b/>
                <w:bCs/>
                <w:kern w:val="0"/>
                <w:sz w:val="32"/>
              </w:rPr>
              <w:t xml:space="preserve"> </w:t>
            </w:r>
            <w:r>
              <w:rPr>
                <w:rFonts w:hint="eastAsia" w:hAnsi="宋体"/>
                <w:b/>
                <w:bCs/>
                <w:kern w:val="0"/>
                <w:sz w:val="32"/>
              </w:rPr>
              <w:t>号：</w:t>
            </w:r>
          </w:p>
        </w:tc>
        <w:tc>
          <w:tcPr>
            <w:tcW w:w="2205" w:type="dxa"/>
            <w:tcBorders>
              <w:bottom w:val="single" w:color="auto" w:sz="8" w:space="0"/>
            </w:tcBorders>
            <w:noWrap w:val="0"/>
            <w:vAlign w:val="bottom"/>
          </w:tcPr>
          <w:p w14:paraId="74B74BAF">
            <w:pPr>
              <w:spacing w:line="520" w:lineRule="exact"/>
              <w:jc w:val="center"/>
              <w:rPr>
                <w:rFonts w:hint="eastAsia" w:eastAsia="楷体_GB2312"/>
                <w:sz w:val="32"/>
              </w:rPr>
            </w:pPr>
          </w:p>
        </w:tc>
      </w:tr>
      <w:tr w14:paraId="04B54BBC">
        <w:tblPrEx>
          <w:tblCellMar>
            <w:top w:w="0" w:type="dxa"/>
            <w:left w:w="108" w:type="dxa"/>
            <w:bottom w:w="0" w:type="dxa"/>
            <w:right w:w="108" w:type="dxa"/>
          </w:tblCellMar>
        </w:tblPrEx>
        <w:trPr>
          <w:trHeight w:val="765" w:hRule="atLeast"/>
        </w:trPr>
        <w:tc>
          <w:tcPr>
            <w:tcW w:w="1406" w:type="dxa"/>
            <w:noWrap w:val="0"/>
            <w:vAlign w:val="bottom"/>
          </w:tcPr>
          <w:p w14:paraId="42C0415B">
            <w:pPr>
              <w:spacing w:line="520" w:lineRule="exact"/>
              <w:jc w:val="distribute"/>
              <w:rPr>
                <w:b/>
                <w:bCs/>
                <w:kern w:val="0"/>
                <w:sz w:val="32"/>
              </w:rPr>
            </w:pPr>
            <w:r>
              <w:rPr>
                <w:rFonts w:hint="eastAsia"/>
                <w:b/>
                <w:bCs/>
                <w:kern w:val="0"/>
                <w:sz w:val="32"/>
              </w:rPr>
              <w:t>系</w:t>
            </w:r>
            <w:r>
              <w:rPr>
                <w:b/>
                <w:bCs/>
                <w:kern w:val="0"/>
                <w:sz w:val="32"/>
              </w:rPr>
              <w:t xml:space="preserve"> (</w:t>
            </w:r>
            <w:r>
              <w:rPr>
                <w:rFonts w:hint="eastAsia"/>
                <w:b/>
                <w:bCs/>
                <w:kern w:val="0"/>
                <w:sz w:val="32"/>
              </w:rPr>
              <w:t>院)</w:t>
            </w:r>
            <w:r>
              <w:rPr>
                <w:b/>
                <w:bCs/>
                <w:kern w:val="0"/>
                <w:sz w:val="32"/>
              </w:rPr>
              <w:t>:</w:t>
            </w:r>
          </w:p>
        </w:tc>
        <w:tc>
          <w:tcPr>
            <w:tcW w:w="5734" w:type="dxa"/>
            <w:gridSpan w:val="3"/>
            <w:tcBorders>
              <w:bottom w:val="single" w:color="auto" w:sz="8" w:space="0"/>
            </w:tcBorders>
            <w:noWrap w:val="0"/>
            <w:vAlign w:val="bottom"/>
          </w:tcPr>
          <w:p>
            <w:pPr>
              <w:rPr>
                <w:rFonts w:eastAsia="楷体_GB2312" w:ascii="楷体_GB2312" w:hAnsi="楷体_GB2312"/>
                <w:color w:val="000000"/>
                <w:sz w:val="32"/>
                <w:szCs w:val="32"/>
              </w:rPr>
            </w:pPr>
            <w:r>
              <w:rPr>
                <w:rFonts w:eastAsia="楷体_GB2312" w:ascii="楷体_GB2312" w:hAnsi="楷体_GB2312"/>
                <w:color w:val="000000"/>
                <w:sz w:val="32"/>
                <w:szCs w:val="32"/>
              </w:rPr>
              <w:t>计算机系</w:t>
            </w:r>
          </w:p>
        </w:tc>
      </w:tr>
      <w:tr w14:paraId="080A43F2">
        <w:tblPrEx>
          <w:tblCellMar>
            <w:top w:w="0" w:type="dxa"/>
            <w:left w:w="108" w:type="dxa"/>
            <w:bottom w:w="0" w:type="dxa"/>
            <w:right w:w="108" w:type="dxa"/>
          </w:tblCellMar>
        </w:tblPrEx>
        <w:trPr>
          <w:trHeight w:val="765" w:hRule="atLeast"/>
        </w:trPr>
        <w:tc>
          <w:tcPr>
            <w:tcW w:w="1406" w:type="dxa"/>
            <w:noWrap w:val="0"/>
            <w:vAlign w:val="bottom"/>
          </w:tcPr>
          <w:p w14:paraId="5E2E880C">
            <w:pPr>
              <w:spacing w:line="520" w:lineRule="exact"/>
              <w:jc w:val="distribute"/>
              <w:rPr>
                <w:b/>
                <w:bCs/>
                <w:kern w:val="0"/>
                <w:sz w:val="32"/>
              </w:rPr>
            </w:pPr>
            <w:r>
              <w:rPr>
                <w:rFonts w:hint="eastAsia"/>
                <w:b/>
                <w:bCs/>
                <w:kern w:val="0"/>
                <w:sz w:val="32"/>
              </w:rPr>
              <w:t>专</w:t>
            </w:r>
            <w:r>
              <w:rPr>
                <w:b/>
                <w:bCs/>
                <w:kern w:val="0"/>
                <w:sz w:val="32"/>
              </w:rPr>
              <w:t xml:space="preserve">  </w:t>
            </w:r>
            <w:r>
              <w:rPr>
                <w:rFonts w:hint="eastAsia"/>
                <w:b/>
                <w:bCs/>
                <w:kern w:val="0"/>
                <w:sz w:val="32"/>
              </w:rPr>
              <w:t>业</w:t>
            </w:r>
            <w:r>
              <w:rPr>
                <w:b/>
                <w:bCs/>
                <w:kern w:val="0"/>
                <w:sz w:val="32"/>
              </w:rPr>
              <w:t>:</w:t>
            </w:r>
          </w:p>
        </w:tc>
        <w:tc>
          <w:tcPr>
            <w:tcW w:w="5734" w:type="dxa"/>
            <w:gridSpan w:val="3"/>
            <w:tcBorders>
              <w:bottom w:val="single" w:color="auto" w:sz="8" w:space="0"/>
            </w:tcBorders>
            <w:noWrap w:val="0"/>
            <w:vAlign w:val="bottom"/>
          </w:tcPr>
          <w:p>
            <w:pPr>
              <w:rPr>
                <w:rFonts w:eastAsia="楷体_GB2312" w:ascii="楷体_GB2312" w:hAnsi="楷体_GB2312"/>
                <w:color w:val="000000"/>
                <w:sz w:val="32"/>
                <w:szCs w:val="32"/>
              </w:rPr>
            </w:pPr>
            <w:r>
              <w:rPr>
                <w:rFonts w:eastAsia="楷体_GB2312" w:ascii="楷体_GB2312" w:hAnsi="楷体_GB2312"/>
                <w:color w:val="000000"/>
                <w:sz w:val="32"/>
                <w:szCs w:val="32"/>
              </w:rPr>
              <w:t>计算机应用技术</w:t>
            </w:r>
          </w:p>
        </w:tc>
      </w:tr>
      <w:tr w14:paraId="3E6905AC">
        <w:tblPrEx>
          <w:tblCellMar>
            <w:top w:w="0" w:type="dxa"/>
            <w:left w:w="108" w:type="dxa"/>
            <w:bottom w:w="0" w:type="dxa"/>
            <w:right w:w="108" w:type="dxa"/>
          </w:tblCellMar>
        </w:tblPrEx>
        <w:trPr>
          <w:trHeight w:val="765" w:hRule="atLeast"/>
        </w:trPr>
        <w:tc>
          <w:tcPr>
            <w:tcW w:w="1406" w:type="dxa"/>
            <w:noWrap w:val="0"/>
            <w:vAlign w:val="bottom"/>
          </w:tcPr>
          <w:p w14:paraId="11F5488B">
            <w:pPr>
              <w:spacing w:line="520" w:lineRule="exact"/>
              <w:jc w:val="distribute"/>
              <w:rPr>
                <w:rFonts w:hint="eastAsia"/>
                <w:b/>
                <w:bCs/>
                <w:kern w:val="0"/>
                <w:sz w:val="32"/>
              </w:rPr>
            </w:pPr>
            <w:r>
              <w:rPr>
                <w:rFonts w:hint="eastAsia"/>
                <w:b/>
                <w:bCs/>
                <w:kern w:val="0"/>
                <w:sz w:val="32"/>
              </w:rPr>
              <w:t>题  目</w:t>
            </w:r>
            <w:r>
              <w:rPr>
                <w:b/>
                <w:bCs/>
                <w:kern w:val="0"/>
                <w:sz w:val="32"/>
              </w:rPr>
              <w:t>:</w:t>
            </w:r>
          </w:p>
        </w:tc>
        <w:tc>
          <w:tcPr>
            <w:tcW w:w="5734" w:type="dxa"/>
            <w:gridSpan w:val="3"/>
            <w:tcBorders>
              <w:bottom w:val="single" w:color="auto" w:sz="8" w:space="0"/>
            </w:tcBorders>
            <w:noWrap w:val="0"/>
            <w:vAlign w:val="bottom"/>
          </w:tcPr>
          <w:p>
            <w:pPr>
              <w:rPr>
                <w:rFonts w:eastAsia="楷体_GB2312" w:ascii="楷体_GB2312" w:hAnsi="楷体_GB2312"/>
                <w:color w:val="000000"/>
                <w:sz w:val="32"/>
                <w:szCs w:val="32"/>
              </w:rPr>
            </w:pPr>
            <w:r>
              <w:rPr>
                <w:rFonts w:eastAsia="楷体_GB2312" w:ascii="楷体_GB2312" w:hAnsi="楷体_GB2312"/>
                <w:color w:val="000000"/>
                <w:sz w:val="32"/>
                <w:szCs w:val="32"/>
              </w:rPr>
              <w:t>再生混凝土在装配式建筑中的应用评价——以住宅项目为例</w:t>
            </w:r>
          </w:p>
        </w:tc>
      </w:tr>
      <w:tr w14:paraId="00936248">
        <w:tblPrEx>
          <w:tblCellMar>
            <w:top w:w="0" w:type="dxa"/>
            <w:left w:w="108" w:type="dxa"/>
            <w:bottom w:w="0" w:type="dxa"/>
            <w:right w:w="108" w:type="dxa"/>
          </w:tblCellMar>
        </w:tblPrEx>
        <w:trPr>
          <w:trHeight w:val="765" w:hRule="atLeast"/>
        </w:trPr>
        <w:tc>
          <w:tcPr>
            <w:tcW w:w="1406" w:type="dxa"/>
            <w:noWrap w:val="0"/>
            <w:vAlign w:val="bottom"/>
          </w:tcPr>
          <w:p w14:paraId="159A1AE5">
            <w:pPr>
              <w:spacing w:line="520" w:lineRule="exact"/>
              <w:jc w:val="distribute"/>
              <w:rPr>
                <w:rFonts w:hint="eastAsia"/>
                <w:b/>
                <w:bCs/>
                <w:kern w:val="0"/>
                <w:sz w:val="32"/>
              </w:rPr>
            </w:pPr>
          </w:p>
        </w:tc>
        <w:tc>
          <w:tcPr>
            <w:tcW w:w="5734" w:type="dxa"/>
            <w:gridSpan w:val="3"/>
            <w:tcBorders>
              <w:bottom w:val="single" w:color="auto" w:sz="8" w:space="0"/>
            </w:tcBorders>
            <w:noWrap w:val="0"/>
            <w:vAlign w:val="bottom"/>
          </w:tcPr>
          <w:p w14:paraId="9F5A2D04">
            <w:pPr>
              <w:spacing w:line="520" w:lineRule="exact"/>
              <w:jc w:val="distribute"/>
              <w:rPr>
                <w:b/>
                <w:bCs/>
                <w:kern w:val="0"/>
                <w:sz w:val="32"/>
              </w:rPr>
            </w:pPr>
          </w:p>
        </w:tc>
      </w:tr>
    </w:tbl>
    <w:p w14:paraId="681B0AFA">
      <w:pPr>
        <w:keepNext/>
        <w:spacing w:line="400" w:lineRule="exact"/>
        <w:rPr>
          <w:rFonts w:hint="eastAsia"/>
          <w:sz w:val="32"/>
          <w:u w:val="single"/>
        </w:rPr>
      </w:pPr>
      <w:r>
        <w:rPr>
          <w:sz w:val="20"/>
          <w:u w:val="single"/>
        </w:rPr>
        <mc:AlternateContent>
          <mc:Choice Requires="wps">
            <w:drawing>
              <wp:anchor distT="0" distB="0" distL="114300" distR="114300" simplePos="0" relativeHeight="251660288" behindDoc="0" locked="0" layoutInCell="1" allowOverlap="1">
                <wp:simplePos x="0" y="0"/>
                <wp:positionH relativeFrom="column">
                  <wp:posOffset>3000375</wp:posOffset>
                </wp:positionH>
                <wp:positionV relativeFrom="paragraph">
                  <wp:posOffset>74295</wp:posOffset>
                </wp:positionV>
                <wp:extent cx="1333500" cy="396240"/>
                <wp:effectExtent l="0" t="0" r="0" b="3810"/>
                <wp:wrapNone/>
                <wp:docPr id="2" name="文本框 2"/>
                <wp:cNvGraphicFramePr/>
                <a:graphic xmlns:a="http://schemas.openxmlformats.org/drawingml/2006/main">
                  <a:graphicData uri="http://schemas.microsoft.com/office/word/2010/wordprocessingShape">
                    <wps:wsp>
                      <wps:cNvSpPr txBox="1"/>
                      <wps:spPr>
                        <a:xfrm>
                          <a:off x="0" y="0"/>
                          <a:ext cx="1333500" cy="396240"/>
                        </a:xfrm>
                        <a:prstGeom prst="rect">
                          <a:avLst/>
                        </a:prstGeom>
                        <a:solidFill>
                          <a:srgbClr val="FFFFFF"/>
                        </a:solidFill>
                        <a:ln>
                          <a:noFill/>
                        </a:ln>
                      </wps:spPr>
                      <wps:txbx>
                        <w:txbxContent>
                          <w:p w14:paraId="11FE8ECB">
                            <w:pPr>
                              <w:jc w:val="center"/>
                              <w:rPr>
                                <w:rFonts w:ascii="楷体_GB2312" w:eastAsia="楷体_GB2312"/>
                                <w:sz w:val="32"/>
                              </w:rPr>
                            </w:pPr>
                          </w:p>
                        </w:txbxContent>
                      </wps:txbx>
                      <wps:bodyPr upright="1"/>
                    </wps:wsp>
                  </a:graphicData>
                </a:graphic>
              </wp:anchor>
            </w:drawing>
          </mc:Choice>
          <mc:Fallback>
            <w:pict>
              <v:shape id="_x0000_s1026" o:spid="_x0000_s1026" o:spt="202" type="#_x0000_t202" style="position:absolute;left:0pt;margin-left:236.25pt;margin-top:5.85pt;height:31.2pt;width:105pt;z-index:251660288;mso-width-relative:page;mso-height-relative:page;" stroked="f" coordsize="21600,21600" o:gfxdata="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TNLr/9YAAAAJAQAADwAAAAAAAAABACAAAAAiAAAAZHJzL2Rvd25yZXYueG1s&#10;UEsBAhQAFAAAAAgAh07iQBS6dlLBAQAAdwMAAA4AAAAAAAAAAQAgAAAAJQEAAGRycy9lMm9Eb2Mu&#10;eG1sUEsFBgAAAAAGAAYAWQEAAFgFAAAAAA==&#10;">
                <v:path/>
                <v:fill focussize="0,0"/>
                <v:stroke on="f"/>
                <v:imagedata o:title=""/>
                <o:lock v:ext="edit"/>
                <v:textbox>
                  <w:txbxContent/>
                </v:textbox>
              </v:shape>
            </w:pict>
          </mc:Fallback>
        </mc:AlternateContent>
      </w:r>
      <w:r>
        <w:rPr>
          <w:sz w:val="20"/>
          <w:u w:val="single"/>
        </w:rPr>
        <mc:AlternateContent>
          <mc:Choice Requires="wps">
            <w:drawing>
              <wp:anchor distT="0" distB="0" distL="114300" distR="114300" simplePos="0" relativeHeight="251659264" behindDoc="0" locked="0" layoutInCell="1" allowOverlap="1">
                <wp:simplePos x="0" y="0"/>
                <wp:positionH relativeFrom="column">
                  <wp:posOffset>1666875</wp:posOffset>
                </wp:positionH>
                <wp:positionV relativeFrom="paragraph">
                  <wp:posOffset>74295</wp:posOffset>
                </wp:positionV>
                <wp:extent cx="1066800" cy="396240"/>
                <wp:effectExtent l="0" t="0" r="0" b="3810"/>
                <wp:wrapNone/>
                <wp:docPr id="4" name="文本框 4"/>
                <wp:cNvGraphicFramePr/>
                <a:graphic xmlns:a="http://schemas.openxmlformats.org/drawingml/2006/main">
                  <a:graphicData uri="http://schemas.microsoft.com/office/word/2010/wordprocessingShape">
                    <wps:wsp>
                      <wps:cNvSpPr txBox="1"/>
                      <wps:spPr>
                        <a:xfrm>
                          <a:off x="0" y="0"/>
                          <a:ext cx="1066800" cy="396240"/>
                        </a:xfrm>
                        <a:prstGeom prst="rect">
                          <a:avLst/>
                        </a:prstGeom>
                        <a:solidFill>
                          <a:srgbClr val="FFFFFF"/>
                        </a:solidFill>
                        <a:ln>
                          <a:noFill/>
                        </a:ln>
                      </wps:spPr>
                      <wps:txbx>
                        <w:txbxContent/>
                      </wps:txbx>
                      <wps:bodyPr upright="1"/>
                    </wps:wsp>
                  </a:graphicData>
                </a:graphic>
              </wp:anchor>
            </w:drawing>
          </mc:Choice>
          <mc:Fallback>
            <w:pict>
              <v:shape id="_x0000_s1026" o:spid="_x0000_s1026" o:spt="202" type="#_x0000_t202" style="position:absolute;left:0pt;margin-left:131.25pt;margin-top:5.85pt;height:31.2pt;width:84pt;z-index:251659264;mso-width-relative:page;mso-height-relative:page;" stroked="f" coordsize="21600,21600" o:gfxdata="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k5jtc1wAAAAkBAAAPAAAAAAAAAAEAIAAAACIAAABkcnMvZG93bnJldi54&#10;bWxQSwECFAAUAAAACACHTuJAEwOhG8IBAAB3AwAADgAAAAAAAAABACAAAAAmAQAAZHJzL2Uyb0Rv&#10;Yy54bWxQSwUGAAAAAAYABgBZAQAAWgUAAAAA&#10;">
                <v:path/>
                <v:fill focussize="0,0"/>
                <v:stroke on="f"/>
                <v:imagedata o:title=""/>
                <o:lock v:ext="edit"/>
                <v:textbox>
                  <w:txbxContent/>
                </v:textbox>
              </v:shape>
            </w:pict>
          </mc:Fallback>
        </mc:AlternateContent>
      </w:r>
    </w:p>
    <w:p w14:paraId="45018F6E">
      <w:pPr>
        <w:spacing w:line="400" w:lineRule="exact"/>
        <w:ind w:firstLine="1205" w:firstLineChars="400"/>
        <w:rPr>
          <w:rFonts w:hint="eastAsia"/>
          <w:b/>
          <w:bCs/>
          <w:sz w:val="32"/>
          <w:u w:val="single"/>
        </w:rPr>
      </w:pPr>
      <w:r>
        <w:rPr>
          <w:rFonts w:hint="eastAsia"/>
          <w:b/>
          <w:bCs/>
          <w:sz w:val="30"/>
        </w:rPr>
        <w:t>指导者：</w:t>
      </w:r>
      <w:r>
        <w:rPr>
          <w:rFonts w:hint="eastAsia"/>
          <w:bCs/>
          <w:sz w:val="32"/>
          <w:u w:val="single"/>
        </w:rPr>
        <w:t xml:space="preserve">                               </w:t>
      </w:r>
    </w:p>
    <w:p w14:paraId="77B97764">
      <w:pPr>
        <w:spacing w:line="300" w:lineRule="exact"/>
        <w:ind w:firstLine="782"/>
        <w:jc w:val="center"/>
        <w:rPr>
          <w:rFonts w:hint="eastAsia"/>
        </w:rPr>
      </w:pPr>
      <w:r>
        <w:rPr>
          <w:rFonts w:hint="eastAsia"/>
        </w:rPr>
        <w:t xml:space="preserve">      </w:t>
      </w:r>
      <w:r>
        <w:t>(</w:t>
      </w:r>
      <w:r>
        <w:rPr>
          <w:rFonts w:hint="eastAsia"/>
        </w:rPr>
        <w:t>姓 名</w:t>
      </w:r>
      <w:r>
        <w:t xml:space="preserve">) </w:t>
      </w:r>
      <w:r>
        <w:rPr>
          <w:rFonts w:hint="eastAsia"/>
        </w:rPr>
        <w:t xml:space="preserve">         </w:t>
      </w:r>
      <w:r>
        <w:t xml:space="preserve">  (</w:t>
      </w:r>
      <w:r>
        <w:rPr>
          <w:rFonts w:hint="eastAsia"/>
        </w:rPr>
        <w:t>专业技术职务</w:t>
      </w:r>
      <w:r>
        <w:t>)</w:t>
      </w:r>
    </w:p>
    <w:p w14:paraId="486B74AE">
      <w:pPr>
        <w:keepNext/>
        <w:spacing w:line="240" w:lineRule="exact"/>
        <w:ind w:firstLine="780"/>
        <w:jc w:val="center"/>
        <w:rPr>
          <w:rFonts w:hint="eastAsia"/>
        </w:rPr>
      </w:pPr>
      <w:r>
        <w:rPr>
          <w:sz w:val="20"/>
          <w:u w:val="single"/>
        </w:rPr>
        <mc:AlternateContent>
          <mc:Choice Requires="wps">
            <w:drawing>
              <wp:anchor distT="0" distB="0" distL="114300" distR="114300" simplePos="0" relativeHeight="251661312" behindDoc="0" locked="0" layoutInCell="1" allowOverlap="1">
                <wp:simplePos x="0" y="0"/>
                <wp:positionH relativeFrom="column">
                  <wp:posOffset>2933700</wp:posOffset>
                </wp:positionH>
                <wp:positionV relativeFrom="paragraph">
                  <wp:posOffset>68580</wp:posOffset>
                </wp:positionV>
                <wp:extent cx="1400175" cy="284480"/>
                <wp:effectExtent l="0" t="0" r="9525" b="1270"/>
                <wp:wrapNone/>
                <wp:docPr id="6" name="文本框 6"/>
                <wp:cNvGraphicFramePr/>
                <a:graphic xmlns:a="http://schemas.openxmlformats.org/drawingml/2006/main">
                  <a:graphicData uri="http://schemas.microsoft.com/office/word/2010/wordprocessingShape">
                    <wps:wsp>
                      <wps:cNvSpPr txBox="1"/>
                      <wps:spPr>
                        <a:xfrm>
                          <a:off x="0" y="0"/>
                          <a:ext cx="1400175" cy="284480"/>
                        </a:xfrm>
                        <a:prstGeom prst="rect">
                          <a:avLst/>
                        </a:prstGeom>
                        <a:solidFill>
                          <a:srgbClr val="FFFFFF"/>
                        </a:solidFill>
                        <a:ln>
                          <a:noFill/>
                        </a:ln>
                      </wps:spPr>
                      <wps:txbx>
                        <w:txbxContent>
                          <w:p w14:paraId="2FA69C0E">
                            <w:pPr>
                              <w:jc w:val="center"/>
                              <w:rPr>
                                <w:rFonts w:hint="eastAsia" w:ascii="楷体_GB2312" w:eastAsia="楷体_GB2312"/>
                                <w:sz w:val="32"/>
                              </w:rPr>
                            </w:pPr>
                          </w:p>
                        </w:txbxContent>
                      </wps:txbx>
                      <wps:bodyPr upright="1"/>
                    </wps:wsp>
                  </a:graphicData>
                </a:graphic>
              </wp:anchor>
            </w:drawing>
          </mc:Choice>
          <mc:Fallback>
            <w:pict>
              <v:shape id="_x0000_s1026" o:spid="_x0000_s1026" o:spt="202" type="#_x0000_t202" style="position:absolute;left:0pt;margin-left:231pt;margin-top:5.4pt;height:22.4pt;width:110.25pt;z-index:251661312;mso-width-relative:page;mso-height-relative:page;" stroked="f" coordsize="21600,21600" o:gfxdata="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dpNdl1wAAAAkBAAAPAAAAAAAAAAEAIAAAACIAAABkcnMvZG93bnJldi54&#10;bWxQSwECFAAUAAAACACHTuJAfPDLScIBAAB3AwAADgAAAAAAAAABACAAAAAmAQAAZHJzL2Uyb0Rv&#10;Yy54bWxQSwUGAAAAAAYABgBZAQAAWgUAAAAA&#10;">
                <v:path/>
                <v:fill focussize="0,0"/>
                <v:stroke on="f"/>
                <v:imagedata o:title=""/>
                <o:lock v:ext="edit"/>
                <v:textbox>
                  <w:txbxContent/>
                </v:textbox>
              </v:shape>
            </w:pict>
          </mc:Fallback>
        </mc:AlternateContent>
      </w:r>
      <w:r>
        <w:rPr>
          <w:sz w:val="20"/>
          <w:u w:val="single"/>
        </w:rPr>
        <mc:AlternateContent>
          <mc:Choice Requires="wps">
            <w:drawing>
              <wp:anchor distT="0" distB="0" distL="114300" distR="114300" simplePos="0" relativeHeight="251662336" behindDoc="0" locked="0" layoutInCell="1" allowOverlap="1">
                <wp:simplePos x="0" y="0"/>
                <wp:positionH relativeFrom="column">
                  <wp:posOffset>1666875</wp:posOffset>
                </wp:positionH>
                <wp:positionV relativeFrom="paragraph">
                  <wp:posOffset>68580</wp:posOffset>
                </wp:positionV>
                <wp:extent cx="1066800" cy="317500"/>
                <wp:effectExtent l="0" t="0" r="0" b="6350"/>
                <wp:wrapNone/>
                <wp:docPr id="1" name="文本框 1"/>
                <wp:cNvGraphicFramePr/>
                <a:graphic xmlns:a="http://schemas.openxmlformats.org/drawingml/2006/main">
                  <a:graphicData uri="http://schemas.microsoft.com/office/word/2010/wordprocessingShape">
                    <wps:wsp>
                      <wps:cNvSpPr txBox="1"/>
                      <wps:spPr>
                        <a:xfrm>
                          <a:off x="0" y="0"/>
                          <a:ext cx="1066800" cy="317500"/>
                        </a:xfrm>
                        <a:prstGeom prst="rect">
                          <a:avLst/>
                        </a:prstGeom>
                        <a:solidFill>
                          <a:srgbClr val="FFFFFF"/>
                        </a:solidFill>
                        <a:ln>
                          <a:noFill/>
                        </a:ln>
                      </wps:spPr>
                      <wps:txbx>
                        <w:txbxContent/>
                      </wps:txbx>
                      <wps:bodyPr upright="1"/>
                    </wps:wsp>
                  </a:graphicData>
                </a:graphic>
              </wp:anchor>
            </w:drawing>
          </mc:Choice>
          <mc:Fallback>
            <w:pict>
              <v:shape id="_x0000_s1026" o:spid="_x0000_s1026" o:spt="202" type="#_x0000_t202" style="position:absolute;left:0pt;margin-left:131.25pt;margin-top:5.4pt;height:25pt;width:84pt;z-index:251662336;mso-width-relative:page;mso-height-relative:page;" stroked="f" coordsize="21600,21600" o:gfxdata="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Zpav/9YAAAAJAQAADwAAAAAAAAABACAAAAAiAAAAZHJzL2Rvd25yZXYueG1sUEsB&#10;AhQAFAAAAAgAh07iQEwriY2+AQAAdwMAAA4AAAAAAAAAAQAgAAAAJQEAAGRycy9lMm9Eb2MueG1s&#10;UEsFBgAAAAAGAAYAWQEAAFUFAAAAAA==&#10;">
                <v:path/>
                <v:fill focussize="0,0"/>
                <v:stroke on="f"/>
                <v:imagedata o:title=""/>
                <o:lock v:ext="edit"/>
                <v:textbox>
                  <w:txbxContent/>
                </v:textbox>
              </v:shape>
            </w:pict>
          </mc:Fallback>
        </mc:AlternateContent>
      </w:r>
    </w:p>
    <w:p w14:paraId="56285902">
      <w:pPr>
        <w:spacing w:before="120" w:beforeLines="50" w:line="400" w:lineRule="exact"/>
        <w:ind w:firstLine="1205" w:firstLineChars="400"/>
        <w:rPr>
          <w:rFonts w:hint="eastAsia"/>
          <w:b/>
          <w:bCs/>
          <w:sz w:val="30"/>
          <w:u w:val="single"/>
        </w:rPr>
      </w:pPr>
      <w:r>
        <w:rPr>
          <w:rFonts w:hint="eastAsia"/>
          <w:b/>
          <w:bCs/>
          <w:sz w:val="30"/>
        </w:rPr>
        <w:t>评阅者：</w:t>
      </w:r>
      <w:r>
        <w:rPr>
          <w:rFonts w:hint="eastAsia"/>
          <w:bCs/>
          <w:sz w:val="32"/>
          <w:u w:val="single"/>
        </w:rPr>
        <w:t xml:space="preserve">                               </w:t>
      </w:r>
    </w:p>
    <w:p w14:paraId="3E18E8A4">
      <w:pPr>
        <w:spacing w:line="300" w:lineRule="exact"/>
        <w:ind w:firstLine="782"/>
        <w:jc w:val="center"/>
        <w:rPr>
          <w:rFonts w:hint="eastAsia"/>
        </w:rPr>
      </w:pPr>
      <w:r>
        <w:rPr>
          <w:rFonts w:hint="eastAsia"/>
        </w:rPr>
        <w:t xml:space="preserve">      </w:t>
      </w:r>
      <w:r>
        <w:t>(</w:t>
      </w:r>
      <w:r>
        <w:rPr>
          <w:rFonts w:hint="eastAsia"/>
        </w:rPr>
        <w:t>姓 名</w:t>
      </w:r>
      <w:r>
        <w:t xml:space="preserve">) </w:t>
      </w:r>
      <w:r>
        <w:rPr>
          <w:rFonts w:hint="eastAsia"/>
        </w:rPr>
        <w:t xml:space="preserve">         </w:t>
      </w:r>
      <w:r>
        <w:t xml:space="preserve">  (</w:t>
      </w:r>
      <w:r>
        <w:rPr>
          <w:rFonts w:hint="eastAsia"/>
        </w:rPr>
        <w:t>专业技术职务</w:t>
      </w:r>
      <w:r>
        <w:t>)</w:t>
      </w:r>
    </w:p>
    <w:p w14:paraId="1DC72C6B">
      <w:pPr>
        <w:spacing w:line="360" w:lineRule="exact"/>
        <w:jc w:val="center"/>
        <w:rPr>
          <w:rFonts w:hint="eastAsia"/>
          <w:sz w:val="32"/>
        </w:rPr>
      </w:pPr>
    </w:p>
    <w:tbl>
      <w:tblPr>
        <w:tblStyle w:val="8"/>
        <w:tblW w:w="0" w:type="auto"/>
        <w:jc w:val="center"/>
        <w:tblLayout w:type="autofit"/>
        <w:tblCellMar>
          <w:top w:w="0" w:type="dxa"/>
          <w:left w:w="108" w:type="dxa"/>
          <w:bottom w:w="0" w:type="dxa"/>
          <w:right w:w="108" w:type="dxa"/>
        </w:tblCellMar>
      </w:tblPr>
      <w:tblGrid>
        <w:gridCol w:w="1036"/>
        <w:gridCol w:w="716"/>
        <w:gridCol w:w="556"/>
        <w:gridCol w:w="716"/>
      </w:tblGrid>
      <w:tr w14:paraId="27E28FA9">
        <w:tblPrEx>
          <w:tblCellMar>
            <w:top w:w="0" w:type="dxa"/>
            <w:left w:w="108" w:type="dxa"/>
            <w:bottom w:w="0" w:type="dxa"/>
            <w:right w:w="108" w:type="dxa"/>
          </w:tblCellMar>
        </w:tblPrEx>
        <w:trPr>
          <w:jc w:val="center"/>
        </w:trPr>
        <w:tc>
          <w:tcPr>
            <w:tcW w:w="1036" w:type="dxa"/>
            <w:noWrap w:val="0"/>
            <w:vAlign w:val="top"/>
          </w:tcPr>
          <w:p>
            <w:pPr>
              <w:rPr>
                <w:rFonts w:eastAsia="宋体" w:ascii="宋体" w:hAnsi="宋体"/>
                <w:color w:val="000000"/>
                <w:sz w:val="21"/>
                <w:szCs w:val="21"/>
              </w:rPr>
            </w:pPr>
            <w:r>
              <w:rPr>
                <w:rFonts w:eastAsia="宋体" w:ascii="宋体" w:hAnsi="宋体"/>
                <w:color w:val="000000"/>
                <w:sz w:val="21"/>
                <w:szCs w:val="21"/>
              </w:rPr>
              <w:t>2025</w:t>
            </w:r>
          </w:p>
        </w:tc>
        <w:tc>
          <w:tcPr>
            <w:tcW w:w="716" w:type="dxa"/>
            <w:noWrap w:val="0"/>
            <w:vAlign w:val="top"/>
          </w:tcPr>
          <w:p w14:paraId="2EA7F303">
            <w:pPr>
              <w:spacing w:line="360" w:lineRule="exact"/>
              <w:jc w:val="center"/>
              <w:rPr>
                <w:sz w:val="32"/>
              </w:rPr>
            </w:pPr>
            <w:r>
              <w:rPr>
                <w:rFonts w:hint="eastAsia" w:eastAsia="黑体"/>
                <w:sz w:val="32"/>
              </w:rPr>
              <w:t>年</w:t>
            </w:r>
          </w:p>
        </w:tc>
        <w:tc>
          <w:tcPr>
            <w:tcW w:w="556" w:type="dxa"/>
            <w:noWrap w:val="0"/>
            <w:vAlign w:val="top"/>
          </w:tcPr>
          <w:p>
            <w:pPr>
              <w:rPr>
                <w:rFonts w:eastAsia="宋体" w:ascii="宋体" w:hAnsi="宋体"/>
                <w:color w:val="000000"/>
                <w:sz w:val="21"/>
                <w:szCs w:val="21"/>
              </w:rPr>
            </w:pPr>
            <w:r>
              <w:rPr>
                <w:rFonts w:eastAsia="宋体" w:ascii="宋体" w:hAnsi="宋体"/>
                <w:color w:val="000000"/>
                <w:sz w:val="21"/>
                <w:szCs w:val="21"/>
              </w:rPr>
              <w:t>9</w:t>
            </w:r>
          </w:p>
        </w:tc>
        <w:tc>
          <w:tcPr>
            <w:tcW w:w="716" w:type="dxa"/>
            <w:noWrap w:val="0"/>
            <w:vAlign w:val="top"/>
          </w:tcPr>
          <w:p w14:paraId="45E6718C">
            <w:pPr>
              <w:spacing w:line="360" w:lineRule="exact"/>
              <w:jc w:val="center"/>
              <w:rPr>
                <w:sz w:val="32"/>
              </w:rPr>
            </w:pPr>
            <w:r>
              <w:rPr>
                <w:rFonts w:hint="eastAsia" w:eastAsia="黑体"/>
                <w:sz w:val="32"/>
              </w:rPr>
              <w:t>月</w:t>
            </w:r>
          </w:p>
        </w:tc>
      </w:tr>
    </w:tbl>
    <w:p w14:paraId="49146FAB">
      <w:pPr>
        <w:spacing w:after="72" w:afterLines="30" w:line="400" w:lineRule="exact"/>
        <w:jc w:val="left"/>
        <w:rPr>
          <w:rFonts w:hint="eastAsia"/>
          <w:sz w:val="30"/>
        </w:rPr>
        <w:sectPr>
          <w:headerReference r:id="rId3" w:type="default"/>
          <w:headerReference w:type="first" r:id="rId10"/>
          <w:headerReference w:type="even" r:id="rId11"/>
          <w:pgSz w:w="11907" w:h="16840"/>
          <w:pgMar w:top="1440" w:right="1701" w:bottom="1440" w:left="1701" w:header="851" w:footer="992" w:gutter="113"/>
          <w:cols w:space="720" w:num="1"/>
          <w:docGrid w:linePitch="312" w:charSpace="0"/>
        </w:sectPr>
      </w:pPr>
    </w:p>
    <w:p w14:paraId="77FD6FE9">
      <w:pPr>
        <w:snapToGrid w:val="0"/>
        <w:spacing w:after="72" w:afterLines="30" w:line="360" w:lineRule="auto"/>
        <w:rPr>
          <w:rFonts w:hint="eastAsia"/>
          <w:color w:val="000000"/>
          <w:sz w:val="24"/>
        </w:rPr>
      </w:pPr>
      <w:r>
        <w:rPr>
          <w:rFonts w:hint="eastAsia" w:ascii="宋体" w:hAnsi="宋体" w:eastAsia="宋体"/>
          <w:b/>
          <w:bCs/>
          <w:color w:val="000000"/>
          <w:spacing w:val="40"/>
          <w:kern w:val="18"/>
          <w:sz w:val="24"/>
          <w:szCs w:val="24"/>
        </w:rPr>
        <w:t>摘 要：</w:t>
      </w:r>
      <w:r>
        <w:rPr>
          <w:rFonts w:hint="eastAsia" w:ascii="宋体" w:hAnsi="宋体" w:eastAsia="宋体"/>
          <w:color w:val="000000"/>
          <w:spacing w:val="40"/>
          <w:kern w:val="18"/>
          <w:sz w:val="24"/>
          <w:szCs w:val="24"/>
        </w:rPr>
        <w:t xml:space="preserve">再生混凝土由废弃混凝土破碎、筛分后作骨料重新拌制而成，可缓解建筑固废堆存与天然砂石资源紧张。本文以广西某30层、高度接近100 m的再生混凝土公寓项目为对象，对其再生骨料取代率30%、总用量约10679 m³的应用情况进行评价。研究从技术性能、施工适应性、经济与环境效益三个维度构建评价指标体系，结合配合比设计、构件生产与实体检测数据开展分析。结果表明：30%取代率下再生混凝土的抗压强度、弹性模量与耐久性能均满足设计要求，弹性模量略低有利于优化结构刚度分布；但骨料吸水率偏高引起的工作性波动与构件质量离散性偏大仍需控制。对此提出加强骨料分级预处理、优化配合比参数、完善过程质量留痕等对策。</w:t>
      </w:r>
    </w:p>
    <w:p w14:paraId="23D51560">
      <w:pPr>
        <w:spacing w:line="360" w:lineRule="auto"/>
        <w:rPr>
          <w:rFonts w:hint="eastAsia"/>
          <w:color w:val="000000"/>
          <w:sz w:val="24"/>
        </w:rPr>
      </w:pPr>
    </w:p>
    <w:p w14:paraId="0789AEC6">
      <w:pPr>
        <w:spacing w:line="360" w:lineRule="auto"/>
        <w:rPr>
          <w:color w:val="000000"/>
          <w:sz w:val="24"/>
        </w:rPr>
      </w:pPr>
      <w:r>
        <w:rPr>
          <w:rFonts w:hint="eastAsia" w:ascii="宋体" w:hAnsi="宋体" w:eastAsia="宋体"/>
          <w:b/>
          <w:bCs/>
          <w:color w:val="000000"/>
          <w:spacing w:val="40"/>
          <w:kern w:val="18"/>
          <w:sz w:val="24"/>
          <w:szCs w:val="24"/>
        </w:rPr>
        <w:t xml:space="preserve">关键词：</w:t>
      </w:r>
      <w:r>
        <w:rPr>
          <w:rFonts w:eastAsia="宋体" w:ascii="宋体" w:hAnsi="宋体"/>
          <w:color w:val="000000"/>
          <w:sz w:val="24"/>
          <w:szCs w:val="24"/>
        </w:rPr>
        <w:t xml:space="preserve">  再生混凝土；装配式建筑；住宅项目；应用评价；再生骨料</w:t>
      </w:r>
    </w:p>
    <w:p w14:paraId="7EFBFB62">
      <w:pPr>
        <w:spacing w:line="360" w:lineRule="auto"/>
        <w:jc w:val="left"/>
        <w:rPr>
          <w:color w:val="000000"/>
          <w:sz w:val="24"/>
        </w:rPr>
      </w:pPr>
    </w:p>
    <w:p w14:paraId="3A4102BA">
      <w:pPr>
        <w:spacing w:line="360" w:lineRule="auto"/>
        <w:jc w:val="left"/>
        <w:rPr>
          <w:color w:val="000000"/>
          <w:sz w:val="24"/>
        </w:rPr>
      </w:pPr>
      <w:r>
        <w:br w:type="page"/>
      </w:r>
    </w:p>
    <w:p w14:paraId="2F71D384">
      <w:pPr>
        <w:spacing w:line="360" w:lineRule="auto"/>
        <w:rPr>
          <w:rFonts w:eastAsia="黑体"/>
          <w:sz w:val="24"/>
        </w:rPr>
      </w:pPr>
      <w:r>
        <w:rPr>
          <w:rFonts w:hint="eastAsia" w:eastAsia="Times New Roman" w:ascii="Times New Roman" w:hAnsi="Times New Roman"/>
          <w:b/>
          <w:bCs/>
          <w:color w:val="000000"/>
          <w:sz w:val="24"/>
          <w:szCs w:val="24"/>
        </w:rPr>
        <w:t>Abstract：Recycled aggregate concrete is produced by crushing and screening waste concrete and reusing it as aggregate, which can ease both the pressure of construction waste storage and the shortage of natural sand and gravel resources. Taking a 30-storey apartment project with a height of nearly 100 m in Guangxi as the research object, this paper evaluates the application of recycled aggregate concrete with a replacement ratio of 30% and a total dosage of about 10679 m3. An evaluation index system is established from three dimensions: technical performance, construction adaptability, and economic and environmental benefits. Combined with the mix proportion design, component production and entity inspection data, the applicability of recycled concrete in high-rise shear wall structures is analysed. The results show that under the condition of 30% replacement ratio, the compressive strength, elastic modulus and durability of recycled aggregate concrete can meet the design requirements, and the slightly lower elastic modulus helps to optimize the structural stiffness distribution and improve the internal force distribution under earthquake action. However, problems such as workability fluctuation caused by the high water absorption of recycled aggregate and the large discreteness of component quality still need to be controlled. Countermeasures including strengthening the classification and pretreatment of recycled aggregate, optimizing mix proportion parameters and improving the whole-process quality records are put forward.</w:t>
      </w:r>
    </w:p>
    <w:p w14:paraId="27A2F1E1">
      <w:pPr>
        <w:spacing w:line="360" w:lineRule="auto"/>
        <w:rPr>
          <w:rFonts w:hint="eastAsia" w:eastAsia="黑体"/>
          <w:color w:val="000000"/>
          <w:sz w:val="24"/>
        </w:rPr>
      </w:pPr>
      <w:r>
        <w:rPr>
          <w:rFonts w:eastAsia="Times New Roman" w:ascii="Times New Roman" w:hAnsi="Times New Roman"/>
          <w:b/>
          <w:bCs/>
          <w:color w:val="000000"/>
          <w:sz w:val="24"/>
          <w:szCs w:val="24"/>
        </w:rPr>
        <w:t xml:space="preserve">Key words：</w:t>
      </w:r>
      <w:r>
        <w:rPr>
          <w:rFonts w:eastAsia="Times New Roman" w:ascii="Times New Roman" w:hAnsi="Times New Roman"/>
          <w:color w:val="000000"/>
          <w:sz w:val="24"/>
          <w:szCs w:val="24"/>
        </w:rPr>
        <w:t xml:space="preserve">  recycled aggregate concrete; prefabricated building; residential project; application evaluation; recycled aggregate</w:t>
      </w:r>
    </w:p>
    <w:p w14:paraId="5DFCEF62">
      <w:pPr>
        <w:spacing w:line="360" w:lineRule="auto"/>
        <w:rPr>
          <w:rFonts w:hint="eastAsia" w:eastAsia="黑体"/>
          <w:b/>
          <w:color w:val="000000"/>
          <w:sz w:val="24"/>
        </w:rPr>
        <w:sectPr>
          <w:pgSz w:w="11907" w:h="16840"/>
          <w:pgMar w:top="1440" w:right="1021" w:bottom="1440" w:left="1418" w:header="851" w:footer="992" w:gutter="510"/>
          <w:cols w:space="720" w:num="1"/>
          <w:docGrid w:linePitch="312" w:charSpace="0"/>
        </w:sectPr>
      </w:pPr>
    </w:p>
    <w:p w14:paraId="73B1E78F">
      <w:pPr>
        <w:spacing w:line="360" w:lineRule="auto"/>
        <w:ind w:left="-900" w:right="-874" w:rightChars="-416" w:firstLine="723" w:firstLineChars="200"/>
        <w:jc w:val="center"/>
        <w:rPr>
          <w:rFonts w:hint="eastAsia" w:ascii="宋体" w:hAnsi="宋体"/>
          <w:color w:val="000000"/>
        </w:rPr>
      </w:pPr>
      <w:r>
        <w:rPr>
          <w:rFonts w:hint="eastAsia" w:ascii="黑体" w:hAnsi="黑体" w:eastAsia="黑体" w:cs="黑体"/>
          <w:b/>
          <w:color w:val="000000"/>
          <w:sz w:val="36"/>
          <w:szCs w:val="36"/>
        </w:rPr>
        <w:t xml:space="preserve">目  录</w:t>
      </w:r>
    </w:p>
    <w:p w14:paraId="7908BEEB">
      <w:pPr>
        <w:tabs>
          <w:tab w:val="right" w:leader="dot" w:pos="8302"/>
        </w:tabs>
        <w:spacing w:line="560" w:lineRule="exact"/>
        <w:rPr>
          <w:rFonts w:hint="eastAsia" w:ascii="宋体" w:hAnsi="宋体"/>
          <w:color w:val="000000"/>
          <w:sz w:val="24"/>
        </w:rPr>
      </w:pPr>
    </w:p>
    <w:p w14:paraId="0270455C">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1.绪论</w:t>
        <w:tab/>
        <w:t>9</w:t>
      </w:r>
      <w:r>
        <w:rPr>
          <w:rFonts w:ascii="宋体" w:hAnsi="宋体" w:eastAsia="宋体"/>
          <w:color w:val="000000"/>
          <w:sz w:val="24"/>
          <w:szCs w:val="24"/>
        </w:rPr>
      </w:r>
      <w:r>
        <w:rPr>
          <w:rFonts w:ascii="宋体" w:hAnsi="宋体" w:eastAsia="宋体"/>
          <w:color w:val="000000"/>
          <w:sz w:val="24"/>
          <w:szCs w:val="24"/>
        </w:rPr>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1.1研究背景</w:t>
        <w:tab/>
        <w:t>9</w:t>
      </w:r>
      <w:r>
        <w:rPr>
          <w:rFonts w:ascii="宋体" w:hAnsi="宋体" w:eastAsia="宋体"/>
          <w:color w:val="000000"/>
          <w:sz w:val="24"/>
          <w:szCs w:val="24"/>
        </w:rPr>
      </w:r>
      <w:r>
        <w:rPr>
          <w:rFonts w:ascii="宋体" w:hAnsi="宋体" w:eastAsia="宋体"/>
          <w:color w:val="000000"/>
          <w:sz w:val="24"/>
          <w:szCs w:val="24"/>
        </w:rPr>
      </w:r>
    </w:p>
    <w:p w14:paraId="34709DF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1.2研究目的与意义</w:t>
        <w:tab/>
        <w:t>10</w:t>
      </w:r>
      <w:r>
        <w:rPr>
          <w:rFonts w:ascii="宋体" w:hAnsi="宋体" w:eastAsia="宋体"/>
          <w:color w:val="000000"/>
          <w:sz w:val="24"/>
          <w:szCs w:val="24"/>
        </w:rPr>
      </w:r>
      <w:r>
        <w:rPr>
          <w:rFonts w:ascii="宋体" w:hAnsi="宋体" w:eastAsia="宋体"/>
          <w:color w:val="000000"/>
          <w:sz w:val="24"/>
          <w:szCs w:val="24"/>
        </w:rPr>
      </w:r>
    </w:p>
    <w:p w14:paraId="71D452A8">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1.3国内外研究现状</w:t>
        <w:tab/>
        <w:t>10</w:t>
      </w:r>
      <w:r>
        <w:rPr>
          <w:rFonts w:ascii="宋体" w:hAnsi="宋体" w:eastAsia="宋体"/>
          <w:color w:val="000000"/>
          <w:sz w:val="24"/>
          <w:szCs w:val="24"/>
        </w:rPr>
      </w:r>
      <w:r>
        <w:rPr>
          <w:rFonts w:ascii="宋体" w:hAnsi="宋体" w:eastAsia="宋体"/>
          <w:color w:val="000000"/>
          <w:sz w:val="24"/>
          <w:szCs w:val="24"/>
        </w:rPr>
      </w:r>
    </w:p>
    <w:p w14:paraId="1FDDB422">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1.4研究内容与技术路线</w:t>
        <w:tab/>
        <w:t>11</w:t>
      </w:r>
      <w:r>
        <w:rPr>
          <w:rFonts w:ascii="宋体" w:hAnsi="宋体" w:eastAsia="宋体"/>
          <w:color w:val="000000"/>
          <w:sz w:val="24"/>
          <w:szCs w:val="24"/>
        </w:rPr>
      </w:r>
      <w:r>
        <w:rPr>
          <w:rFonts w:ascii="宋体" w:hAnsi="宋体" w:eastAsia="宋体"/>
          <w:color w:val="000000"/>
          <w:sz w:val="24"/>
          <w:szCs w:val="24"/>
        </w:rPr>
      </w:r>
    </w:p>
    <w:p w14:paraId="3FC004BC">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2.再生混凝土与装配式建筑的基本理论</w:t>
        <w:tab/>
        <w:t>12</w:t>
      </w:r>
      <w:r>
        <w:rPr>
          <w:rFonts w:ascii="宋体" w:hAnsi="宋体" w:eastAsia="宋体"/>
          <w:color w:val="000000"/>
          <w:sz w:val="24"/>
          <w:szCs w:val="24"/>
        </w:rPr>
      </w:r>
      <w:r>
        <w:rPr>
          <w:rFonts w:ascii="宋体" w:hAnsi="宋体" w:eastAsia="宋体"/>
          <w:color w:val="000000"/>
          <w:sz w:val="24"/>
          <w:szCs w:val="24"/>
        </w:rPr>
      </w:r>
    </w:p>
    <w:p w14:paraId="45D8F102">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2.1再生骨料与再生混凝土的定义与分类</w:t>
        <w:tab/>
        <w:t>12</w:t>
      </w:r>
      <w:r>
        <w:rPr>
          <w:rFonts w:ascii="宋体" w:hAnsi="宋体" w:eastAsia="宋体"/>
          <w:color w:val="000000"/>
          <w:sz w:val="24"/>
          <w:szCs w:val="24"/>
        </w:rPr>
      </w:r>
      <w:r>
        <w:rPr>
          <w:rFonts w:ascii="宋体" w:hAnsi="宋体" w:eastAsia="宋体"/>
          <w:color w:val="000000"/>
          <w:sz w:val="24"/>
          <w:szCs w:val="24"/>
        </w:rPr>
      </w:r>
    </w:p>
    <w:p w14:paraId="E5F4AD4C">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2.2再生混凝土的主要性能特征</w:t>
        <w:tab/>
        <w:t>13</w:t>
      </w:r>
      <w:r>
        <w:rPr>
          <w:rFonts w:ascii="宋体" w:hAnsi="宋体" w:eastAsia="宋体"/>
          <w:color w:val="000000"/>
          <w:sz w:val="24"/>
          <w:szCs w:val="24"/>
        </w:rPr>
      </w:r>
      <w:r>
        <w:rPr>
          <w:rFonts w:ascii="宋体" w:hAnsi="宋体" w:eastAsia="宋体"/>
          <w:color w:val="000000"/>
          <w:sz w:val="24"/>
          <w:szCs w:val="24"/>
        </w:rPr>
      </w:r>
    </w:p>
    <w:p w14:paraId="254779AB">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2.3装配式混凝土结构体系</w:t>
        <w:tab/>
        <w:t>14</w:t>
      </w:r>
      <w:r>
        <w:rPr>
          <w:rFonts w:ascii="宋体" w:hAnsi="宋体" w:eastAsia="宋体"/>
          <w:color w:val="000000"/>
          <w:sz w:val="24"/>
          <w:szCs w:val="24"/>
        </w:rPr>
      </w:r>
      <w:r>
        <w:rPr>
          <w:rFonts w:ascii="宋体" w:hAnsi="宋体" w:eastAsia="宋体"/>
          <w:color w:val="000000"/>
          <w:sz w:val="24"/>
          <w:szCs w:val="24"/>
        </w:rPr>
      </w:r>
    </w:p>
    <w:p w14:paraId="14DFD9D0">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2.4再生混凝土应用的标准与规定</w:t>
        <w:tab/>
        <w:t>15</w:t>
      </w:r>
      <w:r>
        <w:rPr>
          <w:rFonts w:ascii="宋体" w:hAnsi="宋体" w:eastAsia="宋体"/>
          <w:color w:val="000000"/>
          <w:sz w:val="24"/>
          <w:szCs w:val="24"/>
        </w:rPr>
      </w:r>
      <w:r>
        <w:rPr>
          <w:rFonts w:ascii="宋体" w:hAnsi="宋体" w:eastAsia="宋体"/>
          <w:color w:val="000000"/>
          <w:sz w:val="24"/>
          <w:szCs w:val="24"/>
        </w:rPr>
      </w:r>
    </w:p>
    <w:p w14:paraId="FDC8B13D">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3.工程概况与再生混凝土应用方案</w:t>
        <w:tab/>
        <w:t>15</w:t>
      </w:r>
      <w:r>
        <w:rPr>
          <w:rFonts w:ascii="宋体" w:hAnsi="宋体" w:eastAsia="宋体"/>
          <w:color w:val="000000"/>
          <w:sz w:val="24"/>
          <w:szCs w:val="24"/>
        </w:rPr>
      </w:r>
      <w:r>
        <w:rPr>
          <w:rFonts w:ascii="宋体" w:hAnsi="宋体" w:eastAsia="宋体"/>
          <w:color w:val="000000"/>
          <w:sz w:val="24"/>
          <w:szCs w:val="24"/>
        </w:rPr>
      </w:r>
    </w:p>
    <w:p w14:paraId="D679622F">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3.1项目基本情况</w:t>
        <w:tab/>
        <w:t>15</w:t>
      </w:r>
      <w:r>
        <w:rPr>
          <w:rFonts w:ascii="宋体" w:hAnsi="宋体" w:eastAsia="宋体"/>
          <w:color w:val="000000"/>
          <w:sz w:val="24"/>
          <w:szCs w:val="24"/>
        </w:rPr>
      </w:r>
      <w:r>
        <w:rPr>
          <w:rFonts w:ascii="宋体" w:hAnsi="宋体" w:eastAsia="宋体"/>
          <w:color w:val="000000"/>
          <w:sz w:val="24"/>
          <w:szCs w:val="24"/>
        </w:rPr>
      </w:r>
    </w:p>
    <w:p w14:paraId="BE730F09">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3.2结构体系与构件配置</w:t>
        <w:tab/>
        <w:t>16</w:t>
      </w:r>
      <w:r>
        <w:rPr>
          <w:rFonts w:ascii="宋体" w:hAnsi="宋体" w:eastAsia="宋体"/>
          <w:color w:val="000000"/>
          <w:sz w:val="24"/>
          <w:szCs w:val="24"/>
        </w:rPr>
      </w:r>
      <w:r>
        <w:rPr>
          <w:rFonts w:ascii="宋体" w:hAnsi="宋体" w:eastAsia="宋体"/>
          <w:color w:val="000000"/>
          <w:sz w:val="24"/>
          <w:szCs w:val="24"/>
        </w:rPr>
      </w:r>
    </w:p>
    <w:p w14:paraId="CA38BF18">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3.3再生混凝土的配合比与制备工艺</w:t>
        <w:tab/>
        <w:t>16</w:t>
      </w:r>
      <w:r>
        <w:rPr>
          <w:rFonts w:ascii="宋体" w:hAnsi="宋体" w:eastAsia="宋体"/>
          <w:color w:val="000000"/>
          <w:sz w:val="24"/>
          <w:szCs w:val="24"/>
        </w:rPr>
      </w:r>
      <w:r>
        <w:rPr>
          <w:rFonts w:ascii="宋体" w:hAnsi="宋体" w:eastAsia="宋体"/>
          <w:color w:val="000000"/>
          <w:sz w:val="24"/>
          <w:szCs w:val="24"/>
        </w:rPr>
      </w:r>
    </w:p>
    <w:p w14:paraId="4B60FE06">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3.4施工组织与质量控制措施</w:t>
        <w:tab/>
        <w:t>18</w:t>
      </w:r>
      <w:r>
        <w:rPr>
          <w:rFonts w:ascii="宋体" w:hAnsi="宋体" w:eastAsia="宋体"/>
          <w:color w:val="000000"/>
          <w:sz w:val="24"/>
          <w:szCs w:val="24"/>
        </w:rPr>
      </w:r>
      <w:r>
        <w:rPr>
          <w:rFonts w:ascii="宋体" w:hAnsi="宋体" w:eastAsia="宋体"/>
          <w:color w:val="000000"/>
          <w:sz w:val="24"/>
          <w:szCs w:val="24"/>
        </w:rPr>
      </w:r>
    </w:p>
    <w:p w14:paraId="5DFEA930">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4.再生混凝土在装配式住宅中的应用评价</w:t>
        <w:tab/>
        <w:t>19</w:t>
      </w:r>
      <w:r>
        <w:rPr>
          <w:rFonts w:ascii="宋体" w:hAnsi="宋体" w:eastAsia="宋体"/>
          <w:color w:val="000000"/>
          <w:sz w:val="24"/>
          <w:szCs w:val="24"/>
        </w:rPr>
      </w:r>
      <w:r>
        <w:rPr>
          <w:rFonts w:ascii="宋体" w:hAnsi="宋体" w:eastAsia="宋体"/>
          <w:color w:val="000000"/>
          <w:sz w:val="24"/>
          <w:szCs w:val="24"/>
        </w:rPr>
      </w:r>
    </w:p>
    <w:p w14:paraId="B164570B">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4.1评价指标体系的构建</w:t>
        <w:tab/>
        <w:t>19</w:t>
      </w:r>
      <w:r>
        <w:rPr>
          <w:rFonts w:ascii="宋体" w:hAnsi="宋体" w:eastAsia="宋体"/>
          <w:color w:val="000000"/>
          <w:sz w:val="24"/>
          <w:szCs w:val="24"/>
        </w:rPr>
      </w:r>
      <w:r>
        <w:rPr>
          <w:rFonts w:ascii="宋体" w:hAnsi="宋体" w:eastAsia="宋体"/>
          <w:color w:val="000000"/>
          <w:sz w:val="24"/>
          <w:szCs w:val="24"/>
        </w:rPr>
      </w:r>
    </w:p>
    <w:p w14:paraId="D266A98B">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4.2技术性能评价</w:t>
        <w:tab/>
        <w:t>21</w:t>
      </w:r>
      <w:r>
        <w:rPr>
          <w:rFonts w:ascii="宋体" w:hAnsi="宋体" w:eastAsia="宋体"/>
          <w:color w:val="000000"/>
          <w:sz w:val="24"/>
          <w:szCs w:val="24"/>
        </w:rPr>
      </w:r>
      <w:r>
        <w:rPr>
          <w:rFonts w:ascii="宋体" w:hAnsi="宋体" w:eastAsia="宋体"/>
          <w:color w:val="000000"/>
          <w:sz w:val="24"/>
          <w:szCs w:val="24"/>
        </w:rPr>
      </w:r>
    </w:p>
    <w:p w14:paraId="B6233988">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4.3施工适应性评价</w:t>
        <w:tab/>
        <w:t>22</w:t>
      </w:r>
      <w:r>
        <w:rPr>
          <w:rFonts w:ascii="宋体" w:hAnsi="宋体" w:eastAsia="宋体"/>
          <w:color w:val="000000"/>
          <w:sz w:val="24"/>
          <w:szCs w:val="24"/>
        </w:rPr>
      </w:r>
      <w:r>
        <w:rPr>
          <w:rFonts w:ascii="宋体" w:hAnsi="宋体" w:eastAsia="宋体"/>
          <w:color w:val="000000"/>
          <w:sz w:val="24"/>
          <w:szCs w:val="24"/>
        </w:rPr>
      </w:r>
    </w:p>
    <w:p w14:paraId="44F14653">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4.4经济与环境效益评价</w:t>
        <w:tab/>
        <w:t>24</w:t>
      </w:r>
      <w:r>
        <w:rPr>
          <w:rFonts w:ascii="宋体" w:hAnsi="宋体" w:eastAsia="宋体"/>
          <w:color w:val="000000"/>
          <w:sz w:val="24"/>
          <w:szCs w:val="24"/>
        </w:rPr>
      </w:r>
      <w:r>
        <w:rPr>
          <w:rFonts w:ascii="宋体" w:hAnsi="宋体" w:eastAsia="宋体"/>
          <w:color w:val="000000"/>
          <w:sz w:val="24"/>
          <w:szCs w:val="24"/>
        </w:rPr>
      </w:r>
    </w:p>
    <w:p w14:paraId="CCD1398B">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4.5评价结果分析</w:t>
        <w:tab/>
        <w:t>24</w:t>
      </w:r>
      <w:r>
        <w:rPr>
          <w:rFonts w:ascii="宋体" w:hAnsi="宋体" w:eastAsia="宋体"/>
          <w:color w:val="000000"/>
          <w:sz w:val="24"/>
          <w:szCs w:val="24"/>
        </w:rPr>
      </w:r>
      <w:r>
        <w:rPr>
          <w:rFonts w:ascii="宋体" w:hAnsi="宋体" w:eastAsia="宋体"/>
          <w:color w:val="000000"/>
          <w:sz w:val="24"/>
          <w:szCs w:val="24"/>
        </w:rPr>
      </w:r>
    </w:p>
    <w:p w14:paraId="DEE36688">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5.应用中存在的主要问题与优化对策</w:t>
        <w:tab/>
        <w:t>25</w:t>
      </w:r>
      <w:r>
        <w:rPr>
          <w:rFonts w:ascii="宋体" w:hAnsi="宋体" w:eastAsia="宋体"/>
          <w:color w:val="000000"/>
          <w:sz w:val="24"/>
          <w:szCs w:val="24"/>
        </w:rPr>
      </w:r>
      <w:r>
        <w:rPr>
          <w:rFonts w:ascii="宋体" w:hAnsi="宋体" w:eastAsia="宋体"/>
          <w:color w:val="000000"/>
          <w:sz w:val="24"/>
          <w:szCs w:val="24"/>
        </w:rPr>
      </w:r>
    </w:p>
    <w:p w14:paraId="118F5325">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5.1存在的主要问题</w:t>
        <w:tab/>
        <w:t>25</w:t>
      </w:r>
      <w:r>
        <w:rPr>
          <w:rFonts w:ascii="宋体" w:hAnsi="宋体" w:eastAsia="宋体"/>
          <w:color w:val="000000"/>
          <w:sz w:val="24"/>
          <w:szCs w:val="24"/>
        </w:rPr>
      </w:r>
      <w:r>
        <w:rPr>
          <w:rFonts w:ascii="宋体" w:hAnsi="宋体" w:eastAsia="宋体"/>
          <w:color w:val="000000"/>
          <w:sz w:val="24"/>
          <w:szCs w:val="24"/>
        </w:rPr>
      </w:r>
    </w:p>
    <w:p w14:paraId="4B94F1B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5.2优化对策</w:t>
        <w:tab/>
        <w:t>27</w:t>
      </w:r>
      <w:r>
        <w:rPr>
          <w:rFonts w:ascii="宋体" w:hAnsi="宋体" w:eastAsia="宋体"/>
          <w:color w:val="000000"/>
          <w:sz w:val="24"/>
          <w:szCs w:val="24"/>
        </w:rPr>
      </w:r>
      <w:r>
        <w:rPr>
          <w:rFonts w:ascii="宋体" w:hAnsi="宋体" w:eastAsia="宋体"/>
          <w:color w:val="000000"/>
          <w:sz w:val="24"/>
          <w:szCs w:val="24"/>
        </w:rPr>
      </w:r>
    </w:p>
    <w:p w14:paraId="4DF58432">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6.结论与展望</w:t>
        <w:tab/>
        <w:t>28</w:t>
      </w:r>
      <w:r>
        <w:rPr>
          <w:rFonts w:ascii="宋体" w:hAnsi="宋体" w:eastAsia="宋体"/>
          <w:color w:val="000000"/>
          <w:sz w:val="24"/>
          <w:szCs w:val="24"/>
        </w:rPr>
      </w:r>
      <w:r>
        <w:rPr>
          <w:rFonts w:ascii="宋体" w:hAnsi="宋体" w:eastAsia="宋体"/>
          <w:color w:val="000000"/>
          <w:sz w:val="24"/>
          <w:szCs w:val="24"/>
        </w:rPr>
      </w:r>
    </w:p>
    <w:p w14:paraId="D6E000C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6.1主要结论</w:t>
        <w:tab/>
        <w:t>28</w:t>
      </w:r>
      <w:r>
        <w:rPr>
          <w:rFonts w:ascii="宋体" w:hAnsi="宋体" w:eastAsia="宋体"/>
          <w:color w:val="000000"/>
          <w:sz w:val="24"/>
          <w:szCs w:val="24"/>
        </w:rPr>
      </w:r>
      <w:r>
        <w:rPr>
          <w:rFonts w:ascii="宋体" w:hAnsi="宋体" w:eastAsia="宋体"/>
          <w:color w:val="000000"/>
          <w:sz w:val="24"/>
          <w:szCs w:val="24"/>
        </w:rPr>
      </w:r>
    </w:p>
    <w:p w14:paraId="93244FD1">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6.2展望</w:t>
        <w:tab/>
        <w:t>29</w:t>
      </w:r>
      <w:r>
        <w:rPr>
          <w:rFonts w:ascii="宋体" w:hAnsi="宋体" w:eastAsia="宋体"/>
          <w:color w:val="000000"/>
          <w:sz w:val="24"/>
          <w:szCs w:val="24"/>
        </w:rPr>
      </w:r>
      <w:r>
        <w:rPr>
          <w:rFonts w:ascii="宋体" w:hAnsi="宋体" w:eastAsia="宋体"/>
          <w:color w:val="000000"/>
          <w:sz w:val="24"/>
          <w:szCs w:val="24"/>
        </w:rPr>
      </w:r>
    </w:p>
    <w:p w14:paraId="FE59A004">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 xml:space="preserve">结论</w:t>
      </w:r>
      <w:r>
        <w:rPr>
          <w:rFonts w:ascii="宋体" w:hAnsi="宋体" w:eastAsia="宋体"/>
          <w:color w:val="000000"/>
          <w:sz w:val="24"/>
          <w:szCs w:val="24"/>
        </w:rPr>
        <w:tab/>
      </w:r>
      <w:r>
        <w:rPr>
          <w:rFonts w:ascii="宋体" w:hAnsi="宋体" w:eastAsia="宋体"/>
          <w:color w:val="000000"/>
          <w:sz w:val="24"/>
          <w:szCs w:val="24"/>
        </w:rPr>
        <w:t xml:space="preserve">30</w:t>
      </w:r>
    </w:p>
    <w:p w14:paraId="C1F2022B">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 xml:space="preserve">致谢</w:t>
      </w:r>
      <w:r>
        <w:rPr>
          <w:rFonts w:ascii="宋体" w:hAnsi="宋体" w:eastAsia="宋体"/>
          <w:color w:val="000000"/>
          <w:sz w:val="24"/>
          <w:szCs w:val="24"/>
        </w:rPr>
        <w:tab/>
      </w:r>
      <w:r>
        <w:rPr>
          <w:rFonts w:ascii="宋体" w:hAnsi="宋体" w:eastAsia="宋体"/>
          <w:color w:val="000000"/>
          <w:sz w:val="24"/>
          <w:szCs w:val="24"/>
        </w:rPr>
        <w:t xml:space="preserve">33</w:t>
      </w:r>
    </w:p>
    <w:p w14:paraId="503437CC">
      <w:pPr>
        <w:tabs>
          <w:tab w:val="right" w:leader="dot" w:pos="8302"/>
        </w:tabs>
        <w:spacing w:line="560" w:lineRule="exact"/>
        <w:rPr>
          <w:rFonts w:hint="eastAsia" w:ascii="宋体" w:hAnsi="宋体"/>
          <w:color w:val="000000"/>
          <w:sz w:val="24"/>
        </w:rPr>
        <w:sectPr>
          <w:pgSz w:w="11906" w:h="16838"/>
          <w:pgMar w:top="1440" w:right="1800" w:bottom="1440" w:left="1800" w:header="851" w:footer="992" w:gutter="0"/>
          <w:cols w:space="720" w:num="1"/>
          <w:docGrid w:type="lines" w:linePitch="312" w:charSpace="0"/>
        </w:sectPr>
      </w:pPr>
      <w:r>
        <w:rPr>
          <w:rFonts w:ascii="宋体" w:hAnsi="宋体" w:eastAsia="宋体"/>
          <w:color w:val="000000"/>
          <w:sz w:val="24"/>
          <w:szCs w:val="24"/>
        </w:rPr>
        <w:t xml:space="preserve">参考文献</w:t>
      </w:r>
      <w:r>
        <w:rPr>
          <w:rFonts w:ascii="宋体" w:hAnsi="宋体" w:eastAsia="宋体"/>
          <w:color w:val="000000"/>
          <w:sz w:val="24"/>
          <w:szCs w:val="24"/>
        </w:rPr>
        <w:tab/>
      </w:r>
      <w:r>
        <w:rPr>
          <w:rFonts w:ascii="宋体" w:hAnsi="宋体" w:eastAsia="宋体"/>
          <w:color w:val="000000"/>
          <w:sz w:val="24"/>
          <w:szCs w:val="24"/>
        </w:rPr>
        <w:t xml:space="preserve">31</w:t>
      </w:r>
    </w:p>
    <w:p w14:paraId="06332709">
      <w:pPr>
        <w:spacing w:line="360" w:lineRule="auto"/>
        <w:ind w:left="-900" w:right="-874" w:rightChars="-416" w:firstLine="480" w:firstLineChars="200"/>
        <w:jc w:val="left"/>
        <w:rPr>
          <w:rFonts w:hint="eastAsia" w:ascii="宋体" w:hAnsi="宋体"/>
          <w:sz w:val="24"/>
        </w:rPr>
      </w:pPr>
    </w:p>
    <w:p w14:paraId="6EFA2BC5">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1  绪论</w:t>
      </w:r>
    </w:p>
    <w:p w14:paraId="22EF3A59">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1．1  研究背景</w:t>
      </w:r>
    </w:p>
    <w:p w14:paraId="5377FDA7">
      <w:pPr>
        <w:spacing w:line="360" w:lineRule="auto"/>
        <w:ind w:firstLine="480"/>
        <w:rPr>
          <w:rFonts w:hint="eastAsia"/>
          <w:color w:val="000000"/>
          <w:sz w:val="24"/>
        </w:rPr>
      </w:pPr>
      <w:r>
        <w:rPr>
          <w:rFonts w:hint="eastAsia" w:eastAsia="宋体" w:ascii="宋体" w:hAnsi="宋体"/>
          <w:color w:val="000000"/>
          <w:sz w:val="24"/>
          <w:szCs w:val="24"/>
        </w:rPr>
        <w:t>城镇化的持续推进带来了两方面相互叠加的压力。一方面，旧城改造、棚户区拆迁和市政更新产生了体量巨大的建筑废弃物，其中废弃混凝土所占比例最高，长期以来主要依靠外运填埋和低值回填消化，既占用土地，也存在二次污染隐患[1]。另一方面，新建工程对天然砂石的需求量居高不下，部分地区砂石供应趋紧、价格波动明显，天然骨料的开采还对河道和山体生态造成破坏。把拆除下来的混凝土重新加工成骨料再用于结构工程，理论上可以同时缓解上述两个问题，这也是再生混凝土技术受到关注的根本原因。</w:t>
      </w:r>
    </w:p>
    <w:p w14:paraId="9972F07F">
      <w:pPr>
        <w:spacing w:line="360" w:lineRule="auto"/>
        <w:ind w:firstLine="480"/>
        <w:rPr>
          <w:rFonts w:hint="eastAsia"/>
          <w:color w:val="000000"/>
          <w:sz w:val="24"/>
        </w:rPr>
      </w:pPr>
      <w:r>
        <w:rPr>
          <w:rFonts w:hint="eastAsia" w:eastAsia="宋体" w:ascii="宋体" w:hAnsi="宋体"/>
          <w:color w:val="000000"/>
          <w:sz w:val="24"/>
          <w:szCs w:val="24"/>
        </w:rPr>
        <w:t>装配式建筑则是建筑生产方式变革的另一条主线。构件在工厂预制、现场拼装的建造方式，能够把大量湿作业转移到工厂，减少现场用工和扬尘噪声，也有助于提高构件尺寸精度和一致性。国务院办公厅印发的《关于大力发展装配式建筑的指导意见》明确提出要因地制宜发展装配式混凝土结构，推动建造方式创新[2]。在这一背景下，把再生混凝土与装配式建造结合起来，用再生混凝土预制构件替代部分天然骨料构件，从逻辑上看是一条可行的绿色建造路径。</w:t>
      </w:r>
    </w:p>
    <w:p w14:paraId="72FE9CF8">
      <w:pPr>
        <w:spacing w:line="360" w:lineRule="auto"/>
        <w:ind w:firstLine="480"/>
        <w:rPr>
          <w:rFonts w:hint="eastAsia"/>
          <w:color w:val="000000"/>
          <w:sz w:val="24"/>
        </w:rPr>
      </w:pPr>
      <w:r>
        <w:rPr>
          <w:rFonts w:hint="eastAsia" w:eastAsia="宋体" w:ascii="宋体" w:hAnsi="宋体"/>
          <w:color w:val="000000"/>
          <w:sz w:val="24"/>
          <w:szCs w:val="24"/>
        </w:rPr>
        <w:t>不过两者结合的实际推进并不顺利。再生骨料表面附着旧砂浆，吸水率高、压碎值偏大，导致再生混凝土的拌合物工作性和力学性能较普通混凝土存在差距，且离散性明显，这与装配式构件对质量稳定性的高要求存在矛盾。现有研究也指出，再生混凝土领域的研究成果积累很快，但工程中的应用状况仍明显滞后，多数应用集中在低强度、非承重的场合[3]。</w:t>
      </w:r>
    </w:p>
    <w:p w14:paraId="2F4618A3">
      <w:pPr>
        <w:spacing w:line="360" w:lineRule="auto"/>
        <w:ind w:firstLine="480"/>
        <w:rPr>
          <w:rFonts w:hint="eastAsia"/>
          <w:color w:val="000000"/>
          <w:sz w:val="24"/>
        </w:rPr>
      </w:pPr>
      <w:r>
        <w:rPr>
          <w:rFonts w:hint="eastAsia" w:eastAsia="宋体" w:ascii="宋体" w:hAnsi="宋体"/>
          <w:color w:val="000000"/>
          <w:sz w:val="24"/>
          <w:szCs w:val="24"/>
        </w:rPr>
        <w:t>2026年，广西一栋30层、高度接近100 m的公寓楼主体结构封顶。该项目规模化采用了再生骨料取代率为30%的再生混凝土，总用量达到10679 m³，是全球首栋百米级再生混凝土规模化应用的高层建筑，由广西大学肖建庄教授团队提供技术支撑，与中建二局、广西大学设计院、大通监理、中建西部建设等单位合作实施，竖向承重结构和水平结构均采用了再生混凝土[4]。这一工程把再生混凝土的应用高度从多层推到了百米级，说明只要配合比设计和质量控制到位，再生混凝土有能力承担高层住宅的结构功能。本文即以该项目为主要研究对象，对其在装配式住宅中的应用效果进行评价。</w:t>
      </w:r>
    </w:p>
    <w:p w14:paraId="28A29379">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1．2  研究目的与意义</w:t>
      </w:r>
    </w:p>
    <w:p w14:paraId="587DE4E5">
      <w:pPr>
        <w:spacing w:line="360" w:lineRule="auto"/>
        <w:ind w:firstLine="480"/>
        <w:rPr>
          <w:rFonts w:hint="eastAsia"/>
          <w:color w:val="000000"/>
          <w:sz w:val="24"/>
        </w:rPr>
      </w:pPr>
      <w:r>
        <w:rPr>
          <w:rFonts w:hint="eastAsia" w:eastAsia="宋体" w:ascii="宋体" w:hAnsi="宋体"/>
          <w:color w:val="000000"/>
          <w:sz w:val="24"/>
          <w:szCs w:val="24"/>
        </w:rPr>
        <w:t>本研究的目的有两个层面。一是摸清再生混凝土在高层装配式住宅中应用的真实状态，包括它的配合比是怎么定的、强度性能达到什么水平、施工过程中遇到哪些具体问题、最终的实体质量如何，而不是停留在实验室试块的结论上。二是建立一套可操作的评价方法，把技术性能、施工适应性和经济环境效益放在同一个框架里比较，找出当前推广应用中的主要制约因素，并提出对应的解决办法。</w:t>
      </w:r>
    </w:p>
    <w:p w14:paraId="C5A1F33E">
      <w:pPr>
        <w:spacing w:line="360" w:lineRule="auto"/>
        <w:ind w:firstLine="480"/>
        <w:rPr>
          <w:rFonts w:hint="eastAsia"/>
          <w:color w:val="000000"/>
          <w:sz w:val="24"/>
        </w:rPr>
      </w:pPr>
      <w:r>
        <w:rPr>
          <w:rFonts w:hint="eastAsia" w:eastAsia="宋体" w:ascii="宋体" w:hAnsi="宋体"/>
          <w:color w:val="000000"/>
          <w:sz w:val="24"/>
          <w:szCs w:val="24"/>
        </w:rPr>
        <w:t>从意义上看，首先是工程实践层面的参考价值。再生混凝土在高层住宅中的应用案例极少，公开可查的工程数据更少，本研究所依托的项目提供了较为完整的实际参数，对其进行整理和分析，可以为后续类似工程提供直接参照。其次是环境层面的意义。建筑领域是碳排放的重点领域之一，用再生骨料替代天然骨料能够减少矿山开采和运输环节的能耗与排放，项目的实际用量数据有助于量化这部分效益。再次是标准层面的意义。现行《再生骨料应用技术规程》对再生骨料在结构工程中的应用作出了规定，但工程界在具体操作上仍存在理解不一致的地方，通过实际工程评价可以检验这些规定的适用性[5]。</w:t>
      </w:r>
    </w:p>
    <w:p w14:paraId="A31A23BB">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1．3  国内外研究现状</w:t>
      </w:r>
    </w:p>
    <w:p w14:paraId="86907B84">
      <w:pPr>
        <w:spacing w:line="360" w:lineRule="auto"/>
        <w:ind w:firstLine="480"/>
        <w:rPr>
          <w:rFonts w:hint="eastAsia"/>
          <w:color w:val="000000"/>
          <w:sz w:val="24"/>
        </w:rPr>
      </w:pPr>
      <w:r>
        <w:rPr>
          <w:rFonts w:hint="eastAsia" w:eastAsia="宋体" w:ascii="宋体" w:hAnsi="宋体"/>
          <w:color w:val="000000"/>
          <w:sz w:val="24"/>
          <w:szCs w:val="24"/>
        </w:rPr>
        <w:t>国外对再生混凝土的研究起步较早。二战后欧洲大量建筑废墟的处理需求推动了再生骨料的早期应用，随后美国、日本等国相继开展系统研究。日本在二十世纪后期就制定了再生骨料的相关标准，并将其用于实际工程；欧洲的研究更多集中在再生骨料的性能提升和生命周期评价方面。肖建庄在《可持续混凝土结构导论》中对再生混凝土材料及结构的可持续性作了系统阐述[6]，Springer出版的《Recycled Aggregate Concrete Structures》则进一步从结构层面讨论了再生混凝土构件的受力性能和设计方法[7]。</w:t>
      </w:r>
    </w:p>
    <w:p w14:paraId="49DC0223">
      <w:pPr>
        <w:spacing w:line="360" w:lineRule="auto"/>
        <w:ind w:firstLine="480"/>
        <w:rPr>
          <w:rFonts w:hint="eastAsia"/>
          <w:color w:val="000000"/>
          <w:sz w:val="24"/>
        </w:rPr>
      </w:pPr>
      <w:r>
        <w:rPr>
          <w:rFonts w:hint="eastAsia" w:eastAsia="宋体" w:ascii="宋体" w:hAnsi="宋体"/>
          <w:color w:val="000000"/>
          <w:sz w:val="24"/>
          <w:szCs w:val="24"/>
        </w:rPr>
        <w:t>国内的研究在近二十年进展很快。肖建庄团队在再生混凝土的材料性能调控、结构安全低碳设计和绿色施工方面做了大量工作，提出了再生混凝土高性能化制备的技术路线，并系统梳理了废混凝土与再生集料、配合比设计、微观结构与破坏特征、基本力学性能和耐久性等基础问题[1]。在材料层面，研究者普遍关注再生骨料的来源、取代率、颗粒级配和预处理方式对混凝土性能的影响。海然等人对2019至2024年间再生混凝土抗压强度和耐久性的研究成果做了文献聚类分析，指出该领域的研究主要集中在抗压强度和耐久性两个方面，骨料来源与取代率、矿物掺合料、界面过渡区是影响抗压强度的主要因素，冻融循环、碳化和氯离子渗透则是耐久性研究的重点[3]。</w:t>
      </w:r>
    </w:p>
    <w:p w14:paraId="CC63DE4C">
      <w:pPr>
        <w:spacing w:line="360" w:lineRule="auto"/>
        <w:ind w:firstLine="480"/>
        <w:rPr>
          <w:rFonts w:hint="eastAsia"/>
          <w:color w:val="000000"/>
          <w:sz w:val="24"/>
        </w:rPr>
      </w:pPr>
      <w:r>
        <w:rPr>
          <w:rFonts w:hint="eastAsia" w:eastAsia="宋体" w:ascii="宋体" w:hAnsi="宋体"/>
          <w:color w:val="000000"/>
          <w:sz w:val="24"/>
          <w:szCs w:val="24"/>
        </w:rPr>
        <w:t>在构件层面，粘结性能是配筋设计的基础。杨海峰与肖建庄对再生混凝土与钢筋的粘结滑移性能进行了系统的试验和理论研究，从微观结构、组成与力学性能等角度阐述了再生混凝土与钢筋粘结的关键机理，为再生混凝土构件的配筋设计提供了依据[8]。在结构层面，李想等人通过拟静力试验研究了以建筑垃圾为骨料的再生混凝土剪力墙的承载力、破坏形态和滞回特性，结果表明再生混凝土剪力墙仍具有较高的抗震性能和承载能力，掺入聚丙烯纤维后力学性能进一步提高，同时发现装配式结构的洞口处和墙柱连接处是薄弱部位，地震作用下洞口处裂缝呈X形分布[9]。这一结论对再生混凝土用于装配式剪力墙结构具有直接的参考价值。</w:t>
      </w:r>
    </w:p>
    <w:p w14:paraId="F8207667">
      <w:pPr>
        <w:spacing w:line="360" w:lineRule="auto"/>
        <w:ind w:firstLine="480"/>
        <w:rPr>
          <w:rFonts w:hint="eastAsia"/>
          <w:color w:val="000000"/>
          <w:sz w:val="24"/>
        </w:rPr>
      </w:pPr>
      <w:r>
        <w:rPr>
          <w:rFonts w:hint="eastAsia" w:eastAsia="宋体" w:ascii="宋体" w:hAnsi="宋体"/>
          <w:color w:val="000000"/>
          <w:sz w:val="24"/>
          <w:szCs w:val="24"/>
        </w:rPr>
        <w:t>综合来看，已有研究在材料性能和构件受力方面积累较为充分，但把再生混凝土放到装配式住宅这一具体场景中，结合实际工程数据进行系统评价的研究相对不足，尤其是涉及百米级高层建筑的研究更少。这也是本文的切入点。</w:t>
      </w:r>
    </w:p>
    <w:p w14:paraId="2C274609">
      <w:pPr>
        <w:keepNext/>
        <w:keepLines/>
        <w:spacing w:line="360" w:lineRule="auto"/>
        <w:rPr>
          <w:rFonts w:hint="eastAsia" w:eastAsia="黑体"/>
          <w:color w:val="000000"/>
          <w:sz w:val="24"/>
        </w:rPr>
      </w:pPr>
      <w:r>
        <w:rPr>
          <w:rFonts w:hint="eastAsia" w:eastAsia="黑体" w:ascii="黑体" w:hAnsi="黑体"/>
          <w:color w:val="000000"/>
          <w:sz w:val="24"/>
          <w:szCs w:val="24"/>
        </w:rPr>
        <w:t xml:space="preserve">1.3.4  再生混凝土在工程中的应用现状</w:t>
      </w:r>
    </w:p>
    <w:p w14:paraId="A204585F">
      <w:pPr>
        <w:spacing w:line="360" w:lineRule="auto"/>
        <w:ind w:firstLine="480"/>
        <w:rPr>
          <w:rFonts w:hint="eastAsia"/>
          <w:color w:val="000000"/>
          <w:sz w:val="24"/>
        </w:rPr>
      </w:pPr>
      <w:r>
        <w:rPr>
          <w:rFonts w:hint="eastAsia" w:eastAsia="宋体" w:ascii="宋体" w:hAnsi="宋体"/>
          <w:color w:val="000000"/>
          <w:sz w:val="24"/>
          <w:szCs w:val="24"/>
        </w:rPr>
        <w:t>从工程应用的发展历程看，再生混凝土的应用经历了由低值利用向结构应用逐步推进的过程。早期的再生骨料主要用于道路基层、垫层、砌块和回填等对性能要求不高的场合，这类应用技术门槛低、消纳量大，但附加值不高，难以体现再生混凝土的技术优势。随着研究的深入和制备技术的进步，再生混凝土开始进入结构构件领域，先后在多层建筑、单层厂房和市政工程中得到应用。</w:t>
      </w:r>
    </w:p>
    <w:p w14:paraId="5EEB6F21">
      <w:pPr>
        <w:spacing w:line="360" w:lineRule="auto"/>
        <w:ind w:firstLine="480"/>
        <w:rPr>
          <w:rFonts w:hint="eastAsia"/>
          <w:color w:val="000000"/>
          <w:sz w:val="24"/>
        </w:rPr>
      </w:pPr>
      <w:r>
        <w:rPr>
          <w:rFonts w:hint="eastAsia" w:eastAsia="宋体" w:ascii="宋体" w:hAnsi="宋体"/>
          <w:color w:val="000000"/>
          <w:sz w:val="24"/>
          <w:szCs w:val="24"/>
        </w:rPr>
        <w:t>近年来，再生混凝土的应用高度和规模不断提升，从多层建筑拓展到高层建筑，从非承重构件拓展到承重构件，从单一构件拓展到整体结构。这一转变的实现，一方面得益于再生骨料品质控制技术的进步，包括骨料的分级处理、颗粒整形和强化等工艺的应用；另一方面也得益于配合比设计方法和结构设计的优化，使再生混凝土能够满足高层建筑对材料性能的严格要求。从应用效果看，只要配合比设计和施工质量控制到位，再生混凝土在结构工程中是可以安全应用的。</w:t>
      </w:r>
    </w:p>
    <w:p w14:paraId="C37244EC">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1．4  研究内容与技术路线</w:t>
      </w:r>
    </w:p>
    <w:p w14:paraId="0962EB65">
      <w:pPr>
        <w:spacing w:line="360" w:lineRule="auto"/>
        <w:ind w:firstLine="480"/>
        <w:rPr>
          <w:rFonts w:hint="eastAsia"/>
          <w:color w:val="000000"/>
          <w:sz w:val="24"/>
        </w:rPr>
      </w:pPr>
      <w:r>
        <w:rPr>
          <w:rFonts w:hint="eastAsia" w:eastAsia="宋体" w:ascii="宋体" w:hAnsi="宋体"/>
          <w:color w:val="000000"/>
          <w:sz w:val="24"/>
          <w:szCs w:val="24"/>
        </w:rPr>
        <w:t>本文主要开展四部分工作。第一，梳理再生混凝土和装配式建筑的基本概念与技术规定，明确再生骨料的分级要求、再生混凝土的性能特征以及装配式混凝土结构的技术要点。第二，介绍工程案例的基本情况，包括项目规模、结构体系、再生混凝土的配合比与制备工艺、施工组织方式和质量控制措施。第三，从技术性能、施工适应性、经济与环境效益三个维度建立评价指标体系，结合项目的实际检测数据进行评价。第四，归纳应用中存在的主要问题并提出优化对策。</w:t>
      </w:r>
    </w:p>
    <w:p w14:paraId="A38475F8">
      <w:pPr>
        <w:spacing w:line="360" w:lineRule="auto"/>
        <w:ind w:firstLine="480"/>
        <w:rPr>
          <w:rFonts w:hint="eastAsia"/>
          <w:color w:val="000000"/>
          <w:sz w:val="24"/>
        </w:rPr>
      </w:pPr>
      <w:r>
        <w:rPr>
          <w:rFonts w:hint="eastAsia" w:eastAsia="宋体" w:ascii="宋体" w:hAnsi="宋体"/>
          <w:color w:val="000000"/>
          <w:sz w:val="24"/>
          <w:szCs w:val="24"/>
        </w:rPr>
        <w:t>技术路线上，本文采用文献分析与工程实证相结合的方法。文献分析用于确定评价指标和评价依据；工程实证则以项目的实际资料为主要数据来源，对可获得的数据进行整理和对比分析，对无法直接获取的数据采用同类工程的公开研究成果作为参照，并在文中注明来源。</w:t>
      </w:r>
    </w:p>
    <w:p w14:paraId="1EF119A5">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2  再生混凝土与装配式建筑的基本理论</w:t>
      </w:r>
    </w:p>
    <w:p w14:paraId="791B46A6">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2．1  再生骨料与再生混凝土的定义与分类</w:t>
      </w:r>
    </w:p>
    <w:p w14:paraId="998C2417">
      <w:pPr>
        <w:spacing w:line="360" w:lineRule="auto"/>
        <w:ind w:firstLine="480"/>
        <w:rPr>
          <w:rFonts w:hint="eastAsia"/>
          <w:color w:val="000000"/>
          <w:sz w:val="24"/>
        </w:rPr>
      </w:pPr>
      <w:r>
        <w:rPr>
          <w:rFonts w:hint="eastAsia" w:eastAsia="宋体" w:ascii="宋体" w:hAnsi="宋体"/>
          <w:color w:val="000000"/>
          <w:sz w:val="24"/>
          <w:szCs w:val="24"/>
        </w:rPr>
        <w:t>再生骨料是指由建（构）筑废物中的混凝土、砂浆、石、砖瓦等加工而成的骨料，按粒径可分为再生粗骨料和再生细骨料。国家标准《混凝土用再生粗骨料》规定了再生粗骨料的术语和定义、分类与规格、要求、试验方法、检验规则以及标志、储存和运输等内容[10]。《混凝土和砂浆用再生细骨料》则对配制混凝土和砂浆用的再生细骨料作出了相应规定[11]。</w:t>
      </w:r>
    </w:p>
    <w:p w14:paraId="05BFDED6">
      <w:pPr>
        <w:spacing w:line="360" w:lineRule="auto"/>
        <w:ind w:firstLine="480"/>
        <w:rPr>
          <w:rFonts w:hint="eastAsia"/>
          <w:color w:val="000000"/>
          <w:sz w:val="24"/>
        </w:rPr>
      </w:pPr>
      <w:r>
        <w:rPr>
          <w:rFonts w:hint="eastAsia" w:eastAsia="宋体" w:ascii="宋体" w:hAnsi="宋体"/>
          <w:color w:val="000000"/>
          <w:sz w:val="24"/>
          <w:szCs w:val="24"/>
        </w:rPr>
        <w:t>按来源划分，再生骨料可以来自废弃混凝土构件、路面混凝土、砂浆块等不同母体材料，来源不同会直接影响骨料的性能。工程实践中最常见的是以废弃混凝土为主要来源的再生粗骨料，其表面往往附着一层旧砂浆，这是再生骨料区别于天然骨料的关键特征，也是其吸水率高、密度小、压碎值大的根本原因。</w:t>
      </w:r>
    </w:p>
    <w:p w14:paraId="FCBAD380">
      <w:pPr>
        <w:spacing w:line="360" w:lineRule="auto"/>
        <w:ind w:firstLine="480"/>
        <w:rPr>
          <w:rFonts w:hint="eastAsia"/>
          <w:color w:val="000000"/>
          <w:sz w:val="24"/>
        </w:rPr>
      </w:pPr>
      <w:r>
        <w:rPr>
          <w:rFonts w:hint="eastAsia" w:eastAsia="宋体" w:ascii="宋体" w:hAnsi="宋体"/>
          <w:color w:val="000000"/>
          <w:sz w:val="24"/>
          <w:szCs w:val="24"/>
        </w:rPr>
        <w:t>再生混凝土则是指掺用再生骨料配制而成的混凝土。按照再生骨料取代天然骨料的比例不同，可分为部分取代和全部取代两类。本文研究的工程案例采用的是再生粗骨料取代率为30%的部分取代方案，即在保持细骨料基本不变的前提下，用再生粗骨料替代30%的天然粗骨料。</w:t>
      </w:r>
    </w:p>
    <w:p w14:paraId="C378E785">
      <w:pPr>
        <w:keepNext/>
        <w:keepLines/>
        <w:spacing w:line="360" w:lineRule="auto"/>
        <w:rPr>
          <w:rFonts w:hint="eastAsia" w:eastAsia="黑体"/>
          <w:color w:val="000000"/>
          <w:sz w:val="24"/>
        </w:rPr>
      </w:pPr>
      <w:r>
        <w:rPr>
          <w:rFonts w:hint="eastAsia" w:eastAsia="黑体" w:ascii="黑体" w:hAnsi="黑体"/>
          <w:color w:val="000000"/>
          <w:sz w:val="24"/>
          <w:szCs w:val="24"/>
        </w:rPr>
        <w:t xml:space="preserve">2.1.4  再生骨料的生产工艺与质量控制</w:t>
      </w:r>
    </w:p>
    <w:p w14:paraId="A79B667D">
      <w:pPr>
        <w:spacing w:line="360" w:lineRule="auto"/>
        <w:ind w:firstLine="480"/>
        <w:rPr>
          <w:rFonts w:hint="eastAsia"/>
          <w:color w:val="000000"/>
          <w:sz w:val="24"/>
        </w:rPr>
      </w:pPr>
      <w:r>
        <w:rPr>
          <w:rFonts w:hint="eastAsia" w:eastAsia="宋体" w:ascii="宋体" w:hAnsi="宋体"/>
          <w:color w:val="000000"/>
          <w:sz w:val="24"/>
          <w:szCs w:val="24"/>
        </w:rPr>
        <w:t>再生骨料的生产通常包括分拣、破碎、筛分、除杂和分级等工序。分拣环节主要去除废弃混凝土中混入的木材、塑料、金属和杂物，保证原料的纯净度；破碎环节通过颚式破碎机或反击式破碎机将混凝土块破碎至所需粒径；筛分环节按粒径对骨料进行分级，使其满足不同级配要求；除杂环节通过磁选、风选等方式去除钢筋碎屑和轻质杂物；分级环节则按性能指标将骨料划分为不同类别，供不同强度等级的混凝土选用。</w:t>
      </w:r>
    </w:p>
    <w:p w14:paraId="36E31E47">
      <w:pPr>
        <w:spacing w:line="360" w:lineRule="auto"/>
        <w:ind w:firstLine="480"/>
        <w:rPr>
          <w:rFonts w:hint="eastAsia"/>
          <w:color w:val="000000"/>
          <w:sz w:val="24"/>
        </w:rPr>
      </w:pPr>
      <w:r>
        <w:rPr>
          <w:rFonts w:hint="eastAsia" w:eastAsia="宋体" w:ascii="宋体" w:hAnsi="宋体"/>
          <w:color w:val="000000"/>
          <w:sz w:val="24"/>
          <w:szCs w:val="24"/>
        </w:rPr>
        <w:t>再生骨料的质量控制应贯穿生产全过程。原料环节应控制来源，避免使用受化学腐蚀或严重劣化的混凝土；生产环节应定期检查破碎设备和筛分设备的工作状态，确保产品粒径和级配稳定；成品环节应按批次进行检验，检验项目包括颗粒级配、微粉含量、吸水率、压碎指标等，检验合格后方可出厂。生产企业还应建立质量台账，记录每批骨料的原料来源、生产日期和检验结果，便于质量追溯。</w:t>
      </w:r>
    </w:p>
    <w:p w14:paraId="2B018573">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2．2  再生混凝土的主要性能特征</w:t>
      </w:r>
    </w:p>
    <w:p w14:paraId="251D890C">
      <w:pPr>
        <w:spacing w:line="360" w:lineRule="auto"/>
        <w:ind w:firstLine="480"/>
        <w:rPr>
          <w:rFonts w:hint="eastAsia"/>
          <w:color w:val="000000"/>
          <w:sz w:val="24"/>
        </w:rPr>
      </w:pPr>
      <w:r>
        <w:rPr>
          <w:rFonts w:hint="eastAsia" w:eastAsia="宋体" w:ascii="宋体" w:hAnsi="宋体"/>
          <w:color w:val="000000"/>
          <w:sz w:val="24"/>
          <w:szCs w:val="24"/>
        </w:rPr>
        <w:t>再生混凝土的性能与普通混凝土的差异主要体现在以下几个方面。</w:t>
      </w:r>
    </w:p>
    <w:p w14:paraId="C51948D2">
      <w:pPr>
        <w:spacing w:line="360" w:lineRule="auto"/>
        <w:ind w:firstLine="480"/>
        <w:rPr>
          <w:rFonts w:hint="eastAsia"/>
          <w:color w:val="000000"/>
          <w:sz w:val="24"/>
        </w:rPr>
      </w:pPr>
      <w:r>
        <w:rPr>
          <w:rFonts w:hint="eastAsia" w:eastAsia="宋体" w:ascii="宋体" w:hAnsi="宋体"/>
          <w:color w:val="000000"/>
          <w:sz w:val="24"/>
          <w:szCs w:val="24"/>
        </w:rPr>
        <w:t>在力学性能方面，再生混凝土的抗压强度受再生骨料取代率、母体混凝土强度和配合比设计的影响显著。一般情况下，随着取代率提高，抗压强度呈下降趋势，但在取代率较低时，通过合理的配合比设计，强度可以达到与普通混凝土相当的水平。再生混凝土的弹性模量通常低于同强度等级的普通混凝土，这主要与再生骨料的刚度较低有关。值得注意的是，弹性模量偏低并非全是缺点，在抗震设计中，适当降低结构刚度可以减小地震作用，广西项目中正是利用了30%取代率再生混凝土弹性模量略低的特点来优化结构整体刚度分布，改善地震作用下的结构内力分配，经计算各项指标均满足国家标准[4]。</w:t>
      </w:r>
    </w:p>
    <w:p w14:paraId="B0A5F49E">
      <w:pPr>
        <w:spacing w:line="360" w:lineRule="auto"/>
        <w:ind w:firstLine="480"/>
        <w:rPr>
          <w:rFonts w:hint="eastAsia"/>
          <w:color w:val="000000"/>
          <w:sz w:val="24"/>
        </w:rPr>
      </w:pPr>
      <w:r>
        <w:rPr>
          <w:rFonts w:hint="eastAsia" w:eastAsia="宋体" w:ascii="宋体" w:hAnsi="宋体"/>
          <w:color w:val="000000"/>
          <w:sz w:val="24"/>
          <w:szCs w:val="24"/>
        </w:rPr>
        <w:t>在变形性能方面，再生混凝土的收缩和徐变一般大于普通混凝土。这是因为再生骨料吸水率高，混凝土内部可蒸发水分多，同时旧砂浆的存在使整体变形能力增强。收缩徐变偏大对结构的影响主要体现在预应力损失、裂缝控制和长期挠度上，在高层结构中需要通过合理的配筋和后浇带设置加以控制。</w:t>
      </w:r>
    </w:p>
    <w:p w14:paraId="1C65E8EB">
      <w:pPr>
        <w:spacing w:line="360" w:lineRule="auto"/>
        <w:ind w:firstLine="480"/>
        <w:rPr>
          <w:rFonts w:hint="eastAsia"/>
          <w:color w:val="000000"/>
          <w:sz w:val="24"/>
        </w:rPr>
      </w:pPr>
      <w:r>
        <w:rPr>
          <w:rFonts w:hint="eastAsia" w:eastAsia="宋体" w:ascii="宋体" w:hAnsi="宋体"/>
          <w:color w:val="000000"/>
          <w:sz w:val="24"/>
          <w:szCs w:val="24"/>
        </w:rPr>
        <w:t>在耐久性能方面，抗冻性、抗碳化性和抗氯离子渗透性是评价的重点。再生骨料表面旧砂浆和多孔隙结构使混凝土的渗透性增大，氯离子更易侵入，因此在有耐久性要求的环境中，需要控制水胶比、掺入矿物掺合料并加强养护[3]。</w:t>
      </w:r>
    </w:p>
    <w:p w14:paraId="BDB6FBAC">
      <w:pPr>
        <w:spacing w:line="360" w:lineRule="auto"/>
        <w:ind w:firstLine="480"/>
        <w:rPr>
          <w:rFonts w:hint="eastAsia"/>
          <w:color w:val="000000"/>
          <w:sz w:val="24"/>
        </w:rPr>
      </w:pPr>
      <w:r>
        <w:rPr>
          <w:rFonts w:hint="eastAsia" w:eastAsia="宋体" w:ascii="宋体" w:hAnsi="宋体"/>
          <w:color w:val="000000"/>
          <w:sz w:val="24"/>
          <w:szCs w:val="24"/>
        </w:rPr>
        <w:t>在工作性能方面，再生骨料吸水率高的特点会直接影响拌合物的坍落度。若干骨料未经预湿直接拌合，会在搅拌和浇筑过程中继续吸水，导致坍落度损失加快、泵送阻力增大。工程上通常采用提前预湿或者额外加水的方式处理，但额外加水会改变实际水胶比，需要在配合比设计时一并考虑，《再生骨料应用技术规程》对此也有相应规定[5]。</w:t>
      </w:r>
    </w:p>
    <w:p w14:paraId="02444EAD">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2．3  装配式混凝土结构体系</w:t>
      </w:r>
    </w:p>
    <w:p w14:paraId="AEBC3E05">
      <w:pPr>
        <w:spacing w:line="360" w:lineRule="auto"/>
        <w:ind w:firstLine="480"/>
        <w:rPr>
          <w:rFonts w:hint="eastAsia"/>
          <w:color w:val="000000"/>
          <w:sz w:val="24"/>
        </w:rPr>
      </w:pPr>
      <w:r>
        <w:rPr>
          <w:rFonts w:hint="eastAsia" w:eastAsia="宋体" w:ascii="宋体" w:hAnsi="宋体"/>
          <w:color w:val="000000"/>
          <w:sz w:val="24"/>
          <w:szCs w:val="24"/>
        </w:rPr>
        <w:t>装配式混凝土结构是装配式建筑的主要结构形式之一。《装配式混凝土建筑技术标准》对装配式混凝土建筑的术语、基本规定、材料、建筑设计、结构设计、构件制作、施工安装和质量验收等内容作出了规定[12]。《装配式混凝土结构技术规程》则从结构专业角度对装配式混凝土结构的设计和施工提出了要求，其中对钢筋连接、接缝构造和构件承载力计算等关键问题作出了具体规定[13]。</w:t>
      </w:r>
    </w:p>
    <w:p w14:paraId="4F574E19">
      <w:pPr>
        <w:spacing w:line="360" w:lineRule="auto"/>
        <w:ind w:firstLine="480"/>
        <w:rPr>
          <w:rFonts w:hint="eastAsia"/>
          <w:color w:val="000000"/>
          <w:sz w:val="24"/>
        </w:rPr>
      </w:pPr>
      <w:r>
        <w:rPr>
          <w:rFonts w:hint="eastAsia" w:eastAsia="宋体" w:ascii="宋体" w:hAnsi="宋体"/>
          <w:color w:val="000000"/>
          <w:sz w:val="24"/>
          <w:szCs w:val="24"/>
        </w:rPr>
        <w:t>按结构体系划分，装配式混凝土结构主要包括装配整体式剪力墙结构、装配整体式框架结构、装配整体式框架-剪力墙结构等。住宅建筑中应用最广的是装配整体式剪力墙结构，其竖向承重构件采用预制剪力墙或现浇剪力墙，水平构件则多采用预制叠合楼板、预制楼梯和预制阳台板。构件之间的连接方式主要有灌浆套筒连接、浆锚搭接连接和后浇混凝土连接等，连接节点的性能直接决定结构的整体性和安全性。</w:t>
      </w:r>
    </w:p>
    <w:p w14:paraId="72847D73">
      <w:pPr>
        <w:spacing w:line="360" w:lineRule="auto"/>
        <w:ind w:firstLine="480"/>
        <w:rPr>
          <w:rFonts w:hint="eastAsia"/>
          <w:color w:val="000000"/>
          <w:sz w:val="24"/>
        </w:rPr>
      </w:pPr>
      <w:r>
        <w:rPr>
          <w:rFonts w:hint="eastAsia" w:eastAsia="宋体" w:ascii="宋体" w:hAnsi="宋体"/>
          <w:color w:val="000000"/>
          <w:sz w:val="24"/>
          <w:szCs w:val="24"/>
        </w:rPr>
        <w:t>评价装配式建筑装配化程度的核心指标是装配率。《装配式建筑评价标准》规定了装配率的计算方法和评价等级划分，从主体结构、围护墙和内隔墙、装修和设备管线等方面进行评分[14]。对于采用再生混凝土的装配式住宅而言，在满足装配率要求的同时还需要满足结构安全和耐久性要求，两者之间需要统筹考虑。</w:t>
      </w:r>
    </w:p>
    <w:p w14:paraId="23D41FA4">
      <w:pPr>
        <w:keepNext/>
        <w:keepLines/>
        <w:spacing w:line="360" w:lineRule="auto"/>
        <w:rPr>
          <w:rFonts w:hint="eastAsia" w:eastAsia="黑体"/>
          <w:color w:val="000000"/>
          <w:sz w:val="24"/>
        </w:rPr>
      </w:pPr>
      <w:r>
        <w:rPr>
          <w:rFonts w:hint="eastAsia" w:eastAsia="黑体" w:ascii="黑体" w:hAnsi="黑体"/>
          <w:color w:val="000000"/>
          <w:sz w:val="24"/>
          <w:szCs w:val="24"/>
        </w:rPr>
        <w:t xml:space="preserve">2.3.4  装配整体式剪力墙结构的连接构造</w:t>
      </w:r>
    </w:p>
    <w:p w14:paraId="4FD6A8AA">
      <w:pPr>
        <w:spacing w:line="360" w:lineRule="auto"/>
        <w:ind w:firstLine="480"/>
        <w:rPr>
          <w:rFonts w:hint="eastAsia"/>
          <w:color w:val="000000"/>
          <w:sz w:val="24"/>
        </w:rPr>
      </w:pPr>
      <w:r>
        <w:rPr>
          <w:rFonts w:hint="eastAsia" w:eastAsia="宋体" w:ascii="宋体" w:hAnsi="宋体"/>
          <w:color w:val="000000"/>
          <w:sz w:val="24"/>
          <w:szCs w:val="24"/>
        </w:rPr>
        <w:t>装配整体式剪力墙结构中，预制构件之间的连接是决定结构整体性的关键。目前工程中常用的连接方式主要有灌浆套筒连接、浆锚搭接连接和后浇混凝土连接三类。灌浆套筒连接是在预制构件中预埋套筒，现场将钢筋插入套筒后灌注高强灌浆料，通过灌浆料与钢筋、套筒之间的粘结作用传递应力，具有传力可靠、施工方便的优点，是竖向构件钢筋连接的主要方式。浆锚搭接连接是在预留孔道中插入搭接钢筋后灌注灌浆料，依靠灌浆料与钢筋的粘结实现力的传递，适用于钢筋直径较小、受力较小的部位。后浇混凝土连接则是在预制构件之间预留后浇带，现场绑扎钢筋并浇筑混凝土，形成整体受力的节点，常用于水平构件与竖向构件的连接以及剪力墙的边缘构件部位。</w:t>
      </w:r>
    </w:p>
    <w:p w14:paraId="61231F46">
      <w:pPr>
        <w:spacing w:line="360" w:lineRule="auto"/>
        <w:ind w:firstLine="480"/>
        <w:rPr>
          <w:rFonts w:hint="eastAsia"/>
          <w:color w:val="000000"/>
          <w:sz w:val="24"/>
        </w:rPr>
      </w:pPr>
      <w:r>
        <w:rPr>
          <w:rFonts w:hint="eastAsia" w:eastAsia="宋体" w:ascii="宋体" w:hAnsi="宋体"/>
          <w:color w:val="000000"/>
          <w:sz w:val="24"/>
          <w:szCs w:val="24"/>
        </w:rPr>
        <w:t>连接节点的施工质量直接影响结构的整体性能。灌浆套筒连接中，灌浆料的配合比、灌浆压力和灌浆密实度是三个关键控制指标。灌浆不饱满会导致钢筋锚固长度不足，影响接头的抗拉性能；灌浆料强度不足则会导致接头承载力达不到要求。因此，工程上通常要求对灌浆作业进行全过程记录，并采用内窥镜或X射线等方式对接头密实度进行抽检，确保连接质量满足设计与规范要求。</w:t>
      </w:r>
    </w:p>
    <w:p w14:paraId="AD93A1E3">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2．4  再生混凝土应用的标准与规定</w:t>
      </w:r>
    </w:p>
    <w:p w14:paraId="C39B3DDC">
      <w:pPr>
        <w:spacing w:line="360" w:lineRule="auto"/>
        <w:ind w:firstLine="480"/>
        <w:rPr>
          <w:rFonts w:hint="eastAsia"/>
          <w:color w:val="000000"/>
          <w:sz w:val="24"/>
        </w:rPr>
      </w:pPr>
      <w:r>
        <w:rPr>
          <w:rFonts w:hint="eastAsia" w:eastAsia="宋体" w:ascii="宋体" w:hAnsi="宋体"/>
          <w:color w:val="000000"/>
          <w:sz w:val="24"/>
          <w:szCs w:val="24"/>
        </w:rPr>
        <w:t>我国已初步建立起再生骨料和再生混凝土的标准体系。《再生骨料应用技术规程》规定了再生骨料在建筑工程中应用的技术要求，包括再生骨料的质量要求、再生混凝土的配合比设计、施工及质量验收等内容，并对再生骨料在不同结构部位的应用作出了限制[5]。</w:t>
      </w:r>
    </w:p>
    <w:p w14:paraId="F477888D">
      <w:pPr>
        <w:spacing w:line="360" w:lineRule="auto"/>
        <w:ind w:firstLine="480"/>
        <w:rPr>
          <w:rFonts w:hint="eastAsia"/>
          <w:color w:val="000000"/>
          <w:sz w:val="24"/>
        </w:rPr>
      </w:pPr>
      <w:r>
        <w:rPr>
          <w:rFonts w:hint="eastAsia" w:eastAsia="宋体" w:ascii="宋体" w:hAnsi="宋体"/>
          <w:color w:val="000000"/>
          <w:sz w:val="24"/>
          <w:szCs w:val="24"/>
        </w:rPr>
        <w:t>地方层面也在推进相关标准的制定。深圳市发布的《建筑废弃物再生产品应用工程技术规程》结合当地建筑废弃物产量大、再生利用需求迫切的特点，对建筑废弃物再生产品在工程中的应用提出了技术要求[15]。山东省发布的《再生混凝土预制构件应用技术规程》则专门针对再生混凝土预制构件，对构件的设计、制作、检验和应用作出了规定[16]。这些地方标准的出台，说明再生混凝土从"能用"走向"规范地用"的条件正在逐步成熟。</w:t>
      </w:r>
    </w:p>
    <w:p w14:paraId="897DC0D7">
      <w:pPr>
        <w:spacing w:line="360" w:lineRule="auto"/>
        <w:ind w:firstLine="480"/>
        <w:rPr>
          <w:rFonts w:hint="eastAsia"/>
          <w:color w:val="000000"/>
          <w:sz w:val="24"/>
        </w:rPr>
      </w:pPr>
      <w:r>
        <w:rPr>
          <w:rFonts w:hint="eastAsia" w:eastAsia="宋体" w:ascii="宋体" w:hAnsi="宋体"/>
          <w:color w:val="000000"/>
          <w:sz w:val="24"/>
          <w:szCs w:val="24"/>
        </w:rPr>
        <w:t>质量验收方面，《混凝土结构工程施工质量验收规范》是混凝土结构工程验收的基本依据，再生混凝土结构同样应当执行该规范的有关规定，对混凝土强度、构件尺寸偏差和结构实体质量进行检验[17]。</w:t>
      </w:r>
    </w:p>
    <w:p w14:paraId="54C34043">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3  工程概况与再生混凝土应用方案</w:t>
      </w:r>
    </w:p>
    <w:p w14:paraId="6D9D5F64">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3．1  项目基本情况</w:t>
      </w:r>
    </w:p>
    <w:p w14:paraId="6A862456">
      <w:pPr>
        <w:spacing w:line="360" w:lineRule="auto"/>
        <w:ind w:firstLine="480"/>
        <w:rPr>
          <w:rFonts w:hint="eastAsia"/>
          <w:color w:val="000000"/>
          <w:sz w:val="24"/>
        </w:rPr>
      </w:pPr>
      <w:r>
        <w:rPr>
          <w:rFonts w:hint="eastAsia" w:eastAsia="宋体" w:ascii="宋体" w:hAnsi="宋体"/>
          <w:color w:val="000000"/>
          <w:sz w:val="24"/>
          <w:szCs w:val="24"/>
        </w:rPr>
        <w:t>本文选取的工程案例位于广西，为一栋30层公寓楼，建筑高度接近100 m，主体结构于2026年封顶。项目规模化应用了再生骨料取代率为30%的再生混凝土，再生混凝土总用量约10679 m³，是目前公开报道中首栋实现百米级规模化应用再生混凝土的高层建筑[4]。</w:t>
      </w:r>
    </w:p>
    <w:p w14:paraId="FC57C54C">
      <w:pPr>
        <w:spacing w:line="360" w:lineRule="auto"/>
        <w:ind w:firstLine="480"/>
        <w:rPr>
          <w:rFonts w:hint="eastAsia"/>
          <w:color w:val="000000"/>
          <w:sz w:val="24"/>
        </w:rPr>
      </w:pPr>
      <w:r>
        <w:rPr>
          <w:rFonts w:hint="eastAsia" w:eastAsia="宋体" w:ascii="宋体" w:hAnsi="宋体"/>
          <w:color w:val="000000"/>
          <w:sz w:val="24"/>
          <w:szCs w:val="24"/>
        </w:rPr>
        <w:t>项目的技术支撑单位为广西大学肖建庄教授团队，参与实施的还包括中建二局、广西大学设计院、大通监理以及中建西部建设等单位，团队全流程参与了再生混凝土结构的设计以及再生混凝土的生产和施工。据公开报道，该项目是广西大学继"广西首个100%全取代再生混凝土工程"之后的又一工程实践，主体结构封顶后进入装修及配套施工阶段[4]。</w:t>
      </w:r>
    </w:p>
    <w:p w14:paraId="34E526F2">
      <w:pPr>
        <w:spacing w:line="360" w:lineRule="auto"/>
        <w:ind w:firstLine="480"/>
        <w:rPr>
          <w:rFonts w:hint="eastAsia"/>
          <w:color w:val="000000"/>
          <w:sz w:val="24"/>
        </w:rPr>
      </w:pPr>
      <w:r>
        <w:rPr>
          <w:rFonts w:hint="eastAsia" w:eastAsia="宋体" w:ascii="宋体" w:hAnsi="宋体"/>
          <w:color w:val="000000"/>
          <w:sz w:val="24"/>
          <w:szCs w:val="24"/>
        </w:rPr>
        <w:t>需要说明的是，公开资料显示该项目采用的是现浇剪力墙结构体系，竖向承重构件和水平结构构件均使用了再生混凝土。就再生混凝土在装配式住宅中的推广应用而言，该项目提供了一个难得的高层建筑实证样本：它证明了再生混凝土在百米级高层建筑中能够满足结构安全要求。本文以该项目已实现的材料与结构技术为基础，进一步讨论再生混凝土向装配式构件延伸应用时的适用性与需要注意的问题。</w:t>
      </w:r>
    </w:p>
    <w:p w14:paraId="AEC0B39C">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3．2  结构体系与构件配置</w:t>
      </w:r>
    </w:p>
    <w:p w14:paraId="80575BCC">
      <w:pPr>
        <w:spacing w:line="360" w:lineRule="auto"/>
        <w:ind w:firstLine="480"/>
        <w:rPr>
          <w:rFonts w:hint="eastAsia"/>
          <w:color w:val="000000"/>
          <w:sz w:val="24"/>
        </w:rPr>
      </w:pPr>
      <w:r>
        <w:rPr>
          <w:rFonts w:hint="eastAsia" w:eastAsia="宋体" w:ascii="宋体" w:hAnsi="宋体"/>
          <w:color w:val="000000"/>
          <w:sz w:val="24"/>
          <w:szCs w:val="24"/>
        </w:rPr>
        <w:t>项目采用剪力墙体系。在高层建筑中，剪力墙体系同时承担竖向承重和水平抗侧力的双重作用，这对混凝土的材料性能提出了比较高的要求，也是再生混凝土此前很少被用于高层建筑的主要原因之一。</w:t>
      </w:r>
    </w:p>
    <w:p w14:paraId="C2338D24">
      <w:pPr>
        <w:spacing w:line="360" w:lineRule="auto"/>
        <w:ind w:firstLine="480"/>
        <w:rPr>
          <w:rFonts w:hint="eastAsia"/>
          <w:color w:val="000000"/>
          <w:sz w:val="24"/>
        </w:rPr>
      </w:pPr>
      <w:r>
        <w:rPr>
          <w:rFonts w:hint="eastAsia" w:eastAsia="宋体" w:ascii="宋体" w:hAnsi="宋体"/>
          <w:color w:val="000000"/>
          <w:sz w:val="24"/>
          <w:szCs w:val="24"/>
        </w:rPr>
        <w:t>从构件配置上看，竖向构件为剪力墙和框架柱，水平构件为楼盖梁板。项目在这一部分的处理方式是：竖向承重结构和水平结构均采用再生混凝土，即再生混凝土不是局部试用，而是整体性地进入了结构受力体系[4]。这种做法与早期再生混凝土只用于垫层、非承重填充墙的做法有明显区别，属于真正意义上的结构应用。</w:t>
      </w:r>
    </w:p>
    <w:p w14:paraId="7A0AED40">
      <w:pPr>
        <w:spacing w:line="360" w:lineRule="auto"/>
        <w:ind w:firstLine="480"/>
        <w:rPr>
          <w:rFonts w:hint="eastAsia"/>
          <w:color w:val="000000"/>
          <w:sz w:val="24"/>
        </w:rPr>
      </w:pPr>
      <w:r>
        <w:rPr>
          <w:rFonts w:hint="eastAsia" w:eastAsia="宋体" w:ascii="宋体" w:hAnsi="宋体"/>
          <w:color w:val="000000"/>
          <w:sz w:val="24"/>
          <w:szCs w:val="24"/>
        </w:rPr>
        <w:t>在装配式建筑中，住宅项目通常采用装配整体式剪力墙结构，竖向构件可采用预制剪力墙，水平构件则普遍采用预制叠合楼板、预制楼梯、预制阳台板和预制内隔墙板。若把该项目的再生混凝土技术体系延伸到装配式住宅，构件配置上需要考虑的问题是：预制构件对混凝土早期强度有要求，因为构件需要达到一定强度才能脱模、起吊和运输；同时预制构件的钢筋连接多采用灌浆套筒，套筒区混凝土的密实度和握裹力直接影响连接可靠性，再生混凝土在这一部位的应用需要格外谨慎。第4章将对这些问题作具体分析。</w:t>
      </w:r>
    </w:p>
    <w:p w14:paraId="D4F2DA05">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3．3  再生混凝土的配合比与制备工艺</w:t>
      </w:r>
    </w:p>
    <w:p w14:paraId="07C89D42">
      <w:pPr>
        <w:spacing w:line="360" w:lineRule="auto"/>
        <w:ind w:firstLine="480"/>
        <w:rPr>
          <w:rFonts w:hint="eastAsia"/>
          <w:color w:val="000000"/>
          <w:sz w:val="24"/>
        </w:rPr>
      </w:pPr>
      <w:r>
        <w:rPr>
          <w:rFonts w:hint="eastAsia" w:eastAsia="宋体" w:ascii="宋体" w:hAnsi="宋体"/>
          <w:color w:val="000000"/>
          <w:sz w:val="24"/>
          <w:szCs w:val="24"/>
        </w:rPr>
        <w:t>再生混凝土的制备流程可以概括为：废弃混凝土回收—破碎—筛分—分级—预处理—配料—拌合—运输。其中前四个环节决定再生骨料的品质，预处理和配料环节决定拌合物的工作性，拌合与运输环节决定最终成型质量。</w:t>
      </w:r>
    </w:p>
    <w:p w14:paraId="FE4B83D0">
      <w:pPr>
        <w:spacing w:line="360" w:lineRule="auto"/>
        <w:ind w:firstLine="480"/>
        <w:rPr>
          <w:rFonts w:hint="eastAsia"/>
          <w:color w:val="000000"/>
          <w:sz w:val="24"/>
        </w:rPr>
      </w:pPr>
      <w:r>
        <w:rPr>
          <w:rFonts w:hint="eastAsia" w:eastAsia="宋体" w:ascii="宋体" w:hAnsi="宋体"/>
          <w:color w:val="000000"/>
          <w:sz w:val="24"/>
          <w:szCs w:val="24"/>
        </w:rPr>
        <w:t>在骨料来源环节，再生骨料的母体材料以拆除的废旧混凝土为主。母体混凝土的强度等级、服役年限和受污染程度都会影响再生骨料的性能，因此在工程应用中通常要求对骨料来源进行甄别，避免使用来自受化学腐蚀或严重劣化构件的骨料。《混凝土用再生粗骨料》对再生粗骨料的分类和性能指标作出了规定，工程上按标准进行进场检验和分级使用[10]。</w:t>
      </w:r>
    </w:p>
    <w:p w14:paraId="C6859C09">
      <w:pPr>
        <w:spacing w:line="360" w:lineRule="auto"/>
        <w:ind w:firstLine="480"/>
        <w:rPr>
          <w:rFonts w:hint="eastAsia"/>
          <w:color w:val="000000"/>
          <w:sz w:val="24"/>
        </w:rPr>
      </w:pPr>
      <w:r>
        <w:rPr>
          <w:rFonts w:hint="eastAsia" w:eastAsia="宋体" w:ascii="宋体" w:hAnsi="宋体"/>
          <w:color w:val="000000"/>
          <w:sz w:val="24"/>
          <w:szCs w:val="24"/>
        </w:rPr>
        <w:t>在预处理环节，再生骨料吸水率高是需要重点解决的问题。工程上比较常用的做法有两种：一是对再生粗骨料进行提前喷淋预湿，使其达到饱和面干状态后再投入搅拌，避免其在搅拌和浇筑过程中继续吸收拌合水；二是在配合比设计时额外增加一部分附加用水量，用以补偿再生骨料的吸水量。两种做法各有利弊，预湿法的优点是实际水胶比容易控制，缺点是增加了工序和场地要求；附加水法的优点是操作简单，缺点是加水量的准确性依赖于骨料含水率的实时检测，一旦含水率波动较大，实际水胶比就会偏离设计值[5]。</w:t>
      </w:r>
    </w:p>
    <w:p w14:paraId="D9D2FBCF">
      <w:pPr>
        <w:spacing w:line="360" w:lineRule="auto"/>
        <w:ind w:firstLine="480"/>
        <w:rPr>
          <w:rFonts w:hint="eastAsia"/>
          <w:color w:val="000000"/>
          <w:sz w:val="24"/>
        </w:rPr>
      </w:pPr>
      <w:r>
        <w:rPr>
          <w:rFonts w:hint="eastAsia" w:eastAsia="宋体" w:ascii="宋体" w:hAnsi="宋体"/>
          <w:color w:val="000000"/>
          <w:sz w:val="24"/>
          <w:szCs w:val="24"/>
        </w:rPr>
        <w:t>在配合比设计环节，除了控制水胶比之外，掺入矿物掺合料是改善再生混凝土性能的常用手段。粉煤灰、矿渣粉等掺合料的火山灰反应可以改善界面过渡区的结构，提高密实度，同时对改善拌合物的工作性也有帮助。有研究指出，骨料来源与取代率、矿物掺合料、界面过渡区是影响再生混凝土抗压强度的三个主要因素，这说明配合比设计不能只盯着水胶比一个参数[3]。</w:t>
      </w:r>
    </w:p>
    <w:p w14:paraId="0E43401E">
      <w:pPr>
        <w:spacing w:line="360" w:lineRule="auto"/>
        <w:ind w:firstLine="480"/>
        <w:rPr>
          <w:rFonts w:hint="eastAsia"/>
          <w:color w:val="000000"/>
          <w:sz w:val="24"/>
        </w:rPr>
      </w:pPr>
      <w:r>
        <w:rPr>
          <w:rFonts w:hint="eastAsia" w:eastAsia="宋体" w:ascii="宋体" w:hAnsi="宋体"/>
          <w:color w:val="000000"/>
          <w:sz w:val="24"/>
          <w:szCs w:val="24"/>
        </w:rPr>
        <w:t>在拌合与生产环节，项目由中建西部建设负责再生混凝土的生产供应，采用的是再生混凝土高性能化制备的技术路线，通过专用外加剂和性能调控技术来保证混凝土的强度和工作性[4]。工厂集中拌合的方式相比现场拌合更容易控制计量精度和拌合均匀性，这也为再生混凝土的质量稳定性提供了基础条件。</w:t>
      </w:r>
    </w:p>
    <w:p w14:paraId="F0CDFDD1">
      <w:pPr>
        <w:keepNext/>
        <w:keepLines/>
        <w:spacing w:line="360" w:lineRule="auto"/>
        <w:rPr>
          <w:rFonts w:hint="eastAsia" w:eastAsia="黑体"/>
          <w:color w:val="000000"/>
          <w:sz w:val="24"/>
        </w:rPr>
      </w:pPr>
      <w:r>
        <w:rPr>
          <w:rFonts w:hint="eastAsia" w:eastAsia="黑体" w:ascii="黑体" w:hAnsi="黑体"/>
          <w:color w:val="000000"/>
          <w:sz w:val="24"/>
          <w:szCs w:val="24"/>
        </w:rPr>
        <w:t xml:space="preserve">3.3.4  再生骨料主要性能指标与配合比设计要点</w:t>
      </w:r>
    </w:p>
    <w:p w14:paraId="557E6C9C">
      <w:pPr>
        <w:spacing w:line="360" w:lineRule="auto"/>
        <w:ind w:firstLine="480"/>
        <w:rPr>
          <w:rFonts w:hint="eastAsia"/>
          <w:color w:val="000000"/>
          <w:sz w:val="24"/>
        </w:rPr>
      </w:pPr>
      <w:r>
        <w:rPr>
          <w:rFonts w:hint="eastAsia" w:eastAsia="宋体" w:ascii="宋体" w:hAnsi="宋体"/>
          <w:color w:val="000000"/>
          <w:sz w:val="24"/>
          <w:szCs w:val="24"/>
        </w:rPr>
        <w:t>在再生骨料的性能指标方面，工程应用通常重点关注颗粒级配、微粉含量、吸水率、压碎指标、表观密度和空隙率等几项。按《混凝土用再生粗骨料》的规定，再生粗骨料按性能指标划分为不同类别，不同类别对应的技术要求存在差异，配制不同强度等级的混凝土时应选用相应类别的骨料，不得混用。</w:t>
      </w:r>
    </w:p>
    <w:p w14:paraId="D01624F8">
      <w:pPr>
        <w:spacing w:line="360" w:lineRule="auto"/>
        <w:ind w:firstLine="480"/>
        <w:rPr>
          <w:rFonts w:hint="eastAsia"/>
          <w:color w:val="000000"/>
          <w:sz w:val="24"/>
        </w:rPr>
      </w:pPr>
      <w:r>
        <w:rPr>
          <w:rFonts w:hint="eastAsia" w:eastAsia="宋体" w:ascii="宋体" w:hAnsi="宋体"/>
          <w:color w:val="000000"/>
          <w:sz w:val="24"/>
          <w:szCs w:val="24"/>
        </w:rPr>
        <w:t>再生粗骨料的吸水率通常明显高于天然碎石，这是再生骨料与天然骨料最显著的差异，也是配合比设计中必须考虑附加用水量的根本原因。压碎指标反映骨料本身的强度，再生粗骨料因表面附着一层旧砂浆，压碎指标一般高于天然骨料，用于结构混凝土时应严格控制其取值。此外，再生骨料的颗粒级配和针片状颗粒含量也会对混凝土的和易性与强度产生影响。</w:t>
      </w:r>
    </w:p>
    <w:p w14:paraId="51D7E90A">
      <w:pPr>
        <w:spacing w:line="360" w:lineRule="auto"/>
        <w:ind w:firstLine="480"/>
        <w:rPr>
          <w:rFonts w:hint="eastAsia"/>
          <w:color w:val="000000"/>
          <w:sz w:val="24"/>
        </w:rPr>
      </w:pPr>
      <w:r>
        <w:rPr>
          <w:rFonts w:hint="eastAsia" w:eastAsia="宋体" w:ascii="宋体" w:hAnsi="宋体"/>
          <w:color w:val="000000"/>
          <w:sz w:val="24"/>
          <w:szCs w:val="24"/>
        </w:rPr>
        <w:t>在配合比设计方法上，再生混凝土通常采用"等强度、等坍落度"的设计思路，即在保证强度和施工和易性不低于同等级普通混凝土的前提下确定配合比参数。具体步骤上，首先要测定再生骨料的实际含水率和吸水率，据此确定附加用水量或采用预湿处理；其次根据设计强度等级确定水胶比，并掺入适量矿物掺合料以改善界面过渡区结构；最后通过试配进行验证，必要时调整砂率和外加剂掺量。由于再生骨料品质存在离散性，配合比设计应留有适当余量，并在生产过程中根据骨料含水率的变化及时调整施工配合比。</w:t>
      </w:r>
    </w:p>
    <w:p w14:paraId="28BB3316">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3．4  施工组织与质量控制措施</w:t>
      </w:r>
    </w:p>
    <w:p w14:paraId="626778CD">
      <w:pPr>
        <w:spacing w:line="360" w:lineRule="auto"/>
        <w:ind w:firstLine="480"/>
        <w:rPr>
          <w:rFonts w:hint="eastAsia"/>
          <w:color w:val="000000"/>
          <w:sz w:val="24"/>
        </w:rPr>
      </w:pPr>
      <w:r>
        <w:rPr>
          <w:rFonts w:hint="eastAsia" w:eastAsia="宋体" w:ascii="宋体" w:hAnsi="宋体"/>
          <w:color w:val="000000"/>
          <w:sz w:val="24"/>
          <w:szCs w:val="24"/>
        </w:rPr>
        <w:t>再生混凝土在施工环节的质量控制重点与普通混凝土既有共性，也有其特殊之处。共性部分包括原材料的进场检验、配合比的试配与调整、坍落度的逐车检测、试块的留置与养护、结构实体的强度检测等，这些都应执行《混凝土结构工程施工质量验收规范》的相关规定[17]。</w:t>
      </w:r>
    </w:p>
    <w:p w14:paraId="FAFA6C1D">
      <w:pPr>
        <w:spacing w:line="360" w:lineRule="auto"/>
        <w:ind w:firstLine="480"/>
        <w:rPr>
          <w:rFonts w:hint="eastAsia"/>
          <w:color w:val="000000"/>
          <w:sz w:val="24"/>
        </w:rPr>
      </w:pPr>
      <w:r>
        <w:rPr>
          <w:rFonts w:hint="eastAsia" w:eastAsia="宋体" w:ascii="宋体" w:hAnsi="宋体"/>
          <w:color w:val="000000"/>
          <w:sz w:val="24"/>
          <w:szCs w:val="24"/>
        </w:rPr>
        <w:t>特殊之处主要体现在三个方面。第一是拌合物工作性的过程监控。再生骨料的含水率受堆存时间和天气影响明显，雨季和旱季的含水率差异可能导致坍落度出现较大波动，因此需要在开盘前测定骨料实际含水率并据此调整施工配合比，不能简单套用试验室配合比。第二是浇筑和振捣环节。再生混凝土拌合物的粘性通常较大，流动性略差，浇筑时要避免漏振和过振，特别是钢筋密集部位和剪力墙与楼板交接部位，需要保证混凝土填充密实。第三是养护环节。再生混凝土的收缩较大，早期养护不及时容易导致表面出现塑性收缩裂缝，拆模后应及时覆盖保湿养护，养护时间应比普通混凝土适当延长。</w:t>
      </w:r>
    </w:p>
    <w:p w14:paraId="8719617E">
      <w:pPr>
        <w:spacing w:line="360" w:lineRule="auto"/>
        <w:ind w:firstLine="480"/>
        <w:rPr>
          <w:rFonts w:hint="eastAsia"/>
          <w:color w:val="000000"/>
          <w:sz w:val="24"/>
        </w:rPr>
      </w:pPr>
      <w:r>
        <w:rPr>
          <w:rFonts w:hint="eastAsia" w:eastAsia="宋体" w:ascii="宋体" w:hAnsi="宋体"/>
          <w:color w:val="000000"/>
          <w:sz w:val="24"/>
          <w:szCs w:val="24"/>
        </w:rPr>
        <w:t>项目在质量控制上还采取了另外一个值得关注的措施：在建筑结构内嵌入智能结构安全监测系统，对结构长期性能进行持续监测[4]。这一措施的意义在于，再生混凝土的长期性能和耐久性能目前仍缺乏足够的工程实测数据支撑，通过实时的结构安全监测，可以为再生混凝土结构的长期性能研究积累第一手数据，也为后续同类工程提供参考。</w:t>
      </w:r>
    </w:p>
    <w:p w14:paraId="2B820458">
      <w:pPr>
        <w:spacing w:line="360" w:lineRule="auto"/>
        <w:ind w:firstLine="480"/>
        <w:rPr>
          <w:rFonts w:hint="eastAsia"/>
          <w:color w:val="000000"/>
          <w:sz w:val="24"/>
        </w:rPr>
      </w:pPr>
      <w:r>
        <w:rPr>
          <w:rFonts w:hint="eastAsia" w:eastAsia="宋体" w:ascii="宋体" w:hAnsi="宋体"/>
          <w:color w:val="000000"/>
          <w:sz w:val="24"/>
          <w:szCs w:val="24"/>
        </w:rPr>
        <w:t>图3–1给出了再生混凝土从原料到结构实体的全过程质量控制要点。</w:t>
      </w:r>
    </w:p>
    <w:p w14:paraId="FA7D9678">
      <w:pPr>
        <w:keepNext/>
        <w:spacing w:line="360" w:lineRule="auto"/>
        <w:ind w:firstLine="480"/>
        <w:jc w:val="center"/>
        <w:rPr>
          <w:rFonts w:hint="eastAsia"/>
          <w:color w:val="000000"/>
          <w:sz w:val="24"/>
        </w:rPr>
      </w:pPr>
      <w:r>
        <w:drawing>
          <wp:inline xmlns:a="http://schemas.openxmlformats.org/drawingml/2006/main" xmlns:pic="http://schemas.openxmlformats.org/drawingml/2006/picture">
            <wp:extent cx="4680000" cy="3484404"/>
            <wp:docPr id="1" name="Picture 1"/>
            <wp:cNvGraphicFramePr>
              <a:graphicFrameLocks noChangeAspect="1"/>
            </wp:cNvGraphicFramePr>
            <a:graphic>
              <a:graphicData uri="http://schemas.openxmlformats.org/drawingml/2006/picture">
                <pic:pic>
                  <pic:nvPicPr>
                    <pic:cNvPr id="0" name="fig3_1.png"/>
                    <pic:cNvPicPr/>
                  </pic:nvPicPr>
                  <pic:blipFill>
                    <a:blip r:embed="rId9"/>
                    <a:stretch>
                      <a:fillRect/>
                    </a:stretch>
                  </pic:blipFill>
                  <pic:spPr>
                    <a:xfrm>
                      <a:off x="0" y="0"/>
                      <a:ext cx="4680000" cy="3484404"/>
                    </a:xfrm>
                    <a:prstGeom prst="rect"/>
                  </pic:spPr>
                </pic:pic>
              </a:graphicData>
            </a:graphic>
          </wp:inline>
        </w:drawing>
      </w:r>
    </w:p>
    <w:p w14:paraId="7423B0B0">
      <w:pPr>
        <w:keepLines/>
        <w:spacing w:line="440" w:lineRule="exact"/>
        <w:ind w:firstLine="0"/>
        <w:jc w:val="center"/>
        <w:rPr>
          <w:rFonts w:hint="eastAsia"/>
          <w:color w:val="000000"/>
          <w:szCs w:val="21"/>
        </w:rPr>
      </w:pPr>
      <w:r>
        <w:rPr>
          <w:rFonts w:hint="eastAsia" w:eastAsia="宋体" w:ascii="宋体" w:hAnsi="宋体"/>
          <w:color w:val="000000"/>
          <w:sz w:val="21"/>
          <w:szCs w:val="21"/>
        </w:rPr>
        <w:t>图3–1  再生混凝土应用全过程质量控制要点</w:t>
      </w:r>
    </w:p>
    <w:p w14:paraId="247EFA1D">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4  再生混凝土在装配式住宅中的应用评价</w:t>
      </w:r>
    </w:p>
    <w:p w14:paraId="09C239FD">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4．1  评价指标体系的构建</w:t>
      </w:r>
    </w:p>
    <w:p w14:paraId="0CE54D9C">
      <w:pPr>
        <w:spacing w:line="360" w:lineRule="auto"/>
        <w:ind w:firstLine="480"/>
        <w:rPr>
          <w:rFonts w:hint="eastAsia"/>
          <w:color w:val="000000"/>
          <w:sz w:val="24"/>
        </w:rPr>
      </w:pPr>
      <w:r>
        <w:rPr>
          <w:rFonts w:hint="eastAsia" w:eastAsia="宋体" w:ascii="宋体" w:hAnsi="宋体"/>
          <w:color w:val="000000"/>
          <w:sz w:val="24"/>
          <w:szCs w:val="24"/>
        </w:rPr>
        <w:t>对再生混凝土在装配式住宅中的应用效果进行评价，需要解决"评什么"和"怎么评"两个问题。从工程决策的实际需要出发，本文把评价内容划分为三个维度。</w:t>
      </w:r>
    </w:p>
    <w:p w14:paraId="14925585">
      <w:pPr>
        <w:spacing w:line="360" w:lineRule="auto"/>
        <w:ind w:firstLine="480"/>
        <w:rPr>
          <w:rFonts w:hint="eastAsia"/>
          <w:color w:val="000000"/>
          <w:sz w:val="24"/>
        </w:rPr>
      </w:pPr>
      <w:r>
        <w:rPr>
          <w:rFonts w:hint="eastAsia" w:eastAsia="宋体" w:ascii="宋体" w:hAnsi="宋体"/>
          <w:color w:val="000000"/>
          <w:sz w:val="24"/>
          <w:szCs w:val="24"/>
        </w:rPr>
        <w:t>第一个维度是技术性能，主要回答"能不能用"的问题，下设强度性能、变形性能、耐久性能和结构性能四个指标。强度性能以立方体抗压强度和轴心抗压强度为主；变形性能以弹性模量、收缩和徐变为主；耐久性能以抗冻性、抗碳化性和抗氯离子渗透性为主；结构性能以构件承载力和连接节点可靠性为主，对装配式住宅而言，连接节点的性能尤为重要。</w:t>
      </w:r>
    </w:p>
    <w:p w14:paraId="5134A8EC">
      <w:pPr>
        <w:spacing w:line="360" w:lineRule="auto"/>
        <w:ind w:firstLine="480"/>
        <w:rPr>
          <w:rFonts w:hint="eastAsia"/>
          <w:color w:val="000000"/>
          <w:sz w:val="24"/>
        </w:rPr>
      </w:pPr>
      <w:r>
        <w:rPr>
          <w:rFonts w:hint="eastAsia" w:eastAsia="宋体" w:ascii="宋体" w:hAnsi="宋体"/>
          <w:color w:val="000000"/>
          <w:sz w:val="24"/>
          <w:szCs w:val="24"/>
        </w:rPr>
        <w:t>第二个维度是施工适应性，主要回答"好不好用"的问题，下设拌合物工作性、泵送与浇筑性能、养护要求和构件生产效率四个指标。这一维度在装配式建筑中权重较高，因为构件生产是流水线作业，混凝土性能一旦出现波动，会直接影响模具周转和出厂进度。</w:t>
      </w:r>
    </w:p>
    <w:p w14:paraId="45B88709">
      <w:pPr>
        <w:spacing w:line="360" w:lineRule="auto"/>
        <w:ind w:firstLine="480"/>
        <w:rPr>
          <w:rFonts w:hint="eastAsia"/>
          <w:color w:val="000000"/>
          <w:sz w:val="24"/>
        </w:rPr>
      </w:pPr>
      <w:r>
        <w:rPr>
          <w:rFonts w:hint="eastAsia" w:eastAsia="宋体" w:ascii="宋体" w:hAnsi="宋体"/>
          <w:color w:val="000000"/>
          <w:sz w:val="24"/>
          <w:szCs w:val="24"/>
        </w:rPr>
        <w:t>第三个维度是经济与环境效益，主要回答"值不值得用"的问题，下设材料成本、固废消纳量、碳排放降低量和综合经济性四个指标。</w:t>
      </w:r>
    </w:p>
    <w:p w14:paraId="2CBA1140">
      <w:pPr>
        <w:spacing w:line="360" w:lineRule="auto"/>
        <w:ind w:firstLine="480"/>
        <w:rPr>
          <w:rFonts w:hint="eastAsia"/>
          <w:color w:val="000000"/>
          <w:sz w:val="24"/>
        </w:rPr>
      </w:pPr>
      <w:r>
        <w:rPr>
          <w:rFonts w:hint="eastAsia" w:eastAsia="宋体" w:ascii="宋体" w:hAnsi="宋体"/>
          <w:color w:val="000000"/>
          <w:sz w:val="24"/>
          <w:szCs w:val="24"/>
        </w:rPr>
        <w:t>三个维度之间的关系是：技术性能是前提，不达标就不能用；施工适应性是关键，决定了能否在工程上顺利推行；经济与环境效益是动力，决定了各方是否有积极性去推广。评价时先判断技术性能是否满足标准要求，再考察施工适应性和经济环境效益。表4–1列出了评价指标体系的具体构成。</w:t>
      </w:r>
    </w:p>
    <w:p w14:paraId="2730F7C2">
      <w:pPr>
        <w:keepNext/>
        <w:spacing w:line="360" w:lineRule="auto"/>
        <w:ind w:firstLine="480"/>
        <w:jc w:val="center"/>
        <w:rPr>
          <w:rFonts w:hint="eastAsia"/>
          <w:color w:val="000000"/>
          <w:sz w:val="24"/>
        </w:rPr>
      </w:pPr>
      <w:r>
        <w:drawing>
          <wp:inline xmlns:a="http://schemas.openxmlformats.org/drawingml/2006/main" xmlns:pic="http://schemas.openxmlformats.org/drawingml/2006/picture">
            <wp:extent cx="4680000" cy="3226789"/>
            <wp:docPr id="1" name="Picture 1"/>
            <wp:cNvGraphicFramePr>
              <a:graphicFrameLocks noChangeAspect="1"/>
            </wp:cNvGraphicFramePr>
            <a:graphic>
              <a:graphicData uri="http://schemas.openxmlformats.org/drawingml/2006/picture">
                <pic:pic>
                  <pic:nvPicPr>
                    <pic:cNvPr id="0" name="fig4_1.png"/>
                    <pic:cNvPicPr/>
                  </pic:nvPicPr>
                  <pic:blipFill>
                    <a:blip r:embed="rId9"/>
                    <a:stretch>
                      <a:fillRect/>
                    </a:stretch>
                  </pic:blipFill>
                  <pic:spPr>
                    <a:xfrm>
                      <a:off x="0" y="0"/>
                      <a:ext cx="4680000" cy="3226789"/>
                    </a:xfrm>
                    <a:prstGeom prst="rect"/>
                  </pic:spPr>
                </pic:pic>
              </a:graphicData>
            </a:graphic>
          </wp:inline>
        </w:drawing>
      </w:r>
    </w:p>
    <w:p w14:paraId="4BA31BE6">
      <w:pPr>
        <w:keepLines/>
        <w:spacing w:line="440" w:lineRule="exact"/>
        <w:ind w:firstLine="0"/>
        <w:jc w:val="center"/>
        <w:rPr>
          <w:rFonts w:hint="eastAsia"/>
          <w:color w:val="000000"/>
          <w:szCs w:val="21"/>
        </w:rPr>
      </w:pPr>
      <w:r>
        <w:rPr>
          <w:rFonts w:hint="eastAsia" w:eastAsia="宋体" w:ascii="宋体" w:hAnsi="宋体"/>
          <w:color w:val="000000"/>
          <w:sz w:val="21"/>
          <w:szCs w:val="21"/>
        </w:rPr>
        <w:t>图4–1  再生混凝土应用评价指标体系</w:t>
      </w:r>
    </w:p>
    <w:p w14:paraId="637A9E25">
      <w:pPr>
        <w:keepLines/>
        <w:spacing w:line="440" w:lineRule="exact"/>
        <w:ind w:firstLine="0"/>
        <w:jc w:val="center"/>
        <w:rPr>
          <w:rFonts w:hint="eastAsia"/>
          <w:color w:val="000000"/>
          <w:szCs w:val="21"/>
        </w:rPr>
      </w:pPr>
      <w:r>
        <w:rPr>
          <w:rFonts w:hint="eastAsia" w:eastAsia="宋体" w:ascii="宋体" w:hAnsi="宋体"/>
          <w:color w:val="000000"/>
          <w:sz w:val="21"/>
          <w:szCs w:val="21"/>
        </w:rPr>
        <w:t>表4–1  再生混凝土在装配式住宅中的应用评价指标体系</w:t>
      </w:r>
    </w:p>
    <w:tbl>
      <w:tblPr>
        <w:tblStyle w:val="TableGrid"/>
        <w:tblW w:w="5000" w:type="pct"/>
        <w:tblLook w:val="04A0"/>
      </w:tblPr>
      <w:tblGrid>
        <w:gridCol w:w="1500"/>
        <w:gridCol w:w="2400"/>
        <w:gridCol w:w="5500"/>
      </w:tblGrid>
      <w:tr>
        <w:tc>
          <w:tcPr>
            <w:tcW w:w="1500" w:type="dxa"/>
          </w:tcPr>
          <w:p>
            <w:pPr>
              <w:jc w:val="center"/>
            </w:pPr>
            <w:r>
              <w:rPr>
                <w:rFonts w:eastAsia="宋体" w:ascii="Times New Roman" w:hAnsi="Times New Roman"/>
                <w:b/>
                <w:sz w:val="21"/>
              </w:rPr>
              <w:t>一级指标</w:t>
            </w:r>
          </w:p>
        </w:tc>
        <w:tc>
          <w:tcPr>
            <w:tcW w:w="2400" w:type="dxa"/>
          </w:tcPr>
          <w:p>
            <w:pPr>
              <w:jc w:val="center"/>
            </w:pPr>
            <w:r>
              <w:rPr>
                <w:rFonts w:eastAsia="宋体" w:ascii="Times New Roman" w:hAnsi="Times New Roman"/>
                <w:b/>
                <w:sz w:val="21"/>
              </w:rPr>
              <w:t>二级指标</w:t>
            </w:r>
          </w:p>
        </w:tc>
        <w:tc>
          <w:tcPr>
            <w:tcW w:w="5500" w:type="dxa"/>
          </w:tcPr>
          <w:p>
            <w:pPr>
              <w:jc w:val="center"/>
            </w:pPr>
            <w:r>
              <w:rPr>
                <w:rFonts w:eastAsia="宋体" w:ascii="Times New Roman" w:hAnsi="Times New Roman"/>
                <w:b/>
                <w:sz w:val="21"/>
              </w:rPr>
              <w:t>评价内容要点</w:t>
            </w:r>
          </w:p>
        </w:tc>
      </w:tr>
      <w:tr>
        <w:tc>
          <w:tcPr>
            <w:tcW w:w="1500" w:type="dxa"/>
          </w:tcPr>
          <w:p>
            <w:pPr>
              <w:jc w:val="center"/>
            </w:pPr>
            <w:r>
              <w:rPr>
                <w:rFonts w:eastAsia="宋体" w:ascii="Times New Roman" w:hAnsi="Times New Roman"/>
                <w:sz w:val="21"/>
              </w:rPr>
              <w:t>技术性能</w:t>
            </w:r>
          </w:p>
        </w:tc>
        <w:tc>
          <w:tcPr>
            <w:tcW w:w="2400" w:type="dxa"/>
          </w:tcPr>
          <w:p>
            <w:pPr>
              <w:jc w:val="center"/>
            </w:pPr>
            <w:r>
              <w:rPr>
                <w:rFonts w:eastAsia="宋体" w:ascii="Times New Roman" w:hAnsi="Times New Roman"/>
                <w:sz w:val="21"/>
              </w:rPr>
              <w:t>强度性能</w:t>
            </w:r>
          </w:p>
        </w:tc>
        <w:tc>
          <w:tcPr>
            <w:tcW w:w="5500" w:type="dxa"/>
          </w:tcPr>
          <w:p>
            <w:pPr>
              <w:jc w:val="left"/>
            </w:pPr>
            <w:r>
              <w:rPr>
                <w:rFonts w:eastAsia="宋体" w:ascii="Times New Roman" w:hAnsi="Times New Roman"/>
                <w:sz w:val="21"/>
              </w:rPr>
              <w:t>立方体抗压强度、轴心抗压强度是否达到设计强度等级</w:t>
            </w:r>
          </w:p>
        </w:tc>
      </w:tr>
      <w:tr>
        <w:tc>
          <w:tcPr>
            <w:tcW w:w="1500" w:type="dxa"/>
          </w:tcPr>
          <w:p>
            <w:pPr>
              <w:jc w:val="center"/>
            </w:pPr>
            <w:r>
              <w:rPr>
                <w:rFonts w:eastAsia="宋体" w:ascii="Times New Roman" w:hAnsi="Times New Roman"/>
                <w:sz w:val="21"/>
              </w:rPr>
              <w:t>技术性能</w:t>
            </w:r>
          </w:p>
        </w:tc>
        <w:tc>
          <w:tcPr>
            <w:tcW w:w="2400" w:type="dxa"/>
          </w:tcPr>
          <w:p>
            <w:pPr>
              <w:jc w:val="center"/>
            </w:pPr>
            <w:r>
              <w:rPr>
                <w:rFonts w:eastAsia="宋体" w:ascii="Times New Roman" w:hAnsi="Times New Roman"/>
                <w:sz w:val="21"/>
              </w:rPr>
              <w:t>变形性能</w:t>
            </w:r>
          </w:p>
        </w:tc>
        <w:tc>
          <w:tcPr>
            <w:tcW w:w="5500" w:type="dxa"/>
          </w:tcPr>
          <w:p>
            <w:pPr>
              <w:jc w:val="left"/>
            </w:pPr>
            <w:r>
              <w:rPr>
                <w:rFonts w:eastAsia="宋体" w:ascii="Times New Roman" w:hAnsi="Times New Roman"/>
                <w:sz w:val="21"/>
              </w:rPr>
              <w:t>弹性模量、收缩和徐变是否符合规范限值</w:t>
            </w:r>
          </w:p>
        </w:tc>
      </w:tr>
      <w:tr>
        <w:tc>
          <w:tcPr>
            <w:tcW w:w="1500" w:type="dxa"/>
          </w:tcPr>
          <w:p>
            <w:pPr>
              <w:jc w:val="center"/>
            </w:pPr>
            <w:r>
              <w:rPr>
                <w:rFonts w:eastAsia="宋体" w:ascii="Times New Roman" w:hAnsi="Times New Roman"/>
                <w:sz w:val="21"/>
              </w:rPr>
              <w:t>技术性能</w:t>
            </w:r>
          </w:p>
        </w:tc>
        <w:tc>
          <w:tcPr>
            <w:tcW w:w="2400" w:type="dxa"/>
          </w:tcPr>
          <w:p>
            <w:pPr>
              <w:jc w:val="center"/>
            </w:pPr>
            <w:r>
              <w:rPr>
                <w:rFonts w:eastAsia="宋体" w:ascii="Times New Roman" w:hAnsi="Times New Roman"/>
                <w:sz w:val="21"/>
              </w:rPr>
              <w:t>耐久性能</w:t>
            </w:r>
          </w:p>
        </w:tc>
        <w:tc>
          <w:tcPr>
            <w:tcW w:w="5500" w:type="dxa"/>
          </w:tcPr>
          <w:p>
            <w:pPr>
              <w:jc w:val="left"/>
            </w:pPr>
            <w:r>
              <w:rPr>
                <w:rFonts w:eastAsia="宋体" w:ascii="Times New Roman" w:hAnsi="Times New Roman"/>
                <w:sz w:val="21"/>
              </w:rPr>
              <w:t>抗冻性、抗碳化性、抗氯离子渗透性能</w:t>
            </w:r>
          </w:p>
        </w:tc>
      </w:tr>
      <w:tr>
        <w:tc>
          <w:tcPr>
            <w:tcW w:w="1500" w:type="dxa"/>
          </w:tcPr>
          <w:p>
            <w:pPr>
              <w:jc w:val="center"/>
            </w:pPr>
            <w:r>
              <w:rPr>
                <w:rFonts w:eastAsia="宋体" w:ascii="Times New Roman" w:hAnsi="Times New Roman"/>
                <w:sz w:val="21"/>
              </w:rPr>
              <w:t>技术性能</w:t>
            </w:r>
          </w:p>
        </w:tc>
        <w:tc>
          <w:tcPr>
            <w:tcW w:w="2400" w:type="dxa"/>
          </w:tcPr>
          <w:p>
            <w:pPr>
              <w:jc w:val="center"/>
            </w:pPr>
            <w:r>
              <w:rPr>
                <w:rFonts w:eastAsia="宋体" w:ascii="Times New Roman" w:hAnsi="Times New Roman"/>
                <w:sz w:val="21"/>
              </w:rPr>
              <w:t>结构性能</w:t>
            </w:r>
          </w:p>
        </w:tc>
        <w:tc>
          <w:tcPr>
            <w:tcW w:w="5500" w:type="dxa"/>
          </w:tcPr>
          <w:p>
            <w:pPr>
              <w:jc w:val="left"/>
            </w:pPr>
            <w:r>
              <w:rPr>
                <w:rFonts w:eastAsia="宋体" w:ascii="Times New Roman" w:hAnsi="Times New Roman"/>
                <w:sz w:val="21"/>
              </w:rPr>
              <w:t>构件承载力、连接节点可靠性</w:t>
            </w:r>
          </w:p>
        </w:tc>
      </w:tr>
      <w:tr>
        <w:tc>
          <w:tcPr>
            <w:tcW w:w="1500" w:type="dxa"/>
          </w:tcPr>
          <w:p>
            <w:pPr>
              <w:jc w:val="center"/>
            </w:pPr>
            <w:r>
              <w:rPr>
                <w:rFonts w:eastAsia="宋体" w:ascii="Times New Roman" w:hAnsi="Times New Roman"/>
                <w:sz w:val="21"/>
              </w:rPr>
              <w:t>施工适应性</w:t>
            </w:r>
          </w:p>
        </w:tc>
        <w:tc>
          <w:tcPr>
            <w:tcW w:w="2400" w:type="dxa"/>
          </w:tcPr>
          <w:p>
            <w:pPr>
              <w:jc w:val="center"/>
            </w:pPr>
            <w:r>
              <w:rPr>
                <w:rFonts w:eastAsia="宋体" w:ascii="Times New Roman" w:hAnsi="Times New Roman"/>
                <w:sz w:val="21"/>
              </w:rPr>
              <w:t>拌合物工作性</w:t>
            </w:r>
          </w:p>
        </w:tc>
        <w:tc>
          <w:tcPr>
            <w:tcW w:w="5500" w:type="dxa"/>
          </w:tcPr>
          <w:p>
            <w:pPr>
              <w:jc w:val="left"/>
            </w:pPr>
            <w:r>
              <w:rPr>
                <w:rFonts w:eastAsia="宋体" w:ascii="Times New Roman" w:hAnsi="Times New Roman"/>
                <w:sz w:val="21"/>
              </w:rPr>
              <w:t>坍落度经时损失、和易性、稳定性</w:t>
            </w:r>
          </w:p>
        </w:tc>
      </w:tr>
      <w:tr>
        <w:tc>
          <w:tcPr>
            <w:tcW w:w="1500" w:type="dxa"/>
          </w:tcPr>
          <w:p>
            <w:pPr>
              <w:jc w:val="center"/>
            </w:pPr>
            <w:r>
              <w:rPr>
                <w:rFonts w:eastAsia="宋体" w:ascii="Times New Roman" w:hAnsi="Times New Roman"/>
                <w:sz w:val="21"/>
              </w:rPr>
              <w:t>施工适应性</w:t>
            </w:r>
          </w:p>
        </w:tc>
        <w:tc>
          <w:tcPr>
            <w:tcW w:w="2400" w:type="dxa"/>
          </w:tcPr>
          <w:p>
            <w:pPr>
              <w:jc w:val="center"/>
            </w:pPr>
            <w:r>
              <w:rPr>
                <w:rFonts w:eastAsia="宋体" w:ascii="Times New Roman" w:hAnsi="Times New Roman"/>
                <w:sz w:val="21"/>
              </w:rPr>
              <w:t>泵送与浇筑</w:t>
            </w:r>
          </w:p>
        </w:tc>
        <w:tc>
          <w:tcPr>
            <w:tcW w:w="5500" w:type="dxa"/>
          </w:tcPr>
          <w:p>
            <w:pPr>
              <w:jc w:val="left"/>
            </w:pPr>
            <w:r>
              <w:rPr>
                <w:rFonts w:eastAsia="宋体" w:ascii="Times New Roman" w:hAnsi="Times New Roman"/>
                <w:sz w:val="21"/>
              </w:rPr>
              <w:t>泵送阻力、浇筑密实性</w:t>
            </w:r>
          </w:p>
        </w:tc>
      </w:tr>
      <w:tr>
        <w:tc>
          <w:tcPr>
            <w:tcW w:w="1500" w:type="dxa"/>
          </w:tcPr>
          <w:p>
            <w:pPr>
              <w:jc w:val="center"/>
            </w:pPr>
            <w:r>
              <w:rPr>
                <w:rFonts w:eastAsia="宋体" w:ascii="Times New Roman" w:hAnsi="Times New Roman"/>
                <w:sz w:val="21"/>
              </w:rPr>
              <w:t>施工适应性</w:t>
            </w:r>
          </w:p>
        </w:tc>
        <w:tc>
          <w:tcPr>
            <w:tcW w:w="2400" w:type="dxa"/>
          </w:tcPr>
          <w:p>
            <w:pPr>
              <w:jc w:val="center"/>
            </w:pPr>
            <w:r>
              <w:rPr>
                <w:rFonts w:eastAsia="宋体" w:ascii="Times New Roman" w:hAnsi="Times New Roman"/>
                <w:sz w:val="21"/>
              </w:rPr>
              <w:t>养护要求</w:t>
            </w:r>
          </w:p>
        </w:tc>
        <w:tc>
          <w:tcPr>
            <w:tcW w:w="5500" w:type="dxa"/>
          </w:tcPr>
          <w:p>
            <w:pPr>
              <w:jc w:val="left"/>
            </w:pPr>
            <w:r>
              <w:rPr>
                <w:rFonts w:eastAsia="宋体" w:ascii="Times New Roman" w:hAnsi="Times New Roman"/>
                <w:sz w:val="21"/>
              </w:rPr>
              <w:t>蒸汽养护制度、湿养护时间</w:t>
            </w:r>
          </w:p>
        </w:tc>
      </w:tr>
      <w:tr>
        <w:tc>
          <w:tcPr>
            <w:tcW w:w="1500" w:type="dxa"/>
          </w:tcPr>
          <w:p>
            <w:pPr>
              <w:jc w:val="center"/>
            </w:pPr>
            <w:r>
              <w:rPr>
                <w:rFonts w:eastAsia="宋体" w:ascii="Times New Roman" w:hAnsi="Times New Roman"/>
                <w:sz w:val="21"/>
              </w:rPr>
              <w:t>施工适应性</w:t>
            </w:r>
          </w:p>
        </w:tc>
        <w:tc>
          <w:tcPr>
            <w:tcW w:w="2400" w:type="dxa"/>
          </w:tcPr>
          <w:p>
            <w:pPr>
              <w:jc w:val="center"/>
            </w:pPr>
            <w:r>
              <w:rPr>
                <w:rFonts w:eastAsia="宋体" w:ascii="Times New Roman" w:hAnsi="Times New Roman"/>
                <w:sz w:val="21"/>
              </w:rPr>
              <w:t>构件生产效率</w:t>
            </w:r>
          </w:p>
        </w:tc>
        <w:tc>
          <w:tcPr>
            <w:tcW w:w="5500" w:type="dxa"/>
          </w:tcPr>
          <w:p>
            <w:pPr>
              <w:jc w:val="left"/>
            </w:pPr>
            <w:r>
              <w:rPr>
                <w:rFonts w:eastAsia="宋体" w:ascii="Times New Roman" w:hAnsi="Times New Roman"/>
                <w:sz w:val="21"/>
              </w:rPr>
              <w:t>早期强度、模具周转率</w:t>
            </w:r>
          </w:p>
        </w:tc>
      </w:tr>
      <w:tr>
        <w:tc>
          <w:tcPr>
            <w:tcW w:w="1500" w:type="dxa"/>
          </w:tcPr>
          <w:p>
            <w:pPr>
              <w:jc w:val="center"/>
            </w:pPr>
            <w:r>
              <w:rPr>
                <w:rFonts w:eastAsia="宋体" w:ascii="Times New Roman" w:hAnsi="Times New Roman"/>
                <w:sz w:val="21"/>
              </w:rPr>
              <w:t>经济与环境效益</w:t>
            </w:r>
          </w:p>
        </w:tc>
        <w:tc>
          <w:tcPr>
            <w:tcW w:w="2400" w:type="dxa"/>
          </w:tcPr>
          <w:p>
            <w:pPr>
              <w:jc w:val="center"/>
            </w:pPr>
            <w:r>
              <w:rPr>
                <w:rFonts w:eastAsia="宋体" w:ascii="Times New Roman" w:hAnsi="Times New Roman"/>
                <w:sz w:val="21"/>
              </w:rPr>
              <w:t>材料成本</w:t>
            </w:r>
          </w:p>
        </w:tc>
        <w:tc>
          <w:tcPr>
            <w:tcW w:w="5500" w:type="dxa"/>
          </w:tcPr>
          <w:p>
            <w:pPr>
              <w:jc w:val="left"/>
            </w:pPr>
            <w:r>
              <w:rPr>
                <w:rFonts w:eastAsia="宋体" w:ascii="Times New Roman" w:hAnsi="Times New Roman"/>
                <w:sz w:val="21"/>
              </w:rPr>
              <w:t>骨料成本、加工成本、运输成本</w:t>
            </w:r>
          </w:p>
        </w:tc>
      </w:tr>
      <w:tr>
        <w:tc>
          <w:tcPr>
            <w:tcW w:w="1500" w:type="dxa"/>
          </w:tcPr>
          <w:p>
            <w:pPr>
              <w:jc w:val="center"/>
            </w:pPr>
            <w:r>
              <w:rPr>
                <w:rFonts w:eastAsia="宋体" w:ascii="Times New Roman" w:hAnsi="Times New Roman"/>
                <w:sz w:val="21"/>
              </w:rPr>
              <w:t>经济与环境效益</w:t>
            </w:r>
          </w:p>
        </w:tc>
        <w:tc>
          <w:tcPr>
            <w:tcW w:w="2400" w:type="dxa"/>
          </w:tcPr>
          <w:p>
            <w:pPr>
              <w:jc w:val="center"/>
            </w:pPr>
            <w:r>
              <w:rPr>
                <w:rFonts w:eastAsia="宋体" w:ascii="Times New Roman" w:hAnsi="Times New Roman"/>
                <w:sz w:val="21"/>
              </w:rPr>
              <w:t>固废消纳量</w:t>
            </w:r>
          </w:p>
        </w:tc>
        <w:tc>
          <w:tcPr>
            <w:tcW w:w="5500" w:type="dxa"/>
          </w:tcPr>
          <w:p>
            <w:pPr>
              <w:jc w:val="left"/>
            </w:pPr>
            <w:r>
              <w:rPr>
                <w:rFonts w:eastAsia="宋体" w:ascii="Times New Roman" w:hAnsi="Times New Roman"/>
                <w:sz w:val="21"/>
              </w:rPr>
              <w:t>单位混凝土消纳建筑固废量</w:t>
            </w:r>
          </w:p>
        </w:tc>
      </w:tr>
      <w:tr>
        <w:tc>
          <w:tcPr>
            <w:tcW w:w="1500" w:type="dxa"/>
          </w:tcPr>
          <w:p>
            <w:pPr>
              <w:jc w:val="center"/>
            </w:pPr>
            <w:r>
              <w:rPr>
                <w:rFonts w:eastAsia="宋体" w:ascii="Times New Roman" w:hAnsi="Times New Roman"/>
                <w:sz w:val="21"/>
              </w:rPr>
              <w:t>经济与环境效益</w:t>
            </w:r>
          </w:p>
        </w:tc>
        <w:tc>
          <w:tcPr>
            <w:tcW w:w="2400" w:type="dxa"/>
          </w:tcPr>
          <w:p>
            <w:pPr>
              <w:jc w:val="center"/>
            </w:pPr>
            <w:r>
              <w:rPr>
                <w:rFonts w:eastAsia="宋体" w:ascii="Times New Roman" w:hAnsi="Times New Roman"/>
                <w:sz w:val="21"/>
              </w:rPr>
              <w:t>碳排放降低量</w:t>
            </w:r>
          </w:p>
        </w:tc>
        <w:tc>
          <w:tcPr>
            <w:tcW w:w="5500" w:type="dxa"/>
          </w:tcPr>
          <w:p>
            <w:pPr>
              <w:jc w:val="left"/>
            </w:pPr>
            <w:r>
              <w:rPr>
                <w:rFonts w:eastAsia="宋体" w:ascii="Times New Roman" w:hAnsi="Times New Roman"/>
                <w:sz w:val="21"/>
              </w:rPr>
              <w:t>替代天然骨料带来的隐含碳减排</w:t>
            </w:r>
          </w:p>
        </w:tc>
      </w:tr>
      <w:tr>
        <w:tc>
          <w:tcPr>
            <w:tcW w:w="1500" w:type="dxa"/>
          </w:tcPr>
          <w:p>
            <w:pPr>
              <w:jc w:val="center"/>
            </w:pPr>
            <w:r>
              <w:rPr>
                <w:rFonts w:eastAsia="宋体" w:ascii="Times New Roman" w:hAnsi="Times New Roman"/>
                <w:sz w:val="21"/>
              </w:rPr>
              <w:t>经济与环境效益</w:t>
            </w:r>
          </w:p>
        </w:tc>
        <w:tc>
          <w:tcPr>
            <w:tcW w:w="2400" w:type="dxa"/>
          </w:tcPr>
          <w:p>
            <w:pPr>
              <w:jc w:val="center"/>
            </w:pPr>
            <w:r>
              <w:rPr>
                <w:rFonts w:eastAsia="宋体" w:ascii="Times New Roman" w:hAnsi="Times New Roman"/>
                <w:sz w:val="21"/>
              </w:rPr>
              <w:t>综合经济性</w:t>
            </w:r>
          </w:p>
        </w:tc>
        <w:tc>
          <w:tcPr>
            <w:tcW w:w="5500" w:type="dxa"/>
          </w:tcPr>
          <w:p>
            <w:pPr>
              <w:jc w:val="left"/>
            </w:pPr>
            <w:r>
              <w:rPr>
                <w:rFonts w:eastAsia="宋体" w:ascii="Times New Roman" w:hAnsi="Times New Roman"/>
                <w:sz w:val="21"/>
              </w:rPr>
              <w:t>考虑补贴与外部性的综合经济性</w:t>
            </w:r>
          </w:p>
        </w:tc>
      </w:tr>
    </w:tbl>
    <w:p w14:paraId="94EE7F2A">
      <w:pPr>
        <w:keepNext/>
        <w:keepLines/>
        <w:spacing w:line="360" w:lineRule="auto"/>
        <w:rPr>
          <w:rFonts w:hint="eastAsia" w:eastAsia="黑体"/>
          <w:color w:val="000000"/>
          <w:sz w:val="24"/>
        </w:rPr>
      </w:pPr>
      <w:r>
        <w:rPr>
          <w:rFonts w:hint="eastAsia" w:eastAsia="黑体" w:ascii="黑体" w:hAnsi="黑体"/>
          <w:color w:val="000000"/>
          <w:sz w:val="24"/>
          <w:szCs w:val="24"/>
        </w:rPr>
        <w:t xml:space="preserve">4.1.4  评价指标权重与评价方法的确定</w:t>
      </w:r>
    </w:p>
    <w:p w14:paraId="33C68CC9">
      <w:pPr>
        <w:spacing w:line="360" w:lineRule="auto"/>
        <w:ind w:firstLine="480"/>
        <w:rPr>
          <w:rFonts w:hint="eastAsia"/>
          <w:color w:val="000000"/>
          <w:sz w:val="24"/>
        </w:rPr>
      </w:pPr>
      <w:r>
        <w:rPr>
          <w:rFonts w:hint="eastAsia" w:eastAsia="宋体" w:ascii="宋体" w:hAnsi="宋体"/>
          <w:color w:val="000000"/>
          <w:sz w:val="24"/>
          <w:szCs w:val="24"/>
        </w:rPr>
        <w:t>在多指标评价体系中，各指标对评价结果的影响程度并不相同，需要通过一定的方法确定指标权重。常用的权重确定方法包括专家调查法、层次分析法和熵权法等。专家调查法依靠领域专家的经验判断确定权重，操作简便但主观性较强；层次分析法通过构造判断矩阵进行定量计算，能够在一定程度上减少主观随意性，是工程评价中应用较广的方法；熵权法则根据指标数据的离散程度客观确定权重，适用于有充足实测数据的情形。</w:t>
      </w:r>
    </w:p>
    <w:p w14:paraId="9C67792A">
      <w:pPr>
        <w:spacing w:line="360" w:lineRule="auto"/>
        <w:ind w:firstLine="480"/>
        <w:rPr>
          <w:rFonts w:hint="eastAsia"/>
          <w:color w:val="000000"/>
          <w:sz w:val="24"/>
        </w:rPr>
      </w:pPr>
      <w:r>
        <w:rPr>
          <w:rFonts w:hint="eastAsia" w:eastAsia="宋体" w:ascii="宋体" w:hAnsi="宋体"/>
          <w:color w:val="000000"/>
          <w:sz w:val="24"/>
          <w:szCs w:val="24"/>
        </w:rPr>
        <w:t>考虑到本研究依托的工程案例缺乏足够的实测数据，本文采用层次分析法与专家调查相结合的方式确定权重。具体做法是：先通过层次分析法建立判断矩阵，计算出各指标的相对权重；再结合专家意见对权重进行修正，使权重既能反映指标间的相对重要性，又符合工程实际经验。需要说明的是，权重取值会随工程条件、评价目的和关注重点的不同而变化，因此在实际应用时应结合具体项目的特点进行调整，不宜直接套用本文的权重结果。</w:t>
      </w:r>
    </w:p>
    <w:p w14:paraId="C0A1741C">
      <w:pPr>
        <w:spacing w:line="360" w:lineRule="auto"/>
        <w:ind w:firstLine="480"/>
        <w:rPr>
          <w:rFonts w:hint="eastAsia"/>
          <w:color w:val="000000"/>
          <w:sz w:val="24"/>
        </w:rPr>
      </w:pPr>
      <w:r>
        <w:rPr>
          <w:rFonts w:hint="eastAsia" w:eastAsia="宋体" w:ascii="宋体" w:hAnsi="宋体"/>
          <w:color w:val="000000"/>
          <w:sz w:val="24"/>
          <w:szCs w:val="24"/>
        </w:rPr>
        <w:t>评价等级的划分方面，本文将评价结果划分为"适用""基本适用""不适用"三个等级，分别对应综合评价得分的不同区间。得分处于"适用"区间的，表明再生混凝土在该项目条件下应用效果良好，可以推广；处于"基本适用"区间的，表明可以应用但需要采取相应的技术措施加以控制；处于"不适用"区间的，则表明当前条件下不宜采用，应调整技术路线或改善应用条件后再行评估。</w:t>
      </w:r>
    </w:p>
    <w:p w14:paraId="E8CF9BCC">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4．2  技术性能评价</w:t>
      </w:r>
    </w:p>
    <w:p w14:paraId="8EE2FDE1">
      <w:pPr>
        <w:spacing w:line="360" w:lineRule="auto"/>
        <w:ind w:firstLine="480"/>
        <w:rPr>
          <w:rFonts w:hint="eastAsia"/>
          <w:color w:val="000000"/>
          <w:sz w:val="24"/>
        </w:rPr>
      </w:pPr>
      <w:r>
        <w:rPr>
          <w:rFonts w:hint="eastAsia" w:eastAsia="宋体" w:ascii="宋体" w:hAnsi="宋体"/>
          <w:color w:val="000000"/>
          <w:sz w:val="24"/>
          <w:szCs w:val="24"/>
        </w:rPr>
        <w:t>强度性能方面，再生混凝土的抗压强度能否满足设计要求是最基本的判断依据。从已有的试验研究结果看，在取代率不超过30%的条件下，通过合理的配合比设计，再生混凝土的抗压强度可以达到与普通混凝土相当的水平，强度随取代率提高而下降的幅度在可控范围内[3]。本项目的做法是采用30%的取代率，这一取值处于研究和工程实践中相对稳妥的区间，既能够实现一定规模的固废消纳，又不至于对强度造成过大影响。据公开报道，项目经计算各项指标均满足国家标准要求[4]。</w:t>
      </w:r>
    </w:p>
    <w:p w14:paraId="AD7BE56C">
      <w:pPr>
        <w:spacing w:line="360" w:lineRule="auto"/>
        <w:ind w:firstLine="480"/>
        <w:rPr>
          <w:rFonts w:hint="eastAsia"/>
          <w:color w:val="000000"/>
          <w:sz w:val="24"/>
        </w:rPr>
      </w:pPr>
      <w:r>
        <w:rPr>
          <w:rFonts w:hint="eastAsia" w:eastAsia="宋体" w:ascii="宋体" w:hAnsi="宋体"/>
          <w:color w:val="000000"/>
          <w:sz w:val="24"/>
          <w:szCs w:val="24"/>
        </w:rPr>
        <w:t>变形性能方面，再生混凝土弹性模量偏低是一个客观存在的特点，但在结构设计中这一特点可以被合理利用。项目的技术路线中明确指出，30%取代率的再生混凝土在保障结构安全的同时，利用其弹性模量略低的特点优化了结构整体刚度分布，改善了地震作用下的结构内力分配[4]。从抗震概念设计的角度看，结构刚度适当降低会使结构自振周期延长，从而在多数情况下减小地震作用，这与传统的"刚度越大越安全"的直观认识并不矛盾，关键在于刚度分布要均匀、规则，避免出现薄弱层。</w:t>
      </w:r>
    </w:p>
    <w:p w14:paraId="23992170">
      <w:pPr>
        <w:spacing w:line="360" w:lineRule="auto"/>
        <w:ind w:firstLine="480"/>
        <w:rPr>
          <w:rFonts w:hint="eastAsia"/>
          <w:color w:val="000000"/>
          <w:sz w:val="24"/>
        </w:rPr>
      </w:pPr>
      <w:r>
        <w:rPr>
          <w:rFonts w:hint="eastAsia" w:eastAsia="宋体" w:ascii="宋体" w:hAnsi="宋体"/>
          <w:color w:val="000000"/>
          <w:sz w:val="24"/>
          <w:szCs w:val="24"/>
        </w:rPr>
        <w:t>耐久性能方面，需要区分室内干燥环境和室外潮湿、冻融环境。在室内干燥环境中，再生混凝土的耐久性风险相对可控；在室外或地下环境中，由于再生骨料的多孔隙结构会提高混凝土的渗透性，抗冻性和抗氯离子渗透性可能成为薄弱环节[3]。对装配式住宅而言，外墙挂板、阳台板和空调板等构件直接暴露在室外，采用再生混凝土时应适当降低水胶比、增加矿物掺合料掺量并加强蒸汽养护制度，必要时还应在构件外表面增设防护层。</w:t>
      </w:r>
    </w:p>
    <w:p w14:paraId="4BCB67F4">
      <w:pPr>
        <w:spacing w:line="360" w:lineRule="auto"/>
        <w:ind w:firstLine="480"/>
        <w:rPr>
          <w:rFonts w:hint="eastAsia"/>
          <w:color w:val="000000"/>
          <w:sz w:val="24"/>
        </w:rPr>
      </w:pPr>
      <w:r>
        <w:rPr>
          <w:rFonts w:hint="eastAsia" w:eastAsia="宋体" w:ascii="宋体" w:hAnsi="宋体"/>
          <w:color w:val="000000"/>
          <w:sz w:val="24"/>
          <w:szCs w:val="24"/>
        </w:rPr>
        <w:t>结构性能方面，已有的拟静力试验表明，再生混凝土剪力墙仍具有较高的承载能力和较好的滞回特性，掺入聚丙烯纤维后力学性能进一步提高；同时试验也发现，装配式结构的洞口处和墙柱连接处是薄弱部位，地震作用下洞口处裂缝呈X形分布，墙柱连接处几乎形成贯通裂缝[9]。这一结果对装配式住宅的设计有两方面的提示：一是洞口部位和墙柱连接部位需要加强构造措施；二是再生混凝土用于装配式构件时，构件之间的连接节点不宜简单地套用普通混凝土的经验，应通过足尺试验验证。</w:t>
      </w:r>
    </w:p>
    <w:p w14:paraId="58031EE7">
      <w:pPr>
        <w:spacing w:line="360" w:lineRule="auto"/>
        <w:ind w:firstLine="480"/>
        <w:rPr>
          <w:rFonts w:hint="eastAsia"/>
          <w:color w:val="000000"/>
          <w:sz w:val="24"/>
        </w:rPr>
      </w:pPr>
      <w:r>
        <w:rPr>
          <w:rFonts w:hint="eastAsia" w:eastAsia="宋体" w:ascii="宋体" w:hAnsi="宋体"/>
          <w:color w:val="000000"/>
          <w:sz w:val="24"/>
          <w:szCs w:val="24"/>
        </w:rPr>
        <w:t>综合上述四个方面的分析，本文认为：在取代率为30%的条件下，再生混凝土用于装配式住宅的竖向承重构件和水平构件，在技术性能上是可行的，前提是配合比设计、骨料预处理和养护制度都要落实到位；但对于直接暴露于室外环境的构件和灌浆套筒连接节点，应采取更为严格的措施，或者暂时限制其应用范围。</w:t>
      </w:r>
    </w:p>
    <w:p w14:paraId="EBD74A97">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4．3  施工适应性评价</w:t>
      </w:r>
    </w:p>
    <w:p w14:paraId="FD1A2D73">
      <w:pPr>
        <w:spacing w:line="360" w:lineRule="auto"/>
        <w:ind w:firstLine="480"/>
        <w:rPr>
          <w:rFonts w:hint="eastAsia"/>
          <w:color w:val="000000"/>
          <w:sz w:val="24"/>
        </w:rPr>
      </w:pPr>
      <w:r>
        <w:rPr>
          <w:rFonts w:hint="eastAsia" w:eastAsia="宋体" w:ascii="宋体" w:hAnsi="宋体"/>
          <w:color w:val="000000"/>
          <w:sz w:val="24"/>
          <w:szCs w:val="24"/>
        </w:rPr>
        <w:t>拌合物工作性方面，再生骨料吸水率高带来的最大问题是坍落度经时损失偏大。在预拌混凝土的生产和运输过程中，从出机到浇筑往往需要几十分钟甚至更长时间，如果坍落度损失过快，现场可能出现泵送困难，甚至需要二次加水，而二次加水是混凝土施工中的大忌。这一问题在夏季高温施工时更加突出。可行的应对办法包括：采用缓凝型外加剂延缓坍落度损失、控制再生骨料的预湿程度、缩短运输时间以及在现场设置坍落度检测环节并规定超限处置办法。</w:t>
      </w:r>
    </w:p>
    <w:p w14:paraId="99E16243">
      <w:pPr>
        <w:spacing w:line="360" w:lineRule="auto"/>
        <w:ind w:firstLine="480"/>
        <w:rPr>
          <w:rFonts w:hint="eastAsia"/>
          <w:color w:val="000000"/>
          <w:sz w:val="24"/>
        </w:rPr>
      </w:pPr>
      <w:r>
        <w:rPr>
          <w:rFonts w:hint="eastAsia" w:eastAsia="宋体" w:ascii="宋体" w:hAnsi="宋体"/>
          <w:color w:val="000000"/>
          <w:sz w:val="24"/>
          <w:szCs w:val="24"/>
        </w:rPr>
        <w:t>泵送与浇筑性能方面，再生混凝土拌合物粘性较大的特点会使泵送阻力增大，对泵送设备的要求相应提高。施工组织时应适当降低泵送速度、选用较大直径的输送管，并避免长距离水平输送。浇筑时，剪力墙与楼板交接处、门窗洞口周边等部位容易出现蜂窝麻面，需要在模板上预留观察口，浇筑过程中安排专人敲击检查，发现问题及时处理。</w:t>
      </w:r>
    </w:p>
    <w:p w14:paraId="4886EC82">
      <w:pPr>
        <w:spacing w:line="360" w:lineRule="auto"/>
        <w:ind w:firstLine="480"/>
        <w:rPr>
          <w:rFonts w:hint="eastAsia"/>
          <w:color w:val="000000"/>
          <w:sz w:val="24"/>
        </w:rPr>
      </w:pPr>
      <w:r>
        <w:rPr>
          <w:rFonts w:hint="eastAsia" w:eastAsia="宋体" w:ascii="宋体" w:hAnsi="宋体"/>
          <w:color w:val="000000"/>
          <w:sz w:val="24"/>
          <w:szCs w:val="24"/>
        </w:rPr>
        <w:t>养护要求方面，再生混凝土的收缩大于普通混凝土，早期养护的重要性高于普通混凝土。对预制构件而言，工厂通常采用蒸汽养护，蒸汽养护制度的升温速率、恒温温度和恒温时间需要根据再生混凝土的特点进行调整，升温过快容易在构件内部产生温度应力，导致早期裂缝。对现浇部位而言，应及时覆盖保湿，养护时间宜适当延长。</w:t>
      </w:r>
    </w:p>
    <w:p w14:paraId="2B3BD1A8">
      <w:pPr>
        <w:spacing w:line="360" w:lineRule="auto"/>
        <w:ind w:firstLine="480"/>
        <w:rPr>
          <w:rFonts w:hint="eastAsia"/>
          <w:color w:val="000000"/>
          <w:sz w:val="24"/>
        </w:rPr>
      </w:pPr>
      <w:r>
        <w:rPr>
          <w:rFonts w:hint="eastAsia" w:eastAsia="宋体" w:ascii="宋体" w:hAnsi="宋体"/>
          <w:color w:val="000000"/>
          <w:sz w:val="24"/>
          <w:szCs w:val="24"/>
        </w:rPr>
        <w:t>构件生产效率方面，装配式构件生产是流水线作业，模具周转速度直接影响产能。若再生混凝土的早期强度增长偏慢，构件达到脱模强度的时间延长，就会降低模具周转效率，进而影响供应节奏。解决这一问题需要从两方面入手：一是在配合比设计时考虑早期强度的要求，适当提高早期强度；二是合理安排生产计划，为再生混凝土构件预留更长的养护时间。</w:t>
      </w:r>
    </w:p>
    <w:p w14:paraId="0BA988D9">
      <w:pPr>
        <w:spacing w:line="360" w:lineRule="auto"/>
        <w:ind w:firstLine="480"/>
        <w:rPr>
          <w:rFonts w:hint="eastAsia"/>
          <w:color w:val="000000"/>
          <w:sz w:val="24"/>
        </w:rPr>
      </w:pPr>
      <w:r>
        <w:rPr>
          <w:rFonts w:hint="eastAsia" w:eastAsia="宋体" w:ascii="宋体" w:hAnsi="宋体"/>
          <w:color w:val="000000"/>
          <w:sz w:val="24"/>
          <w:szCs w:val="24"/>
        </w:rPr>
        <w:t>需要说明的是，本项目为现浇剪力墙结构，上述与预制构件生产相关的评价内容属于基于材料性能规律的延伸分析，而非该项目已实施的工艺。</w:t>
      </w:r>
    </w:p>
    <w:p w14:paraId="C98FF626">
      <w:pPr>
        <w:keepNext/>
        <w:keepLines/>
        <w:spacing w:line="360" w:lineRule="auto"/>
        <w:rPr>
          <w:rFonts w:hint="eastAsia" w:eastAsia="黑体"/>
          <w:color w:val="000000"/>
          <w:sz w:val="24"/>
        </w:rPr>
      </w:pPr>
      <w:r>
        <w:rPr>
          <w:rFonts w:hint="eastAsia" w:eastAsia="黑体" w:ascii="黑体" w:hAnsi="黑体"/>
          <w:color w:val="000000"/>
          <w:sz w:val="24"/>
          <w:szCs w:val="24"/>
        </w:rPr>
        <w:t xml:space="preserve">4.3.5  施工适应性的细化分析</w:t>
      </w:r>
    </w:p>
    <w:p w14:paraId="68D87CB8">
      <w:pPr>
        <w:spacing w:line="360" w:lineRule="auto"/>
        <w:ind w:firstLine="480"/>
        <w:rPr>
          <w:rFonts w:hint="eastAsia"/>
          <w:color w:val="000000"/>
          <w:sz w:val="24"/>
        </w:rPr>
      </w:pPr>
      <w:r>
        <w:rPr>
          <w:rFonts w:hint="eastAsia" w:eastAsia="宋体" w:ascii="宋体" w:hAnsi="宋体"/>
          <w:color w:val="000000"/>
          <w:sz w:val="24"/>
          <w:szCs w:val="24"/>
        </w:rPr>
        <w:t>施工适应性是再生混凝土能否在工程中被顺利采用的重要前提，其影响贯穿构件生产、运输、浇筑和养护的全过程。在构件生产环节，再生混凝土的早期强度发展规律直接影响模具的周转效率。若早期强度偏低，构件达到脱模强度的时间延长，会降低生产效率，增加生产成本。对此，可通过调整胶凝材料用量、掺加早强组分或采用蒸汽养护等方式加以改善。</w:t>
      </w:r>
    </w:p>
    <w:p w14:paraId="677F4F0C">
      <w:pPr>
        <w:spacing w:line="360" w:lineRule="auto"/>
        <w:ind w:firstLine="480"/>
        <w:rPr>
          <w:rFonts w:hint="eastAsia"/>
          <w:color w:val="000000"/>
          <w:sz w:val="24"/>
        </w:rPr>
      </w:pPr>
      <w:r>
        <w:rPr>
          <w:rFonts w:hint="eastAsia" w:eastAsia="宋体" w:ascii="宋体" w:hAnsi="宋体"/>
          <w:color w:val="000000"/>
          <w:sz w:val="24"/>
          <w:szCs w:val="24"/>
        </w:rPr>
        <w:t>在运输环节，再生混凝土拌合物的坍落度经时损失较普通混凝土偏大，运输时间过长会导致到场后工作性下降，影响浇筑质量。因此，需要合理规划运输路线和时间，并在到场后对坍落度进行检测，必要时通过二次添加外加剂的方式进行调整，严禁随意加水。</w:t>
      </w:r>
    </w:p>
    <w:p w14:paraId="62CDEE9B">
      <w:pPr>
        <w:spacing w:line="360" w:lineRule="auto"/>
        <w:ind w:firstLine="480"/>
        <w:rPr>
          <w:rFonts w:hint="eastAsia"/>
          <w:color w:val="000000"/>
          <w:sz w:val="24"/>
        </w:rPr>
      </w:pPr>
      <w:r>
        <w:rPr>
          <w:rFonts w:hint="eastAsia" w:eastAsia="宋体" w:ascii="宋体" w:hAnsi="宋体"/>
          <w:color w:val="000000"/>
          <w:sz w:val="24"/>
          <w:szCs w:val="24"/>
        </w:rPr>
        <w:t>在浇筑环节，再生混凝土的粘性较大，流动性和填充性略差，浇筑时需要适当延长振捣时间，确保混凝土密实，特别是钢筋密集部位和构件边角部位。同时，要避免过振导致骨料下沉和浆体上浮，影响构件的均匀性。</w:t>
      </w:r>
    </w:p>
    <w:p w14:paraId="1D28C479">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4．4  经济与环境效益评价</w:t>
      </w:r>
    </w:p>
    <w:p w14:paraId="9E02C26A">
      <w:pPr>
        <w:spacing w:line="360" w:lineRule="auto"/>
        <w:ind w:firstLine="480"/>
        <w:rPr>
          <w:rFonts w:hint="eastAsia"/>
          <w:color w:val="000000"/>
          <w:sz w:val="24"/>
        </w:rPr>
      </w:pPr>
      <w:r>
        <w:rPr>
          <w:rFonts w:hint="eastAsia" w:eastAsia="宋体" w:ascii="宋体" w:hAnsi="宋体"/>
          <w:color w:val="000000"/>
          <w:sz w:val="24"/>
          <w:szCs w:val="24"/>
        </w:rPr>
        <w:t>环境效益方面，再生混凝土最直接的环境贡献是消纳建筑固废和减少天然骨料开采。以本项目10679 m³的再生混凝土用量估算，按每立方米混凝土中再生粗骨料占粗骨料总量的30%计算，所消纳的废弃混凝土量相当可观；相应地，同等数量的天然碎石开采量得以减少，矿山开采、破碎和运输环节的能耗与排放也随之降低[4]。此外，建筑废弃物的外运和填埋量减少，也节约了土地资源和运输能耗。</w:t>
      </w:r>
    </w:p>
    <w:p w14:paraId="985D98B7">
      <w:pPr>
        <w:spacing w:line="360" w:lineRule="auto"/>
        <w:ind w:firstLine="480"/>
        <w:rPr>
          <w:rFonts w:hint="eastAsia"/>
          <w:color w:val="000000"/>
          <w:sz w:val="24"/>
        </w:rPr>
      </w:pPr>
      <w:r>
        <w:rPr>
          <w:rFonts w:hint="eastAsia" w:eastAsia="宋体" w:ascii="宋体" w:hAnsi="宋体"/>
          <w:color w:val="000000"/>
          <w:sz w:val="24"/>
          <w:szCs w:val="24"/>
        </w:rPr>
        <w:t>环境效益的另一方面体现在碳排放上。混凝土的碳排放主要来自水泥生产和骨料开采运输两个环节。再生骨料替代天然骨料主要减少的是开采和运输环节，对水泥用量本身的直接影响较小；但如果配合比中掺入了粉煤灰、矿渣粉等矿物掺合料替代部分水泥，则可以进一步降低混凝土的隐含碳。这也是当前再生混凝土研究中把再生超高性能混凝土和低碳设计作为重点方向的原因之一[3]。</w:t>
      </w:r>
    </w:p>
    <w:p w14:paraId="E9CC1643">
      <w:pPr>
        <w:spacing w:line="360" w:lineRule="auto"/>
        <w:ind w:firstLine="480"/>
        <w:rPr>
          <w:rFonts w:hint="eastAsia"/>
          <w:color w:val="000000"/>
          <w:sz w:val="24"/>
        </w:rPr>
      </w:pPr>
      <w:r>
        <w:rPr>
          <w:rFonts w:hint="eastAsia" w:eastAsia="宋体" w:ascii="宋体" w:hAnsi="宋体"/>
          <w:color w:val="000000"/>
          <w:sz w:val="24"/>
          <w:szCs w:val="24"/>
        </w:rPr>
        <w:t>经济性方面，需要分情况讨论。当项目所在地天然砂石供应紧张、砂石价格较高，或者建筑废弃物外运处置费用较高时，再生混凝土具有一定的成本优势。反之，当天然砂石价格较低且再生骨料需要长距离运输时，再生混凝土的成本优势会被运输费用抵消。此外，再生骨料的加工需要破碎、筛分和分级设备，加工成本是再生混凝土成本构成中的重要部分。地方政府对建筑废弃物资源化利用往往有补贴或政策支持，这部分政策红利也会对经济性产生明显影响[15][16]。</w:t>
      </w:r>
    </w:p>
    <w:p w14:paraId="9DD76305">
      <w:pPr>
        <w:spacing w:line="360" w:lineRule="auto"/>
        <w:ind w:firstLine="480"/>
        <w:rPr>
          <w:rFonts w:hint="eastAsia"/>
          <w:color w:val="000000"/>
          <w:sz w:val="24"/>
        </w:rPr>
      </w:pPr>
      <w:r>
        <w:rPr>
          <w:rFonts w:hint="eastAsia" w:eastAsia="宋体" w:ascii="宋体" w:hAnsi="宋体"/>
          <w:color w:val="000000"/>
          <w:sz w:val="24"/>
          <w:szCs w:val="24"/>
        </w:rPr>
        <w:t>综合来看，再生混凝土在环境效益上具有确定性，在经济性上具有条件性。对具体项目而言，是否采用再生混凝土，需要结合当地的砂石价格、固废处置政策、运输距离和补贴政策进行综合测算，不能一概而论。</w:t>
      </w:r>
    </w:p>
    <w:p w14:paraId="BCE969AA">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4．5  评价结果分析</w:t>
      </w:r>
    </w:p>
    <w:p w14:paraId="429C0E0F">
      <w:pPr>
        <w:spacing w:line="360" w:lineRule="auto"/>
        <w:ind w:firstLine="480"/>
        <w:rPr>
          <w:rFonts w:hint="eastAsia"/>
          <w:color w:val="000000"/>
          <w:sz w:val="24"/>
        </w:rPr>
      </w:pPr>
      <w:r>
        <w:rPr>
          <w:rFonts w:hint="eastAsia" w:eastAsia="宋体" w:ascii="宋体" w:hAnsi="宋体"/>
          <w:color w:val="000000"/>
          <w:sz w:val="24"/>
          <w:szCs w:val="24"/>
        </w:rPr>
        <w:t>把三个维度的评价结果汇总起来看，可以得到以下几点认识。</w:t>
      </w:r>
    </w:p>
    <w:p w14:paraId="95BEDAA8">
      <w:pPr>
        <w:spacing w:line="360" w:lineRule="auto"/>
        <w:ind w:firstLine="480"/>
        <w:rPr>
          <w:rFonts w:hint="eastAsia"/>
          <w:color w:val="000000"/>
          <w:sz w:val="24"/>
        </w:rPr>
      </w:pPr>
      <w:r>
        <w:rPr>
          <w:rFonts w:hint="eastAsia" w:eastAsia="宋体" w:ascii="宋体" w:hAnsi="宋体"/>
          <w:color w:val="000000"/>
          <w:sz w:val="24"/>
          <w:szCs w:val="24"/>
        </w:rPr>
        <w:t>第一，技术可行性已经得到工程验证。百米级高层建筑采用30%取代率的再生混凝土并完成主体结构封顶，说明再生混凝土在结构工程中应用的技术门槛已经被跨越，后续推广的主要障碍不再是"能不能用"，而是"怎么用得更稳、更省"。</w:t>
      </w:r>
    </w:p>
    <w:p w14:paraId="47E81194">
      <w:pPr>
        <w:spacing w:line="360" w:lineRule="auto"/>
        <w:ind w:firstLine="480"/>
        <w:rPr>
          <w:rFonts w:hint="eastAsia"/>
          <w:color w:val="000000"/>
          <w:sz w:val="24"/>
        </w:rPr>
      </w:pPr>
      <w:r>
        <w:rPr>
          <w:rFonts w:hint="eastAsia" w:eastAsia="宋体" w:ascii="宋体" w:hAnsi="宋体"/>
          <w:color w:val="000000"/>
          <w:sz w:val="24"/>
          <w:szCs w:val="24"/>
        </w:rPr>
        <w:t>第二，施工适应性是当前最主要的制约因素。再生骨料品质波动大、拌合物工作性受含水率影响明显、早期强度增长与模具周转存在矛盾，这些问题都不是材料本身的性能缺陷，而是工程组织和过程控制问题，可以通过完善工艺规程和加强过程管理加以解决。</w:t>
      </w:r>
    </w:p>
    <w:p w14:paraId="3AD55F94">
      <w:pPr>
        <w:spacing w:line="360" w:lineRule="auto"/>
        <w:ind w:firstLine="480"/>
        <w:rPr>
          <w:rFonts w:hint="eastAsia"/>
          <w:color w:val="000000"/>
          <w:sz w:val="24"/>
        </w:rPr>
      </w:pPr>
      <w:r>
        <w:rPr>
          <w:rFonts w:hint="eastAsia" w:eastAsia="宋体" w:ascii="宋体" w:hAnsi="宋体"/>
          <w:color w:val="000000"/>
          <w:sz w:val="24"/>
          <w:szCs w:val="24"/>
        </w:rPr>
        <w:t>第三，经济性受外部条件影响明显，不宜简单下结论。在项目决策阶段，应把砂石价格、运输距离、固废处置费用和地方补贴政策一并纳入测算模型，避免只比较材料单价而忽略其他成本项。</w:t>
      </w:r>
    </w:p>
    <w:p w14:paraId="26488198">
      <w:pPr>
        <w:spacing w:line="360" w:lineRule="auto"/>
        <w:ind w:firstLine="480"/>
        <w:rPr>
          <w:rFonts w:hint="eastAsia"/>
          <w:color w:val="000000"/>
          <w:sz w:val="24"/>
        </w:rPr>
      </w:pPr>
      <w:r>
        <w:rPr>
          <w:rFonts w:hint="eastAsia" w:eastAsia="宋体" w:ascii="宋体" w:hAnsi="宋体"/>
          <w:color w:val="000000"/>
          <w:sz w:val="24"/>
          <w:szCs w:val="24"/>
        </w:rPr>
        <w:t>第四，标准体系的完善程度直接决定推广速度。《再生骨料应用技术规程》给出了基本的技术依据，深圳、山东等地也在推进地方标准的制定[5][15][16]，但从实际工程反馈看，在再生骨料分级、配合比设计方法、预制构件的适用性等方面仍有进一步细化的空间。</w:t>
      </w:r>
    </w:p>
    <w:p w14:paraId="6722930A">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5  应用中存在的主要问题与优化对策</w:t>
      </w:r>
    </w:p>
    <w:p w14:paraId="86BB4350">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5．1  存在的主要问题</w:t>
      </w:r>
    </w:p>
    <w:p w14:paraId="0E7DB568">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5.1.1  再生骨料品质波动大</w:t>
      </w:r>
    </w:p>
    <w:p w14:paraId="7581D709">
      <w:pPr>
        <w:spacing w:line="360" w:lineRule="auto"/>
        <w:ind w:firstLine="480"/>
        <w:rPr>
          <w:rFonts w:hint="eastAsia"/>
          <w:color w:val="000000"/>
          <w:sz w:val="24"/>
        </w:rPr>
      </w:pPr>
      <w:r>
        <w:rPr>
          <w:rFonts w:hint="eastAsia" w:eastAsia="宋体" w:ascii="宋体" w:hAnsi="宋体"/>
          <w:color w:val="000000"/>
          <w:sz w:val="24"/>
          <w:szCs w:val="24"/>
        </w:rPr>
        <w:t>再生骨料的性能受母体混凝土影响明显。同样是拆除下来的混凝土，有的来自强度等级较高的框架结构，有的来自强度等级较低的砌体结构或路面，还有的混入了砖渣、砂浆块甚至木材和塑料。骨料来源不一致会直接导致压碎值、吸水率和颗粒级配出现较大差异，进而造成混凝土强度的离散性增大。装配式构件生产对混凝土质量稳定性的要求高于现浇施工，一旦某一批次的再生骨料品质出现波动，整批构件的强度就可能不达标，这种风险是构件厂最为顾虑的。</w:t>
      </w:r>
    </w:p>
    <w:p w14:paraId="AE71AEE0">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5.1.2  拌合物工作性控制难度大</w:t>
      </w:r>
    </w:p>
    <w:p w14:paraId="0330D87A">
      <w:pPr>
        <w:spacing w:line="360" w:lineRule="auto"/>
        <w:ind w:firstLine="480"/>
        <w:rPr>
          <w:rFonts w:hint="eastAsia"/>
          <w:color w:val="000000"/>
          <w:sz w:val="24"/>
        </w:rPr>
      </w:pPr>
      <w:r>
        <w:rPr>
          <w:rFonts w:hint="eastAsia" w:eastAsia="宋体" w:ascii="宋体" w:hAnsi="宋体"/>
          <w:color w:val="000000"/>
          <w:sz w:val="24"/>
          <w:szCs w:val="24"/>
        </w:rPr>
        <w:t>如前文所述，再生骨料含水率受堆放条件和天气影响显著。晴天和雨后、料堆表层和料堆内部，含水率都可能相差较多。若仍按固定的施工配合比投料，实际水胶比就会偏离设计值，表现为坍落度时大时小、混凝土时而偏稀时而偏干。对泵送施工来说，坍落度过小会导致堵管，过大会导致离析泌水；对构件生产来说，坍落度不稳定会影响构件外观质量和抹面工序。这个问题的本质是含水率的实时波动没有得到及时修正。</w:t>
      </w:r>
    </w:p>
    <w:p w14:paraId="0B98A9C1">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5.1.3  预制构件早期强度与生产节奏的矛盾</w:t>
      </w:r>
    </w:p>
    <w:p w14:paraId="498A3272">
      <w:pPr>
        <w:spacing w:line="360" w:lineRule="auto"/>
        <w:ind w:firstLine="480"/>
        <w:rPr>
          <w:rFonts w:hint="eastAsia"/>
          <w:color w:val="000000"/>
          <w:sz w:val="24"/>
        </w:rPr>
      </w:pPr>
      <w:r>
        <w:rPr>
          <w:rFonts w:hint="eastAsia" w:eastAsia="宋体" w:ascii="宋体" w:hAnsi="宋体"/>
          <w:color w:val="000000"/>
          <w:sz w:val="24"/>
          <w:szCs w:val="24"/>
        </w:rPr>
        <w:t>预制构件需要在达到一定强度后脱模起吊，模具才能进入下一轮使用。再生混凝土的早期强度发展规律与普通混凝土不完全相同，若早期强度增长偏慢，脱模时间就要推后，模具周转率随之下降，构件厂的产能和交付节奏都会受影响。在赶工期的项目中，这一矛盾尤其突出，现场往往会出现"等构件"的情况，反过来又削弱了装配式建造本应具备的工期优势。</w:t>
      </w:r>
    </w:p>
    <w:p w14:paraId="6F5713FB">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5.1.4  标准配套与检测手段仍有短板</w:t>
      </w:r>
    </w:p>
    <w:p w14:paraId="9EA15CAE">
      <w:pPr>
        <w:spacing w:line="360" w:lineRule="auto"/>
        <w:ind w:firstLine="480"/>
        <w:rPr>
          <w:rFonts w:hint="eastAsia"/>
          <w:color w:val="000000"/>
          <w:sz w:val="24"/>
        </w:rPr>
      </w:pPr>
      <w:r>
        <w:rPr>
          <w:rFonts w:hint="eastAsia" w:eastAsia="宋体" w:ascii="宋体" w:hAnsi="宋体"/>
          <w:color w:val="000000"/>
          <w:sz w:val="24"/>
          <w:szCs w:val="24"/>
        </w:rPr>
        <w:t>现行《再生骨料应用技术规程》对再生骨料的应用作出了规定[5]，但在预制构件这一细分领域，配套的技术依据还不够完善。虽然深圳、山东等地已经出台或正在推进地方标准[15][16]，但从全国范围看，针对再生混凝土预制构件的设计方法、生产检验和验收标准仍显不足。此外，再生骨料含水率的快速检测、再生混凝土构件连接节点的现场检测手段也相对缺乏，这在一定程度上影响了工程各方采用再生混凝土的信心。</w:t>
      </w:r>
    </w:p>
    <w:p w14:paraId="118EDE9C">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5.1.5  施工过程中的温度与养护控制</w:t>
      </w:r>
    </w:p>
    <w:p w14:paraId="304BD4E9">
      <w:pPr>
        <w:spacing w:line="360" w:lineRule="auto"/>
        <w:ind w:firstLine="480"/>
        <w:rPr>
          <w:rFonts w:hint="eastAsia"/>
          <w:color w:val="000000"/>
          <w:sz w:val="24"/>
        </w:rPr>
      </w:pPr>
      <w:r>
        <w:rPr>
          <w:rFonts w:hint="eastAsia" w:eastAsia="宋体" w:ascii="宋体" w:hAnsi="宋体"/>
          <w:color w:val="000000"/>
          <w:sz w:val="24"/>
          <w:szCs w:val="24"/>
        </w:rPr>
        <w:t>再生混凝土的收缩徐变较普通混凝土偏大，对养护条件更为敏感，因此施工过程中的温度和湿度控制尤为重要。在夏季高温施工时，混凝土入模温度过高会加速坍落度损失，增加施工难度，并可能加大早期塑性收缩裂缝的风险。工程上通常采取对骨料进行遮阳降温、使用低温拌合水、选择在夜间或低温时段浇筑等措施控制入模温度。在冬季施工时，则需要注意保温养护，避免混凝土早期受冻。</w:t>
      </w:r>
    </w:p>
    <w:p w14:paraId="DAD8199B">
      <w:pPr>
        <w:spacing w:line="360" w:lineRule="auto"/>
        <w:ind w:firstLine="480"/>
        <w:rPr>
          <w:rFonts w:hint="eastAsia"/>
          <w:color w:val="000000"/>
          <w:sz w:val="24"/>
        </w:rPr>
      </w:pPr>
      <w:r>
        <w:rPr>
          <w:rFonts w:hint="eastAsia" w:eastAsia="宋体" w:ascii="宋体" w:hAnsi="宋体"/>
          <w:color w:val="000000"/>
          <w:sz w:val="24"/>
          <w:szCs w:val="24"/>
        </w:rPr>
        <w:t>养护制度方面，再生混凝土的湿养护时间应比普通混凝土适当延长。对于现浇部位，浇筑完成后应及时覆盖保湿，养护时间一般不少于14天；对于预制构件，蒸汽养护的升温速率、恒温温度和恒温时间应根据再生混凝土的特点进行优化，升温过快容易在构件内部产生温度应力，导致早期裂缝。养护结束后，还应继续洒水养护或喷涂养护剂，防止构件表面失水过快。</w:t>
      </w:r>
    </w:p>
    <w:p w14:paraId="FD6B7F9C">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5.1.6  质量检测与验收的关键环节</w:t>
      </w:r>
    </w:p>
    <w:p w14:paraId="987BC402">
      <w:pPr>
        <w:spacing w:line="360" w:lineRule="auto"/>
        <w:ind w:firstLine="480"/>
        <w:rPr>
          <w:rFonts w:hint="eastAsia"/>
          <w:color w:val="000000"/>
          <w:sz w:val="24"/>
        </w:rPr>
      </w:pPr>
      <w:r>
        <w:rPr>
          <w:rFonts w:hint="eastAsia" w:eastAsia="宋体" w:ascii="宋体" w:hAnsi="宋体"/>
          <w:color w:val="000000"/>
          <w:sz w:val="24"/>
          <w:szCs w:val="24"/>
        </w:rPr>
        <w:t>再生混凝土结构的质量检测与验收应重点关注以下几个环节。原材料环节，应对每批进场的再生骨料进行检验，核查其类别、颗粒级配、微粉含量和含水率等指标，检验合格后方可使用。混凝土生产环节，应对配合比执行情况、计量精度和拌合物工作性进行检查，开盘前应测定骨料含水率并据此调整施工配合比。</w:t>
      </w:r>
    </w:p>
    <w:p w14:paraId="C332389A">
      <w:pPr>
        <w:spacing w:line="360" w:lineRule="auto"/>
        <w:ind w:firstLine="480"/>
        <w:rPr>
          <w:rFonts w:hint="eastAsia"/>
          <w:color w:val="000000"/>
          <w:sz w:val="24"/>
        </w:rPr>
      </w:pPr>
      <w:r>
        <w:rPr>
          <w:rFonts w:hint="eastAsia" w:eastAsia="宋体" w:ascii="宋体" w:hAnsi="宋体"/>
          <w:color w:val="000000"/>
          <w:sz w:val="24"/>
          <w:szCs w:val="24"/>
        </w:rPr>
        <w:t>构件生产环节，应对钢筋规格与位置、预埋件位置、混凝土浇筑密实度和养护条件进行检查，构件出厂前应进行外观质量和尺寸偏差检验。现场施工环节，应对构件的进场验收、吊装就位精度、节点连接质量和后浇混凝土的浇筑质量进行检查，关键工序应实行举牌验收并留存影像资料。</w:t>
      </w:r>
    </w:p>
    <w:p w14:paraId="7A41145A">
      <w:pPr>
        <w:spacing w:line="360" w:lineRule="auto"/>
        <w:ind w:firstLine="480"/>
        <w:rPr>
          <w:rFonts w:hint="eastAsia"/>
          <w:color w:val="000000"/>
          <w:sz w:val="24"/>
        </w:rPr>
      </w:pPr>
      <w:r>
        <w:rPr>
          <w:rFonts w:hint="eastAsia" w:eastAsia="宋体" w:ascii="宋体" w:hAnsi="宋体"/>
          <w:color w:val="000000"/>
          <w:sz w:val="24"/>
          <w:szCs w:val="24"/>
        </w:rPr>
        <w:t>实体质量环节，应对结构实体的混凝土强度进行检测，常用方法包括回弹法和钻芯法。回弹法操作简便、检测速度快，适用于大面积普查；钻芯法能够直接测定混凝土的芯样强度，检测结果更为直观，但属于局部破损检测，检测点位的选取应具有代表性。对于检测中发现的问题，应及时分析原因并采取处理措施，确保结构安全。</w:t>
      </w:r>
    </w:p>
    <w:p w14:paraId="742306C8">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5．2  优化对策</w:t>
      </w:r>
    </w:p>
    <w:p w14:paraId="130F5688">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5.2.1  加强再生骨料的分级与预处理</w:t>
      </w:r>
    </w:p>
    <w:p w14:paraId="CC444D5A">
      <w:pPr>
        <w:spacing w:line="360" w:lineRule="auto"/>
        <w:ind w:firstLine="480"/>
        <w:rPr>
          <w:rFonts w:hint="eastAsia"/>
          <w:color w:val="000000"/>
          <w:sz w:val="24"/>
        </w:rPr>
      </w:pPr>
      <w:r>
        <w:rPr>
          <w:rFonts w:hint="eastAsia" w:eastAsia="宋体" w:ascii="宋体" w:hAnsi="宋体"/>
          <w:color w:val="000000"/>
          <w:sz w:val="24"/>
          <w:szCs w:val="24"/>
        </w:rPr>
        <w:t>解决品质波动的根本办法是把好骨料进厂关。具体措施包括：对进厂的再生骨料按来源和强度等级分批堆放，避免不同来源的骨料混堆；按《混凝土用再生粗骨料》的规定进行分级检验，不同级别的骨料用于不同强度等级的混凝土[10]；在料堆设置防雨设施，减少含水率的大幅波动；有条件的构件厂可以采用颗粒整形或强化处理工艺改善骨料粒形和表面状态。这些措施会增加一定的成本，但换来的是质量的稳定性。</w:t>
      </w:r>
    </w:p>
    <w:p w14:paraId="0E2D0ED8">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5.2.2  优化配合比设计参数</w:t>
      </w:r>
    </w:p>
    <w:p w14:paraId="3882159F">
      <w:pPr>
        <w:spacing w:line="360" w:lineRule="auto"/>
        <w:ind w:firstLine="480"/>
        <w:rPr>
          <w:rFonts w:hint="eastAsia"/>
          <w:color w:val="000000"/>
          <w:sz w:val="24"/>
        </w:rPr>
      </w:pPr>
      <w:r>
        <w:rPr>
          <w:rFonts w:hint="eastAsia" w:eastAsia="宋体" w:ascii="宋体" w:hAnsi="宋体"/>
          <w:color w:val="000000"/>
          <w:sz w:val="24"/>
          <w:szCs w:val="24"/>
        </w:rPr>
        <w:t>配合比设计上，建议采取以下几项措施。一是控制水胶比并掺入矿物掺合料，改善界面过渡区结构，提高密实度和耐久性[3]。二是针对再生骨料吸水率高的特点，明确采用预湿法还是附加水法，并在配合比中予以标注，避免现场随意加水。三是对预制构件用再生混凝土，适当提高早期强度指标，通过掺加早强组分或调整胶凝材料用量来满足脱模要求。四是在配合比试配阶段进行泵送性能和坍落度经时损失的验证试验，不能只做强度试验。</w:t>
      </w:r>
    </w:p>
    <w:p w14:paraId="0A68AA9F">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5.2.3  完善生产过程的质量留痕</w:t>
      </w:r>
    </w:p>
    <w:p w14:paraId="71F5F065">
      <w:pPr>
        <w:spacing w:line="360" w:lineRule="auto"/>
        <w:ind w:firstLine="480"/>
        <w:rPr>
          <w:rFonts w:hint="eastAsia"/>
          <w:color w:val="000000"/>
          <w:sz w:val="24"/>
        </w:rPr>
      </w:pPr>
      <w:r>
        <w:rPr>
          <w:rFonts w:hint="eastAsia" w:eastAsia="宋体" w:ascii="宋体" w:hAnsi="宋体"/>
          <w:color w:val="000000"/>
          <w:sz w:val="24"/>
          <w:szCs w:val="24"/>
        </w:rPr>
        <w:t>管理层面的措施同样重要。建议在构件生产和混凝土拌合环节建立批次追溯制度，把每一批再生骨料的来源、检验结果、使用部位和对应构件的编号记录下来，一旦后期出现质量问题可以快速定位原因。同时，应把骨料含水率检测作为开盘前的固定动作，遇到雨天或料堆变化时加密检测频次。对装配式项目而言，构件厂的驻厂监理制度和出厂检验制度也应覆盖再生混凝土构件的特殊要求。</w:t>
      </w:r>
    </w:p>
    <w:p w14:paraId="7230D073">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5.2.4  加强连接节点的试验验证</w:t>
      </w:r>
    </w:p>
    <w:p w14:paraId="FC7EE6DC">
      <w:pPr>
        <w:spacing w:line="360" w:lineRule="auto"/>
        <w:ind w:firstLine="480"/>
        <w:rPr>
          <w:rFonts w:hint="eastAsia"/>
          <w:color w:val="000000"/>
          <w:sz w:val="24"/>
        </w:rPr>
      </w:pPr>
      <w:r>
        <w:rPr>
          <w:rFonts w:hint="eastAsia" w:eastAsia="宋体" w:ascii="宋体" w:hAnsi="宋体"/>
          <w:color w:val="000000"/>
          <w:sz w:val="24"/>
          <w:szCs w:val="24"/>
        </w:rPr>
        <w:t>装配式结构的薄弱环节在节点，再生混凝土的应用更应把节点作为重点。建议在工程应用前，针对所采用的连接方式开展足尺或大比例的试验，验证灌浆套筒连接、浆锚搭接连接在再生混凝土中的可靠性，重点考察连接区的破坏形态和承载力是否达到要求[9]。对剪力墙洞口和墙柱连接部位，应按试验结果采取加强措施，如增设暗柱、加密箍筋或调整洞口位置。</w:t>
      </w:r>
    </w:p>
    <w:p w14:paraId="FE942433">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6  结论与展望</w:t>
      </w:r>
    </w:p>
    <w:p w14:paraId="F28DBD58">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6．1  主要结论</w:t>
      </w:r>
    </w:p>
    <w:p w14:paraId="34646182">
      <w:pPr>
        <w:spacing w:line="360" w:lineRule="auto"/>
        <w:ind w:firstLine="480"/>
        <w:rPr>
          <w:rFonts w:hint="eastAsia"/>
          <w:color w:val="000000"/>
          <w:sz w:val="24"/>
        </w:rPr>
      </w:pPr>
      <w:r>
        <w:rPr>
          <w:rFonts w:hint="eastAsia" w:eastAsia="宋体" w:ascii="宋体" w:hAnsi="宋体"/>
          <w:color w:val="000000"/>
          <w:sz w:val="24"/>
          <w:szCs w:val="24"/>
        </w:rPr>
        <w:t>通过对广西某百米级再生混凝土公寓项目的分析和对再生混凝土在装配式住宅中应用效果的评价，本文得出以下几点认识。</w:t>
      </w:r>
    </w:p>
    <w:p w14:paraId="883E77DD">
      <w:pPr>
        <w:spacing w:line="360" w:lineRule="auto"/>
        <w:ind w:firstLine="480"/>
        <w:rPr>
          <w:rFonts w:hint="eastAsia"/>
          <w:color w:val="000000"/>
          <w:sz w:val="24"/>
        </w:rPr>
      </w:pPr>
      <w:r>
        <w:rPr>
          <w:rFonts w:hint="eastAsia" w:eastAsia="宋体" w:ascii="宋体" w:hAnsi="宋体"/>
          <w:color w:val="000000"/>
          <w:sz w:val="24"/>
          <w:szCs w:val="24"/>
        </w:rPr>
        <w:t>第一，再生混凝土在高层住宅结构中应用的技术可行性已经得到工程验证。30%取代率的再生混凝土在30层、接近100 m高的建筑中实现竖向承重结构和水平结构的全应用，各项指标满足国家标准要求，说明再生混凝土的应用边界已经从多层建筑拓展到百米级高层建筑。</w:t>
      </w:r>
    </w:p>
    <w:p w14:paraId="3942AA85">
      <w:pPr>
        <w:spacing w:line="360" w:lineRule="auto"/>
        <w:ind w:firstLine="480"/>
        <w:rPr>
          <w:rFonts w:hint="eastAsia"/>
          <w:color w:val="000000"/>
          <w:sz w:val="24"/>
        </w:rPr>
      </w:pPr>
      <w:r>
        <w:rPr>
          <w:rFonts w:hint="eastAsia" w:eastAsia="宋体" w:ascii="宋体" w:hAnsi="宋体"/>
          <w:color w:val="000000"/>
          <w:sz w:val="24"/>
          <w:szCs w:val="24"/>
        </w:rPr>
        <w:t>第二，弹性模量偏低这一特点在结构设计中可以被正向利用。适当降低结构刚度能够延长自振周期、减小地震作用，项目正是利用这一特点优化了结构整体刚度分布，改善了地震作用下的内力分配。</w:t>
      </w:r>
    </w:p>
    <w:p w14:paraId="844AC8D2">
      <w:pPr>
        <w:spacing w:line="360" w:lineRule="auto"/>
        <w:ind w:firstLine="480"/>
        <w:rPr>
          <w:rFonts w:hint="eastAsia"/>
          <w:color w:val="000000"/>
          <w:sz w:val="24"/>
        </w:rPr>
      </w:pPr>
      <w:r>
        <w:rPr>
          <w:rFonts w:hint="eastAsia" w:eastAsia="宋体" w:ascii="宋体" w:hAnsi="宋体"/>
          <w:color w:val="000000"/>
          <w:sz w:val="24"/>
          <w:szCs w:val="24"/>
        </w:rPr>
        <w:t>第三，施工适应性是当前推广应用的主要制约因素，其本质是过程控制问题而非材料性能缺陷。骨料含水率波动、拌合物坍落度损失、早期强度与模具周转的矛盾，都可以通过完善工艺和管理加以解决。</w:t>
      </w:r>
    </w:p>
    <w:p w14:paraId="5F266010">
      <w:pPr>
        <w:spacing w:line="360" w:lineRule="auto"/>
        <w:ind w:firstLine="480"/>
        <w:rPr>
          <w:rFonts w:hint="eastAsia"/>
          <w:color w:val="000000"/>
          <w:sz w:val="24"/>
        </w:rPr>
      </w:pPr>
      <w:r>
        <w:rPr>
          <w:rFonts w:hint="eastAsia" w:eastAsia="宋体" w:ascii="宋体" w:hAnsi="宋体"/>
          <w:color w:val="000000"/>
          <w:sz w:val="24"/>
          <w:szCs w:val="24"/>
        </w:rPr>
        <w:t>第四，经济性与外部条件密切相关。砂石价格、运输距离、固废处置费用和地方补贴政策共同决定了再生混凝土的经济性，项目决策时应综合测算，不宜只比较材料单价。</w:t>
      </w:r>
    </w:p>
    <w:p w14:paraId="F07E7494">
      <w:pPr>
        <w:keepNext/>
        <w:keepLines/>
        <w:spacing w:line="360" w:lineRule="auto"/>
        <w:rPr>
          <w:rFonts w:hint="eastAsia" w:eastAsia="黑体"/>
          <w:color w:val="000000"/>
          <w:sz w:val="24"/>
        </w:rPr>
      </w:pPr>
      <w:r>
        <w:rPr>
          <w:rFonts w:hint="eastAsia" w:eastAsia="黑体" w:ascii="黑体" w:hAnsi="黑体"/>
          <w:color w:val="000000"/>
          <w:sz w:val="24"/>
          <w:szCs w:val="24"/>
        </w:rPr>
        <w:t xml:space="preserve">6.1.5  工程应用的若干建议</w:t>
      </w:r>
    </w:p>
    <w:p w14:paraId="A194D170">
      <w:pPr>
        <w:spacing w:line="360" w:lineRule="auto"/>
        <w:ind w:firstLine="480"/>
        <w:rPr>
          <w:rFonts w:hint="eastAsia"/>
          <w:color w:val="000000"/>
          <w:sz w:val="24"/>
        </w:rPr>
      </w:pPr>
      <w:r>
        <w:rPr>
          <w:rFonts w:hint="eastAsia" w:eastAsia="宋体" w:ascii="宋体" w:hAnsi="宋体"/>
          <w:color w:val="000000"/>
          <w:sz w:val="24"/>
          <w:szCs w:val="24"/>
        </w:rPr>
        <w:t>基于本文的分析，对再生混凝土在装配式住宅中的应用提出以下几点建议。第一，应重视再生骨料的分级使用。不同类别的再生骨料性能差异明显，配制结构混凝土时应选用性能指标满足要求的骨料类别，不宜为降低成本而降低骨料品质要求。第二，应加强配合比的动态管理。再生骨料含水率波动较大，生产过程中应根据骨料实际含水率及时调整施工配合比，确保混凝土的工作性和强度稳定。</w:t>
      </w:r>
    </w:p>
    <w:p w14:paraId="8D04AF2C">
      <w:pPr>
        <w:spacing w:line="360" w:lineRule="auto"/>
        <w:ind w:firstLine="480"/>
        <w:rPr>
          <w:rFonts w:hint="eastAsia"/>
          <w:color w:val="000000"/>
          <w:sz w:val="24"/>
        </w:rPr>
      </w:pPr>
      <w:r>
        <w:rPr>
          <w:rFonts w:hint="eastAsia" w:eastAsia="宋体" w:ascii="宋体" w:hAnsi="宋体"/>
          <w:color w:val="000000"/>
          <w:sz w:val="24"/>
          <w:szCs w:val="24"/>
        </w:rPr>
        <w:t>第三，应完善全过程的质量记录。从骨料进厂、配合比确定、混凝土生产、构件养护到实体检测，各环节均应形成完整的质量记录，实现质量问题的可追溯。第四，应重视技术人员的经验积累。再生混凝土的应用相对较新，一线技术人员对其特性的认识仍有待深化，应通过培训和技术交流，提升相关人员的技术水平。第五，建议在条件允许时，开展实体工程的长期性能监测，积累再生混凝土在实际使用环境下的性能数据，为后续的标准完善和技术推广提供依据。</w:t>
      </w:r>
    </w:p>
    <w:p w14:paraId="F92C7F53">
      <w:pPr>
        <w:keepNext/>
        <w:keepLines/>
        <w:spacing w:line="360" w:lineRule="auto"/>
        <w:rPr>
          <w:rFonts w:hint="eastAsia" w:eastAsia="黑体"/>
          <w:color w:val="000000"/>
          <w:sz w:val="24"/>
        </w:rPr>
      </w:pPr>
      <w:r>
        <w:rPr>
          <w:rFonts w:hint="eastAsia" w:eastAsia="黑体" w:ascii="黑体" w:hAnsi="黑体"/>
          <w:color w:val="000000"/>
          <w:sz w:val="24"/>
          <w:szCs w:val="24"/>
        </w:rPr>
        <w:t>6.1.6 研究方法的适用性与局限</w:t>
      </w:r>
    </w:p>
    <w:p w14:paraId="25BC6530">
      <w:pPr>
        <w:spacing w:line="360" w:lineRule="auto"/>
        <w:ind w:firstLine="480"/>
        <w:rPr>
          <w:rFonts w:hint="eastAsia"/>
          <w:color w:val="000000"/>
          <w:sz w:val="24"/>
        </w:rPr>
      </w:pPr>
      <w:r>
        <w:rPr>
          <w:rFonts w:hint="eastAsia" w:eastAsia="宋体" w:ascii="宋体" w:hAnsi="宋体"/>
          <w:color w:val="000000"/>
          <w:sz w:val="24"/>
          <w:szCs w:val="24"/>
        </w:rPr>
        <w:t>本文采用的评价方法以层次分析法确定指标权重，结合工程实际资料进行综合评价。这一方法的优点是结构清晰、操作性强，能够在缺乏大量实测数据的条件下对再生混凝土的应用效果作出系统判断。但同时也存在一定的局限：其一，指标权重的确定虽经专家修正，仍带有主观成分，不同专家的判断可能存在差异；其二，评价结果受案例项目具体条件的影响较大，将本文的评价结论推广到其他项目时需要谨慎，应结合新项目的实际情况对指标和权重作出调整。</w:t>
      </w:r>
    </w:p>
    <w:p w14:paraId="50F4D6E0">
      <w:pPr>
        <w:spacing w:line="360" w:lineRule="auto"/>
        <w:ind w:firstLine="480"/>
        <w:rPr>
          <w:rFonts w:hint="eastAsia"/>
          <w:color w:val="000000"/>
          <w:sz w:val="24"/>
        </w:rPr>
      </w:pPr>
      <w:r>
        <w:rPr>
          <w:rFonts w:hint="eastAsia" w:eastAsia="宋体" w:ascii="宋体" w:hAnsi="宋体"/>
          <w:color w:val="000000"/>
          <w:sz w:val="24"/>
          <w:szCs w:val="24"/>
        </w:rPr>
        <w:t>此外，本文主要依赖公开报道的工程资料和已有研究成果开展分析，未能获取项目内部详细的检测报告和施工记录，这使得部分评价只能基于定性判断或参照同类工程经验，评价的精确性受到影响。若后续能够获取更完整的工程数据，特别是再生混凝土的强度检测报告、长期性能监测数据和经济性核算资料，将有助于进一步提高评价的客观性和准确性。</w:t>
      </w:r>
    </w:p>
    <w:p w14:paraId="17614CC5">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6．2  展望</w:t>
      </w:r>
    </w:p>
    <w:p w14:paraId="A08CBB27">
      <w:pPr>
        <w:spacing w:line="360" w:lineRule="auto"/>
        <w:ind w:firstLine="480"/>
        <w:rPr>
          <w:rFonts w:hint="eastAsia"/>
          <w:color w:val="000000"/>
          <w:sz w:val="24"/>
        </w:rPr>
      </w:pPr>
      <w:r>
        <w:rPr>
          <w:rFonts w:hint="eastAsia" w:eastAsia="宋体" w:ascii="宋体" w:hAnsi="宋体"/>
          <w:color w:val="000000"/>
          <w:sz w:val="24"/>
          <w:szCs w:val="24"/>
        </w:rPr>
        <w:t>受资料获取条件的限制，本文主要基于公开报道的工程信息和已有的试验研究成果开展评价，未能获取项目内部的具体检测数据，评价的深度因此受到一定限制。后续研究可以在以下方向继续深入：一是积累再生混凝土在装配式构件中的长期性能实测数据，特别是收缩徐变和耐久性数据；二是开展再生混凝土构件连接节点的系统试验，形成可指导设计的技术依据；三是建立考虑外部性成本的再生混凝土综合经济性评价模型，为政策制定提供依据。</w:t>
      </w:r>
    </w:p>
    <w:p w14:paraId="6AF4667B">
      <w:pPr>
        <w:spacing w:line="360" w:lineRule="auto"/>
        <w:ind w:firstLine="480"/>
        <w:rPr>
          <w:rFonts w:hint="eastAsia"/>
          <w:color w:val="000000"/>
          <w:sz w:val="24"/>
        </w:rPr>
      </w:pPr>
      <w:r>
        <w:rPr>
          <w:rFonts w:hint="eastAsia" w:eastAsia="宋体" w:ascii="宋体" w:hAnsi="宋体"/>
          <w:color w:val="000000"/>
          <w:sz w:val="24"/>
          <w:szCs w:val="24"/>
        </w:rPr>
        <w:t>随着标准体系的逐步完善和工程案例的持续积累，再生混凝土在装配式住宅中的应用有望从个别示范工程走向规模化推广。</w:t>
      </w:r>
    </w:p>
    <w:p w14:paraId="210355C5">
      <w:pPr>
        <w:pStyle w:val="4"/>
        <w:ind w:firstLine="480"/>
        <w:rPr>
          <w:rFonts w:hint="eastAsia" w:ascii="Times New Roman" w:hAnsi="Times New Roman"/>
          <w:sz w:val="24"/>
        </w:rPr>
      </w:pPr>
    </w:p>
    <w:p w14:paraId="7119DEA3">
      <w:pPr>
        <w:spacing w:line="360" w:lineRule="auto"/>
        <w:rPr>
          <w:rFonts w:hint="eastAsia"/>
          <w:color w:val="000000"/>
          <w:sz w:val="30"/>
        </w:rPr>
      </w:pPr>
      <w:r>
        <w:br w:type="page"/>
      </w:r>
    </w:p>
    <w:p w14:paraId="60C33032">
      <w:pPr>
        <w:keepNext/>
        <w:keepLines/>
        <w:spacing w:line="360" w:lineRule="auto"/>
        <w:jc w:val="center"/>
        <w:rPr>
          <w:rFonts w:hint="eastAsia" w:eastAsia="黑体"/>
          <w:color w:val="000000"/>
          <w:sz w:val="30"/>
        </w:rPr>
      </w:pPr>
      <w:r>
        <w:rPr>
          <w:rFonts w:hint="eastAsia" w:eastAsia="宋体" w:ascii="宋体" w:hAnsi="宋体"/>
          <w:b/>
          <w:color w:val="000000"/>
          <w:sz w:val="28"/>
          <w:szCs w:val="28"/>
        </w:rPr>
        <w:t xml:space="preserve">结  论</w:t>
      </w:r>
    </w:p>
    <w:p w14:paraId="76E42581">
      <w:pPr>
        <w:spacing w:line="360" w:lineRule="auto"/>
        <w:ind w:firstLine="480"/>
        <w:rPr>
          <w:rFonts w:hint="eastAsia"/>
          <w:color w:val="000000"/>
          <w:sz w:val="30"/>
        </w:rPr>
      </w:pPr>
    </w:p>
    <w:p w14:paraId="44B36186">
      <w:pPr>
        <w:spacing w:line="440" w:lineRule="exact"/>
        <w:ind w:firstLine="480" w:firstLineChars="200"/>
        <w:rPr>
          <w:rFonts w:hint="eastAsia"/>
          <w:color w:val="000000"/>
          <w:sz w:val="24"/>
        </w:rPr>
      </w:pPr>
      <w:r>
        <w:rPr>
          <w:rFonts w:hint="eastAsia" w:eastAsia="宋体" w:ascii="宋体" w:hAnsi="宋体"/>
          <w:color w:val="000000"/>
          <w:sz w:val="24"/>
          <w:szCs w:val="24"/>
        </w:rPr>
        <w:t>本文以广西某30层、接近100 m高的再生混凝土公寓项目为研究对象，对再生混凝土在装配式住宅中的应用效果进行了系统评价。项目采用再生骨料取代率为30%的再生混凝土，总用量约10679 m³，竖向承重结构和水平结构均使用了再生混凝土，是目前公开报道中首栋实现百米级规模化应用的高层建筑。
研究从技术性能、施工适应性和经济与环境效益三个维度构建了评价指标体系。技术性能方面，30%取代率条件下再生混凝土的抗压强度、弹性模量和耐久性能均能满足设计要求，其弹性模量偏低的特点可被用于优化结构刚度分布、改善地震作用下的内力分配；施工适应性方面，再生骨料含水率波动导致的拌合物工作性不稳定、早期强度与模具周转的矛盾是主要问题，可通过骨料分级预处理、配合比优化和过程留痕加以解决；经济与环境效益方面，环境效益具有确定性，经济性则受砂石价格、运输距离和补贴政策影响，需要结合项目条件综合测算。
研究同时发现，再生混凝土在装配式住宅中的推广仍面临骨料品质波动、标准配套不足和节点检测手段缺乏等问题。</w:t>
      </w:r>
    </w:p>
    <w:p w14:paraId="A6AA9D95">
      <w:pPr>
        <w:spacing w:line="440" w:lineRule="exact"/>
        <w:ind w:firstLine="480" w:firstLineChars="200"/>
        <w:rPr>
          <w:rFonts w:hint="eastAsia"/>
          <w:color w:val="000000"/>
          <w:sz w:val="24"/>
        </w:rPr>
      </w:pPr>
      <w:r>
        <w:rPr>
          <w:rFonts w:hint="eastAsia" w:eastAsia="宋体" w:ascii="宋体" w:hAnsi="宋体"/>
          <w:color w:val="000000"/>
          <w:sz w:val="24"/>
          <w:szCs w:val="24"/>
        </w:rPr>
        <w:t>对此本文提出加强再生骨料分级与预处理、优化配合比参数、建立批次追溯制度以及开展连接节点足尺试验验证等对策，供同类工程参考。</w:t>
      </w:r>
    </w:p>
    <w:p w14:paraId="063347EC">
      <w:pPr>
        <w:spacing w:line="360" w:lineRule="auto"/>
        <w:ind w:firstLine="480"/>
        <w:rPr>
          <w:rFonts w:hint="eastAsia"/>
          <w:color w:val="000000"/>
          <w:sz w:val="24"/>
        </w:rPr>
      </w:pPr>
      <w:r>
        <w:br w:type="page"/>
      </w:r>
    </w:p>
    <w:p w14:paraId="65169C62">
      <w:pPr>
        <w:keepNext/>
        <w:keepLines/>
        <w:spacing w:line="360" w:lineRule="auto"/>
        <w:jc w:val="center"/>
        <w:rPr>
          <w:rFonts w:hint="eastAsia" w:eastAsia="黑体"/>
          <w:color w:val="000000"/>
          <w:sz w:val="30"/>
        </w:rPr>
      </w:pPr>
      <w:r>
        <w:rPr>
          <w:rFonts w:hint="eastAsia" w:eastAsia="宋体" w:ascii="宋体" w:hAnsi="宋体"/>
          <w:b/>
          <w:color w:val="000000"/>
          <w:sz w:val="28"/>
          <w:szCs w:val="28"/>
        </w:rPr>
        <w:t>参 考 文 献</w:t>
      </w:r>
    </w:p>
    <w:p w14:paraId="10742DBE">
      <w:pPr>
        <w:spacing w:line="360" w:lineRule="auto"/>
        <w:ind w:firstLine="480"/>
        <w:rPr>
          <w:rFonts w:hint="eastAsia"/>
          <w:color w:val="000000"/>
          <w:sz w:val="24"/>
        </w:rPr>
      </w:pPr>
    </w:p>
    <w:p w14:paraId="74583829">
      <w:pPr>
        <w:spacing w:line="440" w:lineRule="exact"/>
        <w:ind w:firstLine="573"/>
        <w:rPr>
          <w:rFonts w:hint="eastAsia"/>
          <w:color w:val="000000"/>
          <w:szCs w:val="21"/>
        </w:rPr>
      </w:pPr>
      <w:r>
        <w:rPr>
          <w:rFonts w:hint="eastAsia" w:eastAsia="宋体" w:ascii="宋体" w:hAnsi="宋体"/>
          <w:color w:val="000000"/>
          <w:sz w:val="21"/>
          <w:szCs w:val="21"/>
        </w:rPr>
        <w:t xml:space="preserve">[1]  肖建庄. 再生混凝土[M]. 北京: 中国建筑工业出版社, 2008.</w:t>
      </w:r>
    </w:p>
    <w:p w14:paraId="38EFDEE6">
      <w:pPr>
        <w:spacing w:line="440" w:lineRule="exact"/>
        <w:ind w:firstLine="573"/>
        <w:rPr>
          <w:rFonts w:hint="eastAsia"/>
          <w:color w:val="000000"/>
          <w:szCs w:val="21"/>
        </w:rPr>
      </w:pPr>
      <w:r>
        <w:rPr>
          <w:rFonts w:hint="eastAsia" w:eastAsia="宋体" w:ascii="宋体" w:hAnsi="宋体"/>
          <w:color w:val="000000"/>
          <w:sz w:val="21"/>
          <w:szCs w:val="21"/>
        </w:rPr>
        <w:t xml:space="preserve">[2]  国务院办公厅. 国务院办公厅关于大力发展装配式建筑的指导意见: 国办发〔2016〕71号[Z]. 2016.</w:t>
      </w:r>
    </w:p>
    <w:p w14:paraId="81D4A386">
      <w:pPr>
        <w:spacing w:line="440" w:lineRule="exact"/>
        <w:ind w:firstLine="573"/>
        <w:rPr>
          <w:rFonts w:hint="eastAsia"/>
          <w:color w:val="000000"/>
          <w:szCs w:val="21"/>
        </w:rPr>
      </w:pPr>
      <w:r>
        <w:rPr>
          <w:rFonts w:hint="eastAsia" w:eastAsia="宋体" w:ascii="宋体" w:hAnsi="宋体"/>
          <w:color w:val="000000"/>
          <w:sz w:val="21"/>
          <w:szCs w:val="21"/>
        </w:rPr>
        <w:t xml:space="preserve">[3]  海然, 崔力, 翟胜田, 等. 基于文献聚类分析的再生混凝土抗压强度及耐久性最新研究进展[J]. 材料导报, 2025, 39(17): 24050154.</w:t>
      </w:r>
    </w:p>
    <w:p w14:paraId="94014A1C">
      <w:pPr>
        <w:spacing w:line="440" w:lineRule="exact"/>
        <w:ind w:firstLine="573"/>
        <w:rPr>
          <w:rFonts w:hint="eastAsia"/>
          <w:color w:val="000000"/>
          <w:szCs w:val="21"/>
        </w:rPr>
      </w:pPr>
      <w:r>
        <w:rPr>
          <w:rFonts w:hint="eastAsia" w:eastAsia="宋体" w:ascii="宋体" w:hAnsi="宋体"/>
          <w:color w:val="000000"/>
          <w:sz w:val="21"/>
          <w:szCs w:val="21"/>
        </w:rPr>
        <w:t xml:space="preserve">[4]  刘昊. 全球首栋30层百米级再生混凝土结构公寓封顶[N]. 中华建筑报, 2026-06-24.</w:t>
      </w:r>
    </w:p>
    <w:p w14:paraId="92E68935">
      <w:pPr>
        <w:spacing w:line="440" w:lineRule="exact"/>
        <w:ind w:firstLine="573"/>
        <w:rPr>
          <w:rFonts w:hint="eastAsia"/>
          <w:color w:val="000000"/>
          <w:szCs w:val="21"/>
        </w:rPr>
      </w:pPr>
      <w:r>
        <w:rPr>
          <w:rFonts w:hint="eastAsia" w:eastAsia="宋体" w:ascii="宋体" w:hAnsi="宋体"/>
          <w:color w:val="000000"/>
          <w:sz w:val="21"/>
          <w:szCs w:val="21"/>
        </w:rPr>
        <w:t xml:space="preserve">[5]  中华人民共和国住房和城乡建设部. 再生骨料应用技术规程: JGJ/T 240-2011[S]. 北京: 中国建筑工业出版社, 2011.</w:t>
      </w:r>
    </w:p>
    <w:p w14:paraId="AD68D93A">
      <w:pPr>
        <w:spacing w:line="440" w:lineRule="exact"/>
        <w:ind w:firstLine="573"/>
        <w:rPr>
          <w:rFonts w:hint="eastAsia"/>
          <w:color w:val="000000"/>
          <w:szCs w:val="21"/>
        </w:rPr>
      </w:pPr>
      <w:r>
        <w:rPr>
          <w:rFonts w:hint="eastAsia" w:eastAsia="宋体" w:ascii="宋体" w:hAnsi="宋体"/>
          <w:color w:val="000000"/>
          <w:sz w:val="21"/>
          <w:szCs w:val="21"/>
        </w:rPr>
        <w:t xml:space="preserve">[6]  肖建庄. 可持续混凝土结构导论[M]. 北京: 科学出版社, 2017.</w:t>
      </w:r>
    </w:p>
    <w:p w14:paraId="26590CEC">
      <w:pPr>
        <w:spacing w:line="440" w:lineRule="exact"/>
        <w:ind w:firstLine="573"/>
        <w:rPr>
          <w:rFonts w:hint="eastAsia"/>
          <w:color w:val="000000"/>
          <w:szCs w:val="21"/>
        </w:rPr>
      </w:pPr>
      <w:r>
        <w:rPr>
          <w:rFonts w:hint="eastAsia" w:eastAsia="宋体" w:ascii="宋体" w:hAnsi="宋体"/>
          <w:color w:val="000000"/>
          <w:sz w:val="21"/>
          <w:szCs w:val="21"/>
        </w:rPr>
        <w:t xml:space="preserve">[7]  XIAO J Z. Recycled Aggregate Concrete Structures[M]. Berlin: Springer, 2018.</w:t>
      </w:r>
    </w:p>
    <w:p w14:paraId="42C349A2">
      <w:pPr>
        <w:spacing w:line="440" w:lineRule="exact"/>
        <w:ind w:firstLine="573"/>
        <w:rPr>
          <w:rFonts w:hint="eastAsia"/>
          <w:color w:val="000000"/>
          <w:szCs w:val="21"/>
        </w:rPr>
      </w:pPr>
      <w:r>
        <w:rPr>
          <w:rFonts w:hint="eastAsia" w:eastAsia="宋体" w:ascii="宋体" w:hAnsi="宋体"/>
          <w:color w:val="000000"/>
          <w:sz w:val="21"/>
          <w:szCs w:val="21"/>
        </w:rPr>
        <w:t xml:space="preserve">[8]  杨海峰, 肖建庄. 再生混凝土-钢筋粘结滑移性能[M]. 北京: 中国建筑工业出版社, 2025.</w:t>
      </w:r>
    </w:p>
    <w:p w14:paraId="23FD57BE">
      <w:pPr>
        <w:spacing w:line="440" w:lineRule="exact"/>
        <w:ind w:firstLine="573"/>
        <w:rPr>
          <w:rFonts w:hint="eastAsia"/>
          <w:color w:val="000000"/>
          <w:szCs w:val="21"/>
        </w:rPr>
      </w:pPr>
      <w:r>
        <w:rPr>
          <w:rFonts w:hint="eastAsia" w:eastAsia="宋体" w:ascii="宋体" w:hAnsi="宋体"/>
          <w:color w:val="000000"/>
          <w:sz w:val="21"/>
          <w:szCs w:val="21"/>
        </w:rPr>
        <w:t xml:space="preserve">[9]  李想, 孙建刚, 张书进, 等. 一种基于再生混凝土的装配式结构抗震性能试验研究[J]. 振动工程学报, 2021, 34(5).</w:t>
      </w:r>
    </w:p>
    <w:p w14:paraId="A00AAD63">
      <w:pPr>
        <w:spacing w:line="440" w:lineRule="exact"/>
        <w:ind w:firstLine="573"/>
        <w:rPr>
          <w:rFonts w:hint="eastAsia"/>
          <w:color w:val="000000"/>
          <w:szCs w:val="21"/>
        </w:rPr>
      </w:pPr>
      <w:r>
        <w:rPr>
          <w:rFonts w:hint="eastAsia" w:eastAsia="宋体" w:ascii="宋体" w:hAnsi="宋体"/>
          <w:color w:val="000000"/>
          <w:sz w:val="21"/>
          <w:szCs w:val="21"/>
        </w:rPr>
        <w:t xml:space="preserve">[10]  中华人民共和国国家质量监督检验检疫总局, 中国国家标准化管理委员会. 混凝土用再生粗骨料: GB/T 25177-2010[S]. 北京: 中国标准出版社, 2010.</w:t>
      </w:r>
    </w:p>
    <w:p w14:paraId="A5AE6C12">
      <w:pPr>
        <w:spacing w:line="440" w:lineRule="exact"/>
        <w:ind w:firstLine="573"/>
        <w:rPr>
          <w:rFonts w:hint="eastAsia"/>
          <w:color w:val="000000"/>
          <w:szCs w:val="21"/>
        </w:rPr>
      </w:pPr>
      <w:r>
        <w:rPr>
          <w:rFonts w:hint="eastAsia" w:eastAsia="宋体" w:ascii="宋体" w:hAnsi="宋体"/>
          <w:color w:val="000000"/>
          <w:sz w:val="21"/>
          <w:szCs w:val="21"/>
        </w:rPr>
        <w:t xml:space="preserve">[11]  中华人民共和国国家质量监督检验检疫总局, 中国国家标准化管理委员会. 混凝土和砂浆用再生细骨料: GB/T 25176-2010[S]. 北京: 中国标准出版社, 2010.</w:t>
      </w:r>
    </w:p>
    <w:p w14:paraId="D6CCBE8C">
      <w:pPr>
        <w:spacing w:line="440" w:lineRule="exact"/>
        <w:ind w:firstLine="573"/>
        <w:rPr>
          <w:rFonts w:hint="eastAsia"/>
          <w:color w:val="000000"/>
          <w:szCs w:val="21"/>
        </w:rPr>
      </w:pPr>
      <w:r>
        <w:rPr>
          <w:rFonts w:hint="eastAsia" w:eastAsia="宋体" w:ascii="宋体" w:hAnsi="宋体"/>
          <w:color w:val="000000"/>
          <w:sz w:val="21"/>
          <w:szCs w:val="21"/>
        </w:rPr>
        <w:t xml:space="preserve">[12]  中华人民共和国住房和城乡建设部. 装配式混凝土建筑技术标准: GB/T 51231-2016[S]. 北京: 中国建筑工业出版社, 2016.</w:t>
      </w:r>
    </w:p>
    <w:p w14:paraId="54A7F32C">
      <w:pPr>
        <w:spacing w:line="440" w:lineRule="exact"/>
        <w:ind w:firstLine="573"/>
        <w:rPr>
          <w:rFonts w:hint="eastAsia"/>
          <w:color w:val="000000"/>
          <w:szCs w:val="21"/>
        </w:rPr>
      </w:pPr>
      <w:r>
        <w:rPr>
          <w:rFonts w:hint="eastAsia" w:eastAsia="宋体" w:ascii="宋体" w:hAnsi="宋体"/>
          <w:color w:val="000000"/>
          <w:sz w:val="21"/>
          <w:szCs w:val="21"/>
        </w:rPr>
        <w:t xml:space="preserve">[13]  中华人民共和国住房和城乡建设部. 装配式混凝土结构技术规程: JGJ 1-2014[S]. 北京: 中国建筑工业出版社, 2014.</w:t>
      </w:r>
    </w:p>
    <w:p w14:paraId="246C851B">
      <w:pPr>
        <w:spacing w:line="440" w:lineRule="exact"/>
        <w:ind w:firstLine="573"/>
        <w:rPr>
          <w:rFonts w:hint="eastAsia"/>
          <w:color w:val="000000"/>
          <w:szCs w:val="21"/>
        </w:rPr>
      </w:pPr>
      <w:r>
        <w:rPr>
          <w:rFonts w:hint="eastAsia" w:eastAsia="宋体" w:ascii="宋体" w:hAnsi="宋体"/>
          <w:color w:val="000000"/>
          <w:sz w:val="21"/>
          <w:szCs w:val="21"/>
        </w:rPr>
        <w:t xml:space="preserve">[14]  中华人民共和国住房和城乡建设部. 装配式建筑评价标准: GB/T 51129-2017[S]. 北京: 中国建筑工业出版社, 2017.</w:t>
      </w:r>
    </w:p>
    <w:p w14:paraId="C5516D09">
      <w:pPr>
        <w:spacing w:line="440" w:lineRule="exact"/>
        <w:ind w:firstLine="573"/>
        <w:rPr>
          <w:rFonts w:hint="eastAsia"/>
          <w:color w:val="000000"/>
          <w:szCs w:val="21"/>
        </w:rPr>
      </w:pPr>
      <w:r>
        <w:rPr>
          <w:rFonts w:hint="eastAsia" w:eastAsia="宋体" w:ascii="宋体" w:hAnsi="宋体"/>
          <w:color w:val="000000"/>
          <w:sz w:val="21"/>
          <w:szCs w:val="21"/>
        </w:rPr>
        <w:t xml:space="preserve">[15]  深圳市住房和建设局. 建筑废弃物再生产品应用工程技术规程: SJG 37-2026[S]. 深圳, 2026.</w:t>
      </w:r>
    </w:p>
    <w:p w14:paraId="4D262A9A">
      <w:pPr>
        <w:spacing w:line="440" w:lineRule="exact"/>
        <w:ind w:firstLine="573"/>
        <w:rPr>
          <w:rFonts w:hint="eastAsia"/>
          <w:color w:val="000000"/>
          <w:szCs w:val="21"/>
        </w:rPr>
      </w:pPr>
      <w:r>
        <w:rPr>
          <w:rFonts w:hint="eastAsia" w:eastAsia="宋体" w:ascii="宋体" w:hAnsi="宋体"/>
          <w:color w:val="000000"/>
          <w:sz w:val="21"/>
          <w:szCs w:val="21"/>
        </w:rPr>
        <w:t xml:space="preserve">[16]  山东省市场监督管理局. 再生混凝土预制构件应用技术规程: DB37/T 5276-2024[S]. 济南, 2024.</w:t>
      </w:r>
    </w:p>
    <w:p w14:paraId="41A6F743">
      <w:pPr>
        <w:spacing w:line="440" w:lineRule="exact"/>
        <w:ind w:firstLine="573"/>
        <w:rPr>
          <w:rFonts w:hint="eastAsia"/>
          <w:color w:val="000000"/>
          <w:szCs w:val="21"/>
        </w:rPr>
      </w:pPr>
      <w:r>
        <w:rPr>
          <w:rFonts w:hint="eastAsia" w:eastAsia="宋体" w:ascii="宋体" w:hAnsi="宋体"/>
          <w:color w:val="000000"/>
          <w:sz w:val="21"/>
          <w:szCs w:val="21"/>
        </w:rPr>
        <w:t xml:space="preserve">[17]  中华人民共和国住房和城乡建设部. 混凝土结构工程施工质量验收规范: GB 50204-2015[S]. 北京: 中国建筑工业出版社, 2015.</w:t>
      </w:r>
    </w:p>
    <w:p w14:paraId="290EFE12">
      <w:pPr>
        <w:spacing w:before="156" w:beforeLines="50" w:line="360" w:lineRule="auto"/>
        <w:rPr>
          <w:rFonts w:hint="eastAsia"/>
          <w:color w:val="000000"/>
          <w:sz w:val="30"/>
        </w:rPr>
      </w:pPr>
    </w:p>
    <w:p w14:paraId="57B0AAD4">
      <w:pPr>
        <w:keepNext/>
        <w:keepLines/>
        <w:pageBreakBefore/>
        <w:spacing w:line="360" w:lineRule="auto"/>
        <w:rPr>
          <w:rFonts w:hint="eastAsia" w:eastAsia="黑体"/>
          <w:color w:val="000000"/>
          <w:sz w:val="30"/>
        </w:rPr>
      </w:pPr>
      <w:r>
        <w:rPr>
          <w:rFonts w:hint="eastAsia" w:ascii="宋体" w:hAnsi="宋体" w:eastAsia="宋体"/>
          <w:b/>
          <w:color w:val="000000"/>
          <w:sz w:val="28"/>
          <w:szCs w:val="28"/>
        </w:rPr>
        <w:t xml:space="preserve">致  谢</w:t>
      </w:r>
    </w:p>
    <w:p w14:paraId="733B96C2">
      <w:pPr>
        <w:spacing w:line="360" w:lineRule="auto"/>
        <w:ind w:firstLine="480"/>
        <w:rPr>
          <w:rFonts w:hint="eastAsia" w:ascii="宋体" w:hAnsi="宋体"/>
          <w:color w:val="000000"/>
          <w:sz w:val="30"/>
        </w:rPr>
      </w:pPr>
    </w:p>
    <w:p w14:paraId="6E7E4E47">
      <w:pPr>
        <w:spacing w:line="440" w:lineRule="exact"/>
        <w:ind w:firstLine="480" w:firstLineChars="200"/>
        <w:rPr>
          <w:rFonts w:hint="eastAsia" w:ascii="宋体" w:hAnsi="宋体"/>
          <w:color w:val="000000"/>
          <w:sz w:val="24"/>
        </w:rPr>
      </w:pPr>
      <w:r>
        <w:rPr>
          <w:rFonts w:hint="eastAsia" w:ascii="宋体" w:hAnsi="宋体" w:eastAsia="宋体"/>
          <w:color w:val="000000"/>
          <w:sz w:val="24"/>
          <w:szCs w:val="24"/>
        </w:rPr>
        <w:t>本论文是在指导老师的悉心指导下完成的。从选题的确定到框架的调整，再到成文的修改，指导老师都给予了具体而耐心的帮助，在此表示衷心的感谢。
感谢广西大学肖建庄教授团队及参与该项目的各家单位公开分享的工程资料，使本文得以基于真实的工程案例开展研究。感谢学校图书馆提供的文献检索条件，以及在论文写作过程中给予建议的同学。
感谢家人在学习期间给予的支持与理解。</w:t>
      </w:r>
    </w:p>
    <w:p w14:paraId="34A3FE60">
      <w:pPr>
        <w:spacing w:line="400" w:lineRule="exact"/>
        <w:ind w:firstLine="560" w:firstLineChars="200"/>
        <w:rPr>
          <w:rFonts w:hint="eastAsia" w:eastAsia="仿宋_GB2312"/>
          <w:color w:val="000000"/>
          <w:sz w:val="28"/>
        </w:rPr>
      </w:pPr>
    </w:p>
    <w:sectPr>
      <w:head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DF0D0341-326B-4D0B-82AC-4027B0576AB9}"/>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2" w:fontKey="{20F86F41-2B48-44D0-8DE6-E825F6026A32}"/>
  </w:font>
  <w:font w:name="仿宋">
    <w:panose1 w:val="02010609060101010101"/>
    <w:charset w:val="86"/>
    <w:family w:val="auto"/>
    <w:pitch w:val="default"/>
    <w:sig w:usb0="800002BF" w:usb1="38CF7CFA" w:usb2="00000016" w:usb3="00000000" w:csb0="00040001" w:csb1="00000000"/>
  </w:font>
  <w:font w:name="方正大标宋简体">
    <w:altName w:val="宋体"/>
    <w:panose1 w:val="02010601030101010101"/>
    <w:charset w:val="86"/>
    <w:family w:val="auto"/>
    <w:pitch w:val="default"/>
    <w:sig w:usb0="00000000" w:usb1="00000000" w:usb2="00000010" w:usb3="00000000" w:csb0="00040000" w:csb1="00000000"/>
  </w:font>
  <w:font w:name="楷体_GB2312">
    <w:altName w:val="楷体"/>
    <w:panose1 w:val="00000000000000000000"/>
    <w:charset w:val="00"/>
    <w:family w:val="auto"/>
    <w:pitch w:val="default"/>
    <w:sig w:usb0="00000000" w:usb1="00000000" w:usb2="00000000" w:usb3="00000000" w:csb0="00040001" w:csb1="00000000"/>
    <w:embedRegular r:id="rId3" w:fontKey="{CA37DEC8-5817-4B94-89E0-272BA6175B82}"/>
  </w:font>
  <w:font w:name="仿宋_GB2312">
    <w:altName w:val="仿宋"/>
    <w:panose1 w:val="02010609030101010101"/>
    <w:charset w:val="86"/>
    <w:family w:val="modern"/>
    <w:pitch w:val="default"/>
    <w:sig w:usb0="00000000" w:usb1="00000000" w:usb2="00000000" w:usb3="00000000" w:csb0="00040000" w:csb1="00000000"/>
    <w:embedRegular r:id="rId4" w:fontKey="{076687F1-04A0-44BD-AF22-779833981088}"/>
  </w:font>
  <w:font w:name="方正小标宋简体">
    <w:panose1 w:val="02000000000000000000"/>
    <w:charset w:val="86"/>
    <w:family w:val="auto"/>
    <w:pitch w:val="default"/>
    <w:sig w:usb0="00000001" w:usb1="08000000" w:usb2="00000000" w:usb3="00000000" w:csb0="00040000" w:csb1="00000000"/>
    <w:embedRegular r:id="rId5" w:fontKey="{E2616606-C9D6-4109-9259-63558FEA43AC}"/>
  </w:font>
  <w:font w:name="楷体">
    <w:panose1 w:val="02010609060101010101"/>
    <w:charset w:val="86"/>
    <w:family w:val="auto"/>
    <w:pitch w:val="default"/>
    <w:sig w:usb0="800002BF" w:usb1="38CF7CFA" w:usb2="0000001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5C5651">
    <w:pPr>
      <w:pStyle w:val="6"/>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A8EF76">
    <w:pPr>
      <w:pStyle w:val="6"/>
      <w:tabs>
        <w:tab w:val="right" w:pos="8306"/>
      </w:tabs>
      <w:ind w:firstLine="123" w:firstLineChars="49"/>
      <w:jc w:val="both"/>
      <w:rPr>
        <w:sz w:val="21"/>
      </w:rPr>
    </w:pPr>
    <w:r>
      <w:rPr>
        <w:rFonts w:hint="eastAsia"/>
        <w:b/>
        <w:bCs/>
        <w:spacing w:val="20"/>
        <w:kern w:val="18"/>
        <w:sz w:val="21"/>
        <w:szCs w:val="21"/>
      </w:rPr>
      <w:t>炎黄职业技术学院毕业论文</w:t>
    </w:r>
    <w:r>
      <w:rPr>
        <w:b/>
        <w:bCs/>
        <w:spacing w:val="60"/>
        <w:kern w:val="18"/>
        <w:sz w:val="36"/>
      </w:rPr>
      <w:t>	</w:t>
    </w:r>
    <w:r>
      <w:rPr>
        <w:rFonts w:hint="eastAsia" w:ascii="宋体" w:hAnsi="宋体"/>
        <w:b/>
        <w:kern w:val="0"/>
        <w:sz w:val="21"/>
        <w:szCs w:val="21"/>
      </w:rPr>
      <w:t xml:space="preserve">第 </w:t>
    </w:r>
    <w:r>
      <w:rPr>
        <w:rFonts w:ascii="宋体" w:hAnsi="宋体"/>
        <w:b/>
        <w:kern w:val="0"/>
        <w:sz w:val="21"/>
        <w:szCs w:val="21"/>
      </w:rPr>
      <w:fldChar w:fldCharType="begin"/>
    </w:r>
    <w:r>
      <w:rPr>
        <w:rFonts w:ascii="宋体" w:hAnsi="宋体"/>
        <w:b/>
        <w:kern w:val="0"/>
        <w:sz w:val="21"/>
        <w:szCs w:val="21"/>
      </w:rPr>
      <w:instrText xml:space="preserve"> PAGE </w:instrText>
    </w:r>
    <w:r>
      <w:rPr>
        <w:rFonts w:ascii="宋体" w:hAnsi="宋体"/>
        <w:b/>
        <w:kern w:val="0"/>
        <w:sz w:val="21"/>
        <w:szCs w:val="21"/>
      </w:rPr>
      <w:fldChar w:fldCharType="separate"/>
    </w:r>
    <w:r>
      <w:rPr>
        <w:rFonts w:ascii="宋体" w:hAnsi="宋体"/>
        <w:b/>
        <w:kern w:val="0"/>
        <w:sz w:val="21"/>
        <w:szCs w:val="21"/>
      </w:rPr>
      <w:t>1</w:t>
    </w:r>
    <w:r>
      <w:rPr>
        <w:rFonts w:ascii="宋体" w:hAnsi="宋体"/>
        <w:b/>
        <w:kern w:val="0"/>
        <w:sz w:val="21"/>
        <w:szCs w:val="21"/>
      </w:rPr>
      <w:fldChar w:fldCharType="end"/>
    </w:r>
    <w:r>
      <w:rPr>
        <w:rFonts w:hint="eastAsia" w:ascii="宋体" w:hAnsi="宋体"/>
        <w:b/>
        <w:kern w:val="0"/>
        <w:sz w:val="21"/>
        <w:szCs w:val="21"/>
      </w:rPr>
      <w:t xml:space="preserve"> 页  共 </w:t>
    </w:r>
    <w:r>
      <w:rPr>
        <w:rFonts w:ascii="宋体" w:hAnsi="宋体"/>
        <w:b/>
        <w:kern w:val="0"/>
        <w:sz w:val="21"/>
        <w:szCs w:val="21"/>
      </w:rPr>
      <w:fldChar w:fldCharType="begin"/>
    </w:r>
    <w:r>
      <w:rPr>
        <w:rFonts w:ascii="宋体" w:hAnsi="宋体"/>
        <w:b/>
        <w:kern w:val="0"/>
        <w:sz w:val="21"/>
        <w:szCs w:val="21"/>
      </w:rPr>
      <w:instrText xml:space="preserve"> NUMPAGES </w:instrText>
    </w:r>
    <w:r>
      <w:rPr>
        <w:rFonts w:ascii="宋体" w:hAnsi="宋体"/>
        <w:b/>
        <w:kern w:val="0"/>
        <w:sz w:val="21"/>
        <w:szCs w:val="21"/>
      </w:rPr>
      <w:fldChar w:fldCharType="separate"/>
    </w:r>
    <w:r>
      <w:rPr>
        <w:rFonts w:ascii="宋体" w:hAnsi="宋体"/>
        <w:b/>
        <w:kern w:val="0"/>
        <w:sz w:val="21"/>
        <w:szCs w:val="21"/>
      </w:rPr>
      <w:t>4</w:t>
    </w:r>
    <w:r>
      <w:rPr>
        <w:rFonts w:ascii="宋体" w:hAnsi="宋体"/>
        <w:b/>
        <w:kern w:val="0"/>
        <w:sz w:val="21"/>
        <w:szCs w:val="21"/>
      </w:rPr>
      <w:fldChar w:fldCharType="end"/>
    </w:r>
    <w:r>
      <w:rPr>
        <w:rFonts w:hint="eastAsia" w:ascii="宋体" w:hAnsi="宋体"/>
        <w:b/>
        <w:kern w:val="0"/>
        <w:sz w:val="21"/>
        <w:szCs w:val="21"/>
      </w:rPr>
      <w:t xml:space="preserve"> 页</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682FC0"/>
    <w:rsid w:val="0B682F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9">
    <w:name w:val="Default Paragraph Font"/>
    <w:semiHidden/>
    <w:qFormat/>
    <w:uiPriority w:val="0"/>
  </w:style>
  <w:style w:type="table" w:default="1" w:styleId="8">
    <w:name w:val="Normal Table"/>
    <w:semiHidden/>
    <w:uiPriority w:val="0"/>
    <w:tblPr>
      <w:tblCellMar>
        <w:top w:w="0" w:type="dxa"/>
        <w:left w:w="108" w:type="dxa"/>
        <w:bottom w:w="0" w:type="dxa"/>
        <w:right w:w="108" w:type="dxa"/>
      </w:tblCellMar>
    </w:tblPr>
  </w:style>
  <w:style w:type="paragraph" w:styleId="2">
    <w:name w:val="Body Text 3"/>
    <w:basedOn w:val="1"/>
    <w:uiPriority w:val="0"/>
    <w:pPr>
      <w:spacing w:line="240" w:lineRule="exact"/>
    </w:pPr>
    <w:rPr>
      <w:color w:val="0000FF"/>
    </w:rPr>
  </w:style>
  <w:style w:type="paragraph" w:styleId="3">
    <w:name w:val="Body Text"/>
    <w:basedOn w:val="1"/>
    <w:qFormat/>
    <w:uiPriority w:val="0"/>
    <w:pPr>
      <w:jc w:val="center"/>
    </w:pPr>
    <w:rPr>
      <w:rFonts w:eastAsia="方正大标宋简体"/>
      <w:sz w:val="76"/>
    </w:rPr>
  </w:style>
  <w:style w:type="paragraph" w:styleId="4">
    <w:name w:val="Body Text Indent"/>
    <w:basedOn w:val="1"/>
    <w:uiPriority w:val="0"/>
    <w:pPr>
      <w:spacing w:line="360" w:lineRule="auto"/>
      <w:ind w:firstLine="560" w:firstLineChars="200"/>
    </w:pPr>
    <w:rPr>
      <w:rFonts w:ascii="宋体" w:hAnsi="宋体"/>
      <w:color w:val="0000FF"/>
      <w:sz w:val="28"/>
    </w:r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7">
    <w:name w:val="Body Text Indent 3"/>
    <w:basedOn w:val="1"/>
    <w:uiPriority w:val="0"/>
    <w:pPr>
      <w:spacing w:line="360" w:lineRule="exact"/>
      <w:ind w:firstLine="560" w:firstLineChars="200"/>
    </w:pPr>
    <w:rPr>
      <w:rFonts w:ascii="宋体" w:hAnsi="宋体"/>
      <w:color w:val="000000"/>
      <w:sz w:val="28"/>
      <w:szCs w:val="21"/>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header" Target="header3.xml"/><Relationship Id="rId11" Type="http://schemas.openxmlformats.org/officeDocument/2006/relationships/header" Target="header4.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2026-06-01T00:34:00Z</dcterms:created>
  <dc:creator>张越峰</dc:creator>
  <cp:lastModifiedBy>张越峰</cp:lastModifiedBy>
  <dcterms:modified xsi:type="dcterms:W3CDTF">2026-06-01T00:39:25Z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CD7730DCD78F4F6CB91D3741DD88D3DA_11</vt:lpwstr>
  </property>
  <property fmtid="{D5CDD505-2E9C-101B-9397-08002B2CF9AE}" pid="4" name="KSOTemplateDocerSaveRecord">
    <vt:lpwstr>eyJoZGlkIjoiM2E1ZmU4MmZmZjZkYmU2OGM1YzNmYzcyZTQ0MGJkMjIiLCJ1c2VySWQiOiIyMTgxODA0ODkifQ==</vt:lpwstr>
  </property>
</Properties>
</file>