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课题概况（主旨，思路，方法）</w:t>
            </w:r>
          </w:p>
          <w:p>
            <w:pPr>
              <w:rPr>
                <w:rFonts w:eastAsia="宋体" w:ascii="宋体" w:hAnsi="宋体"/>
                <w:color w:val="000000"/>
                <w:sz w:val="21"/>
                <w:szCs w:val="21"/>
              </w:rPr>
            </w:pPr>
            <w:r>
              <w:rPr>
                <w:rFonts w:eastAsia="宋体" w:ascii="宋体" w:hAnsi="宋体"/>
                <w:color w:val="000000"/>
                <w:sz w:val="21"/>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1"/>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1"/>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导师意见：</w:t>
            </w:r>
          </w:p>
          <w:p>
            <w:pPr>
              <w:rPr>
                <w:rFonts w:eastAsia="宋体" w:ascii="宋体" w:hAnsi="宋体"/>
                <w:color w:val="000000"/>
                <w:sz w:val="21"/>
                <w:szCs w:val="21"/>
              </w:rPr>
            </w:pPr>
            <w:r>
              <w:rPr>
                <w:rFonts w:eastAsia="宋体" w:ascii="宋体" w:hAnsi="宋体"/>
                <w:color w:val="000000"/>
                <w:sz w:val="21"/>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论文评审组长意见：</w:t>
            </w:r>
          </w:p>
          <w:p>
            <w:pPr>
              <w:rPr>
                <w:rFonts w:eastAsia="宋体" w:ascii="宋体" w:hAnsi="宋体"/>
                <w:color w:val="000000"/>
                <w:sz w:val="21"/>
                <w:szCs w:val="21"/>
              </w:rPr>
            </w:pPr>
            <w:r>
              <w:rPr>
                <w:rFonts w:eastAsia="宋体" w:ascii="宋体" w:hAnsi="宋体"/>
                <w:color w:val="000000"/>
                <w:sz w:val="21"/>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1"/>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本课题主要内容：</w:t>
            </w:r>
          </w:p>
          <w:p>
            <w:pPr>
              <w:rPr>
                <w:rFonts w:eastAsia="宋体" w:ascii="宋体" w:hAnsi="宋体"/>
                <w:color w:val="000000"/>
                <w:sz w:val="21"/>
                <w:szCs w:val="21"/>
              </w:rPr>
            </w:pPr>
            <w:r>
              <w:rPr>
                <w:rFonts w:eastAsia="宋体" w:ascii="宋体" w:hAnsi="宋体"/>
                <w:color w:val="000000"/>
                <w:sz w:val="21"/>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本课题研究进度安排：</w:t>
            </w:r>
          </w:p>
          <w:p>
            <w:pPr>
              <w:rPr>
                <w:rFonts w:eastAsia="宋体" w:ascii="宋体" w:hAnsi="宋体"/>
                <w:color w:val="000000"/>
                <w:sz w:val="21"/>
                <w:szCs w:val="21"/>
              </w:rPr>
            </w:pPr>
            <w:r>
              <w:rPr>
                <w:rFonts w:eastAsia="宋体" w:ascii="宋体" w:hAnsi="宋体"/>
                <w:color w:val="000000"/>
                <w:sz w:val="21"/>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1"/>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1"/>
                <w:szCs w:val="21"/>
              </w:rPr>
              <w:t>第三阶段：2025.09.13~2025.10.11　　完成论文初稿。</w:t>
            </w:r>
          </w:p>
          <w:p>
            <w:pPr>
              <w:rPr>
                <w:rFonts w:eastAsia="宋体" w:ascii="宋体" w:hAnsi="宋体"/>
                <w:color w:val="000000"/>
                <w:sz w:val="21"/>
                <w:szCs w:val="21"/>
              </w:rPr>
            </w:pPr>
            <w:r>
              <w:rPr>
                <w:rFonts w:eastAsia="宋体" w:ascii="宋体" w:hAnsi="宋体"/>
                <w:color w:val="000000"/>
                <w:sz w:val="21"/>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主要参考文献：</w:t>
            </w:r>
          </w:p>
          <w:p>
            <w:pPr>
              <w:rPr>
                <w:rFonts w:eastAsia="宋体" w:ascii="宋体" w:hAnsi="宋体"/>
                <w:color w:val="000000"/>
                <w:sz w:val="21"/>
                <w:szCs w:val="21"/>
              </w:rPr>
            </w:pPr>
            <w:r>
              <w:rPr>
                <w:rFonts w:eastAsia="宋体" w:ascii="宋体" w:hAnsi="宋体"/>
                <w:color w:val="000000"/>
                <w:sz w:val="21"/>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1"/>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1"/>
                <w:szCs w:val="21"/>
              </w:rPr>
              <w:t>[3]  中华人民共和国住房和城乡建设部. 装配式混凝土结构技术规程: JGJ 1-2014[S]. 北京: 中国建筑工业出版社, 2014.</w:t>
            </w:r>
          </w:p>
          <w:p>
            <w:pPr>
              <w:rPr>
                <w:rFonts w:eastAsia="宋体" w:ascii="宋体" w:hAnsi="宋体"/>
                <w:color w:val="000000"/>
                <w:sz w:val="21"/>
                <w:szCs w:val="21"/>
              </w:rPr>
            </w:pPr>
            <w:r>
              <w:rPr>
                <w:rFonts w:eastAsia="宋体" w:ascii="宋体" w:hAnsi="宋体"/>
                <w:color w:val="000000"/>
                <w:sz w:val="21"/>
                <w:szCs w:val="21"/>
              </w:rPr>
              <w:t>[4]  中华人民共和国住房和城乡建设部. 建筑信息模型设计交付标准: GB/T 51301-2018[S]. 北京: 中国标准出版社, 2018.</w:t>
            </w:r>
          </w:p>
          <w:p>
            <w:pPr>
              <w:rPr>
                <w:rFonts w:eastAsia="宋体" w:ascii="宋体" w:hAnsi="宋体"/>
                <w:color w:val="000000"/>
                <w:sz w:val="21"/>
                <w:szCs w:val="21"/>
              </w:rPr>
            </w:pPr>
            <w:r>
              <w:rPr>
                <w:rFonts w:eastAsia="宋体" w:ascii="宋体" w:hAnsi="宋体"/>
                <w:color w:val="000000"/>
                <w:sz w:val="21"/>
                <w:szCs w:val="21"/>
              </w:rPr>
              <w:t>[5]  中华人民共和国住房和城乡建设部. 建筑工程设计信息模型制图标准: JGJ/T 448-2018[S]. 北京: 中国建筑工业出版社, 2018.</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时间安排：2025.08.18~2025.09.03</w:t>
            </w:r>
          </w:p>
          <w:p>
            <w:pPr>
              <w:rPr>
                <w:rFonts w:eastAsia="宋体" w:ascii="宋体" w:hAnsi="宋体"/>
                <w:color w:val="000000"/>
                <w:sz w:val="21"/>
                <w:szCs w:val="21"/>
              </w:rPr>
            </w:pPr>
            <w:r>
              <w:rPr>
                <w:rFonts w:eastAsia="宋体" w:ascii="宋体" w:hAnsi="宋体"/>
                <w:color w:val="000000"/>
                <w:sz w:val="21"/>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1"/>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时间安排：2025.09.04~2025.09.12</w:t>
            </w:r>
          </w:p>
          <w:p>
            <w:pPr>
              <w:rPr>
                <w:rFonts w:eastAsia="宋体" w:ascii="宋体" w:hAnsi="宋体"/>
                <w:color w:val="000000"/>
                <w:sz w:val="21"/>
                <w:szCs w:val="21"/>
              </w:rPr>
            </w:pPr>
            <w:r>
              <w:rPr>
                <w:rFonts w:eastAsia="宋体" w:ascii="宋体" w:hAnsi="宋体"/>
                <w:color w:val="000000"/>
                <w:sz w:val="21"/>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1"/>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时间安排：2025.09.13~2025.10.11</w:t>
            </w:r>
          </w:p>
          <w:p>
            <w:pPr>
              <w:rPr>
                <w:rFonts w:eastAsia="宋体" w:ascii="宋体" w:hAnsi="宋体"/>
                <w:color w:val="000000"/>
                <w:sz w:val="21"/>
                <w:szCs w:val="21"/>
              </w:rPr>
            </w:pPr>
            <w:r>
              <w:rPr>
                <w:rFonts w:eastAsia="宋体" w:ascii="宋体" w:hAnsi="宋体"/>
                <w:color w:val="000000"/>
                <w:sz w:val="21"/>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1"/>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时间安排：2025.10.12~2025.11.25</w:t>
            </w:r>
          </w:p>
          <w:p>
            <w:pPr>
              <w:rPr>
                <w:rFonts w:eastAsia="宋体" w:ascii="宋体" w:hAnsi="宋体"/>
                <w:color w:val="000000"/>
                <w:sz w:val="21"/>
                <w:szCs w:val="21"/>
              </w:rPr>
            </w:pPr>
            <w:r>
              <w:rPr>
                <w:rFonts w:eastAsia="宋体" w:ascii="宋体" w:hAnsi="宋体"/>
                <w:color w:val="000000"/>
                <w:sz w:val="21"/>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1"/>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宋体" w:ascii="宋体" w:hAnsi="宋体"/>
                <w:color w:val="000000"/>
                <w:sz w:val="21"/>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宋体" w:ascii="宋体" w:hAnsi="宋体"/>
                <w:color w:val="000000"/>
                <w:sz w:val="21"/>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360" w:lineRule="auto"/>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 xml:space="preserve">关键词：</w:t>
      </w:r>
      <w:r>
        <w:rPr>
          <w:rFonts w:eastAsia="宋体" w:ascii="宋体" w:hAnsi="宋体"/>
          <w:color w:val="000000"/>
          <w:sz w:val="24"/>
          <w:szCs w:val="24"/>
        </w:rPr>
        <w:t xml:space="preserve">  BIM技术；协同设计；装配式建筑；结构设计；住宅项目</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 xml:space="preserve">Key words：</w:t>
      </w:r>
      <w:r>
        <w:rPr>
          <w:rFonts w:eastAsia="Times New Roman" w:ascii="Times New Roman" w:hAnsi="Times New Roman"/>
          <w:color w:val="000000"/>
          <w:sz w:val="24"/>
          <w:szCs w:val="24"/>
        </w:rPr>
        <w:t xml:space="preserve">  BIM technology; collaborative design; prefabricated building; structural design; residential project</w:t>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11</w:t>
      </w:r>
      <w:r>
        <w:rPr>
          <w:rFonts w:ascii="宋体" w:hAnsi="宋体" w:eastAsia="宋体"/>
          <w:color w:val="000000"/>
          <w:sz w:val="24"/>
          <w:szCs w:val="24"/>
        </w:rPr>
      </w:r>
      <w:r>
        <w:rPr>
          <w:rFonts w:ascii="宋体" w:hAnsi="宋体" w:eastAsia="宋体"/>
          <w:color w:val="000000"/>
          <w:sz w:val="24"/>
          <w:szCs w:val="24"/>
        </w:rPr>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11</w:t>
      </w:r>
      <w:r>
        <w:rPr>
          <w:rFonts w:ascii="宋体" w:hAnsi="宋体" w:eastAsia="宋体"/>
          <w:color w:val="000000"/>
          <w:sz w:val="24"/>
          <w:szCs w:val="24"/>
        </w:rPr>
      </w:r>
      <w:r>
        <w:rPr>
          <w:rFonts w:ascii="宋体" w:hAnsi="宋体" w:eastAsia="宋体"/>
          <w:color w:val="000000"/>
          <w:sz w:val="24"/>
          <w:szCs w:val="24"/>
        </w:rPr>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12</w:t>
      </w:r>
      <w:r>
        <w:rPr>
          <w:rFonts w:ascii="宋体" w:hAnsi="宋体" w:eastAsia="宋体"/>
          <w:color w:val="000000"/>
          <w:sz w:val="24"/>
          <w:szCs w:val="24"/>
        </w:rPr>
      </w:r>
      <w:r>
        <w:rPr>
          <w:rFonts w:ascii="宋体" w:hAnsi="宋体" w:eastAsia="宋体"/>
          <w:color w:val="000000"/>
          <w:sz w:val="24"/>
          <w:szCs w:val="24"/>
        </w:rPr>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12</w:t>
      </w:r>
      <w:r>
        <w:rPr>
          <w:rFonts w:ascii="宋体" w:hAnsi="宋体" w:eastAsia="宋体"/>
          <w:color w:val="000000"/>
          <w:sz w:val="24"/>
          <w:szCs w:val="24"/>
        </w:rPr>
      </w:r>
      <w:r>
        <w:rPr>
          <w:rFonts w:ascii="宋体" w:hAnsi="宋体" w:eastAsia="宋体"/>
          <w:color w:val="000000"/>
          <w:sz w:val="24"/>
          <w:szCs w:val="24"/>
        </w:rPr>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13</w:t>
      </w:r>
      <w:r>
        <w:rPr>
          <w:rFonts w:ascii="宋体" w:hAnsi="宋体" w:eastAsia="宋体"/>
          <w:color w:val="000000"/>
          <w:sz w:val="24"/>
          <w:szCs w:val="24"/>
        </w:rPr>
      </w:r>
      <w:r>
        <w:rPr>
          <w:rFonts w:ascii="宋体" w:hAnsi="宋体" w:eastAsia="宋体"/>
          <w:color w:val="000000"/>
          <w:sz w:val="24"/>
          <w:szCs w:val="24"/>
        </w:rPr>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13</w:t>
      </w:r>
      <w:r>
        <w:rPr>
          <w:rFonts w:ascii="宋体" w:hAnsi="宋体" w:eastAsia="宋体"/>
          <w:color w:val="000000"/>
          <w:sz w:val="24"/>
          <w:szCs w:val="24"/>
        </w:rPr>
      </w:r>
      <w:r>
        <w:rPr>
          <w:rFonts w:ascii="宋体" w:hAnsi="宋体" w:eastAsia="宋体"/>
          <w:color w:val="000000"/>
          <w:sz w:val="24"/>
          <w:szCs w:val="24"/>
        </w:rPr>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14</w:t>
      </w:r>
      <w:r>
        <w:rPr>
          <w:rFonts w:ascii="宋体" w:hAnsi="宋体" w:eastAsia="宋体"/>
          <w:color w:val="000000"/>
          <w:sz w:val="24"/>
          <w:szCs w:val="24"/>
        </w:rPr>
      </w:r>
      <w:r>
        <w:rPr>
          <w:rFonts w:ascii="宋体" w:hAnsi="宋体" w:eastAsia="宋体"/>
          <w:color w:val="000000"/>
          <w:sz w:val="24"/>
          <w:szCs w:val="24"/>
        </w:rPr>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15</w:t>
      </w:r>
      <w:r>
        <w:rPr>
          <w:rFonts w:ascii="宋体" w:hAnsi="宋体" w:eastAsia="宋体"/>
          <w:color w:val="000000"/>
          <w:sz w:val="24"/>
          <w:szCs w:val="24"/>
        </w:rPr>
      </w:r>
      <w:r>
        <w:rPr>
          <w:rFonts w:ascii="宋体" w:hAnsi="宋体" w:eastAsia="宋体"/>
          <w:color w:val="000000"/>
          <w:sz w:val="24"/>
          <w:szCs w:val="24"/>
        </w:rPr>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17</w:t>
      </w:r>
      <w:r>
        <w:rPr>
          <w:rFonts w:ascii="宋体" w:hAnsi="宋体" w:eastAsia="宋体"/>
          <w:color w:val="000000"/>
          <w:sz w:val="24"/>
          <w:szCs w:val="24"/>
        </w:rPr>
      </w:r>
      <w:r>
        <w:rPr>
          <w:rFonts w:ascii="宋体" w:hAnsi="宋体" w:eastAsia="宋体"/>
          <w:color w:val="000000"/>
          <w:sz w:val="24"/>
          <w:szCs w:val="24"/>
        </w:rPr>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18</w:t>
      </w:r>
      <w:r>
        <w:rPr>
          <w:rFonts w:ascii="宋体" w:hAnsi="宋体" w:eastAsia="宋体"/>
          <w:color w:val="000000"/>
          <w:sz w:val="24"/>
          <w:szCs w:val="24"/>
        </w:rPr>
      </w:r>
      <w:r>
        <w:rPr>
          <w:rFonts w:ascii="宋体" w:hAnsi="宋体" w:eastAsia="宋体"/>
          <w:color w:val="000000"/>
          <w:sz w:val="24"/>
          <w:szCs w:val="24"/>
        </w:rPr>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18</w:t>
      </w:r>
      <w:r>
        <w:rPr>
          <w:rFonts w:ascii="宋体" w:hAnsi="宋体" w:eastAsia="宋体"/>
          <w:color w:val="000000"/>
          <w:sz w:val="24"/>
          <w:szCs w:val="24"/>
        </w:rPr>
      </w:r>
      <w:r>
        <w:rPr>
          <w:rFonts w:ascii="宋体" w:hAnsi="宋体" w:eastAsia="宋体"/>
          <w:color w:val="000000"/>
          <w:sz w:val="24"/>
          <w:szCs w:val="24"/>
        </w:rPr>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18</w:t>
      </w:r>
      <w:r>
        <w:rPr>
          <w:rFonts w:ascii="宋体" w:hAnsi="宋体" w:eastAsia="宋体"/>
          <w:color w:val="000000"/>
          <w:sz w:val="24"/>
          <w:szCs w:val="24"/>
        </w:rPr>
      </w:r>
      <w:r>
        <w:rPr>
          <w:rFonts w:ascii="宋体" w:hAnsi="宋体" w:eastAsia="宋体"/>
          <w:color w:val="000000"/>
          <w:sz w:val="24"/>
          <w:szCs w:val="24"/>
        </w:rPr>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19</w:t>
      </w:r>
      <w:r>
        <w:rPr>
          <w:rFonts w:ascii="宋体" w:hAnsi="宋体" w:eastAsia="宋体"/>
          <w:color w:val="000000"/>
          <w:sz w:val="24"/>
          <w:szCs w:val="24"/>
        </w:rPr>
      </w:r>
      <w:r>
        <w:rPr>
          <w:rFonts w:ascii="宋体" w:hAnsi="宋体" w:eastAsia="宋体"/>
          <w:color w:val="000000"/>
          <w:sz w:val="24"/>
          <w:szCs w:val="24"/>
        </w:rPr>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20</w:t>
      </w:r>
      <w:r>
        <w:rPr>
          <w:rFonts w:ascii="宋体" w:hAnsi="宋体" w:eastAsia="宋体"/>
          <w:color w:val="000000"/>
          <w:sz w:val="24"/>
          <w:szCs w:val="24"/>
        </w:rPr>
      </w:r>
      <w:r>
        <w:rPr>
          <w:rFonts w:ascii="宋体" w:hAnsi="宋体" w:eastAsia="宋体"/>
          <w:color w:val="000000"/>
          <w:sz w:val="24"/>
          <w:szCs w:val="24"/>
        </w:rPr>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21</w:t>
      </w:r>
      <w:r>
        <w:rPr>
          <w:rFonts w:ascii="宋体" w:hAnsi="宋体" w:eastAsia="宋体"/>
          <w:color w:val="000000"/>
          <w:sz w:val="24"/>
          <w:szCs w:val="24"/>
        </w:rPr>
      </w:r>
      <w:r>
        <w:rPr>
          <w:rFonts w:ascii="宋体" w:hAnsi="宋体" w:eastAsia="宋体"/>
          <w:color w:val="000000"/>
          <w:sz w:val="24"/>
          <w:szCs w:val="24"/>
        </w:rPr>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22</w:t>
      </w:r>
      <w:r>
        <w:rPr>
          <w:rFonts w:ascii="宋体" w:hAnsi="宋体" w:eastAsia="宋体"/>
          <w:color w:val="000000"/>
          <w:sz w:val="24"/>
          <w:szCs w:val="24"/>
        </w:rPr>
      </w:r>
      <w:r>
        <w:rPr>
          <w:rFonts w:ascii="宋体" w:hAnsi="宋体" w:eastAsia="宋体"/>
          <w:color w:val="000000"/>
          <w:sz w:val="24"/>
          <w:szCs w:val="24"/>
        </w:rPr>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22</w:t>
      </w:r>
      <w:r>
        <w:rPr>
          <w:rFonts w:ascii="宋体" w:hAnsi="宋体" w:eastAsia="宋体"/>
          <w:color w:val="000000"/>
          <w:sz w:val="24"/>
          <w:szCs w:val="24"/>
        </w:rPr>
      </w:r>
      <w:r>
        <w:rPr>
          <w:rFonts w:ascii="宋体" w:hAnsi="宋体" w:eastAsia="宋体"/>
          <w:color w:val="000000"/>
          <w:sz w:val="24"/>
          <w:szCs w:val="24"/>
        </w:rPr>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24</w:t>
      </w:r>
      <w:r>
        <w:rPr>
          <w:rFonts w:ascii="宋体" w:hAnsi="宋体" w:eastAsia="宋体"/>
          <w:color w:val="000000"/>
          <w:sz w:val="24"/>
          <w:szCs w:val="24"/>
        </w:rPr>
      </w:r>
      <w:r>
        <w:rPr>
          <w:rFonts w:ascii="宋体" w:hAnsi="宋体" w:eastAsia="宋体"/>
          <w:color w:val="000000"/>
          <w:sz w:val="24"/>
          <w:szCs w:val="24"/>
        </w:rPr>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26</w:t>
      </w:r>
      <w:r>
        <w:rPr>
          <w:rFonts w:ascii="宋体" w:hAnsi="宋体" w:eastAsia="宋体"/>
          <w:color w:val="000000"/>
          <w:sz w:val="24"/>
          <w:szCs w:val="24"/>
        </w:rPr>
      </w:r>
      <w:r>
        <w:rPr>
          <w:rFonts w:ascii="宋体" w:hAnsi="宋体" w:eastAsia="宋体"/>
          <w:color w:val="000000"/>
          <w:sz w:val="24"/>
          <w:szCs w:val="24"/>
        </w:rPr>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31</w:t>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[1]。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BIM技术为这一问题提供了可能的解决路径。BIM的核心理念是把建筑信息以三维模型的形式集中表达，使建筑、结构、机电、装饰等各专业的设计成果能够在统一的模型环境中进行整合、协调与碰撞检查[2]。在装配式建筑项目中，BIM的应用场景已经从早期的方案展示拓展到构件深化设计、管线综合、施工模拟和运维管理等多个环节，被业内普遍认为是支撑装配式建筑精细化设计的关键技术之一[3]。</w:t>
      </w:r>
    </w:p>
    <w:p w14:paraId="9E94D052">
      <w:pPr>
        <w:spacing w:line="360" w:lineRule="auto"/>
        <w:ind w:firstLine="480"/>
        <w:rPr>
          <w:rFonts w:hint="eastAsia"/>
          <w:color w:val="000000"/>
          <w:sz w:val="24"/>
        </w:rPr>
      </w:pPr>
      <w:r>
        <w:rPr>
          <w:rFonts w:hint="eastAsia" w:eastAsia="宋体" w:ascii="宋体" w:hAnsi="宋体"/>
          <w:color w:val="000000"/>
          <w:sz w:val="24"/>
          <w:szCs w:val="24"/>
        </w:rPr>
        <w:t>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[4]。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国外对BIM技术的研究起步较早。BIM的概念最早由Autodesk公司在2002年提出，经过二十多年的发展，BIM已经成为欧美建筑行业的基础性技术之一[5]。在装配式建筑领域，BIM的应用研究集中在设计协同、构件深化、预制生产管理、施工模拟等方面。一些研究指出，BIM与装配式的结合能够实现设计-生产-施工的全过程信息贯通，是建筑工业化的重要支撑技术[6]。</w:t>
      </w:r>
    </w:p>
    <w:p w14:paraId="5F676F95">
      <w:pPr>
        <w:spacing w:line="360" w:lineRule="auto"/>
        <w:ind w:firstLine="480"/>
        <w:rPr>
          <w:rFonts w:hint="eastAsia"/>
          <w:color w:val="000000"/>
          <w:sz w:val="24"/>
        </w:rPr>
      </w:pPr>
      <w:r>
        <w:rPr>
          <w:rFonts w:hint="eastAsia" w:eastAsia="宋体" w:ascii="宋体" w:hAnsi="宋体"/>
          <w:color w:val="000000"/>
          <w:sz w:val="24"/>
          <w:szCs w:val="24"/>
        </w:rPr>
        <w:t>国内对BIM技术的研究在近十年快速发展。在政策层面，住房和城乡建设部发布的《建筑信息模型应用统一标准》对BIM应用的总体框架作了规范[7]，《建筑信息模型设计交付标准》进一步明确了BIM设计成果的交付要求[8]，《建筑工程设计信息模型制图标准》对BIM模型的制图规范提出了具体要求[9]。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[10]。也有研究分析了BIM在装配式建筑深化设计中的应用价值，阐述了族库建设、节点精细化设计、碰撞检测等关键技术的实施要点[11]。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[7]。</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协同设计是指多个专业的设计人员在统一的设计平台上共同完成设计任务的工作方式。协同设计的核心是"信息共享"，即各专业的设计成果能够在平台上实时呈现给其他专业的设计人员，避免信息不对称导致的设计冲突[2]。</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我国已初步建立起BIM应用的标准体系。《建筑信息模型应用统一标准》对BIM应用的基本框架和总体要求作出了规范[7]。《建筑信息模型设计交付标准》对BIM设计的交付内容、深度和格式作出了规定[8]。《建筑工程设计信息模型制图标准》对BIM模型的制图规范提出了具体要求，包括图层、线型、标注和视图表达等[9]。</w:t>
      </w:r>
    </w:p>
    <w:p w14:paraId="B7AD6A70">
      <w:pPr>
        <w:spacing w:line="360" w:lineRule="auto"/>
        <w:ind w:firstLine="480"/>
        <w:rPr>
          <w:rFonts w:hint="eastAsia"/>
          <w:color w:val="000000"/>
          <w:sz w:val="24"/>
        </w:rPr>
      </w:pPr>
      <w:r>
        <w:rPr>
          <w:rFonts w:hint="eastAsia" w:eastAsia="宋体" w:ascii="宋体" w:hAnsi="宋体"/>
          <w:color w:val="000000"/>
          <w:sz w:val="24"/>
          <w:szCs w:val="24"/>
        </w:rPr>
        <w:t>在装配式建筑方面，《装配式混凝土建筑技术标准》对装配式建筑的设计、生产、施工和验收作了系统规定[12]。《装配式混凝土结构技术规程》从结构专业角度对装配式混凝土结构的设计和施工提出了具体要求[13]。《装配式建筑评价标准》对装配率计算方法和评价等级作出了规定[14]。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上海闵行浦江镇基地召楼路以东S8-01市属保障房项目位于上海市闵行区浦江镇，是国家"十三五"课题示范项目、住建部装配式科技示范项目和上海市装配式建筑示范项目[4]。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项目自2017年1月1日开始施工，预计2018年9月竣工[4]。在施工过程中，项目团队通过采用BIM技术进行深化设计、碰撞检查和节点优化，提高了设计质量，减少了施工阶段的返工和设计变更。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项目的BIM协同设计实施方案包括参数化构件库构建、多专业模型整合、碰撞检查与节点优化、设计-生产数据贯通四个主要环节[15]。</w:t>
      </w:r>
    </w:p>
    <w:p w14:paraId="6E40B53E">
      <w:pPr>
        <w:spacing w:line="360" w:lineRule="auto"/>
        <w:ind w:firstLine="480"/>
        <w:rPr>
          <w:rFonts w:hint="eastAsia"/>
          <w:color w:val="000000"/>
          <w:sz w:val="24"/>
        </w:rPr>
      </w:pPr>
      <w:r>
        <w:rPr>
          <w:rFonts w:hint="eastAsia" w:eastAsia="宋体" w:ascii="宋体" w:hAnsi="宋体"/>
          <w:color w:val="000000"/>
          <w:sz w:val="24"/>
          <w:szCs w:val="24"/>
        </w:rPr>
        <w:t>**参数化构件库构建**。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多专业模型整合**。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碰撞检查与节点优化**。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设计-生产数据贯通**。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95C9F02D">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5872863"/>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5872863"/>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BIM协同设计对结构设计质量的影响可以从设计协同、构件深化、管线综合和设计变更四个维度进行分析[10][11]。</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F2DF32DA">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5889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358899"/>
                    </a:xfrm>
                    <a:prstGeom prst="rect"/>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设计错误率下降**。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预制构件的一次性成品率提高**。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设计周期可控**。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多专业协同效率提升**。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 xml:space="preserve">[1]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 xml:space="preserve">[2]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 xml:space="preserve">[3]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 xml:space="preserve">[4]  上海市闵行浦江镇基地召楼路以东S8-01市属保障房项目案例[N]. 搜狐, 2017.</w:t>
      </w:r>
    </w:p>
    <w:p w14:paraId="0D2D95EC">
      <w:pPr>
        <w:spacing w:line="440" w:lineRule="exact"/>
        <w:ind w:firstLine="573"/>
        <w:rPr>
          <w:rFonts w:hint="eastAsia"/>
          <w:color w:val="000000"/>
          <w:szCs w:val="21"/>
        </w:rPr>
      </w:pPr>
      <w:r>
        <w:rPr>
          <w:rFonts w:hint="eastAsia" w:eastAsia="宋体" w:ascii="宋体" w:hAnsi="宋体"/>
          <w:color w:val="000000"/>
          <w:sz w:val="21"/>
          <w:szCs w:val="21"/>
        </w:rPr>
        <w:t xml:space="preserve">[5]  XIAO J Z. Recycled Aggregate Concrete Structures[M]. Berlin: Springer, 2018.</w:t>
      </w:r>
    </w:p>
    <w:p w14:paraId="317F6F96">
      <w:pPr>
        <w:spacing w:line="440" w:lineRule="exact"/>
        <w:ind w:firstLine="573"/>
        <w:rPr>
          <w:rFonts w:hint="eastAsia"/>
          <w:color w:val="000000"/>
          <w:szCs w:val="21"/>
        </w:rPr>
      </w:pPr>
      <w:r>
        <w:rPr>
          <w:rFonts w:hint="eastAsia" w:eastAsia="宋体" w:ascii="宋体" w:hAnsi="宋体"/>
          <w:color w:val="000000"/>
          <w:sz w:val="21"/>
          <w:szCs w:val="21"/>
        </w:rPr>
        <w:t xml:space="preserve">[6]  肖建庄. 再生混凝土[M]. 北京: 中国建筑工业出版社, 2008.</w:t>
      </w:r>
    </w:p>
    <w:p w14:paraId="1A207120">
      <w:pPr>
        <w:spacing w:line="440" w:lineRule="exact"/>
        <w:ind w:firstLine="573"/>
        <w:rPr>
          <w:rFonts w:hint="eastAsia"/>
          <w:color w:val="000000"/>
          <w:szCs w:val="21"/>
        </w:rPr>
      </w:pPr>
      <w:r>
        <w:rPr>
          <w:rFonts w:hint="eastAsia" w:eastAsia="宋体" w:ascii="宋体" w:hAnsi="宋体"/>
          <w:color w:val="000000"/>
          <w:sz w:val="21"/>
          <w:szCs w:val="21"/>
        </w:rPr>
        <w:t xml:space="preserve">[7]  中华人民共和国住房和城乡建设部. 建筑信息模型应用统一标准: GB/T 51212-2016[S]. 北京: 中国建筑工业出版社, 2016.</w:t>
      </w:r>
    </w:p>
    <w:p w14:paraId="0D864E20">
      <w:pPr>
        <w:spacing w:line="440" w:lineRule="exact"/>
        <w:ind w:firstLine="573"/>
        <w:rPr>
          <w:rFonts w:hint="eastAsia"/>
          <w:color w:val="000000"/>
          <w:szCs w:val="21"/>
        </w:rPr>
      </w:pPr>
      <w:r>
        <w:rPr>
          <w:rFonts w:hint="eastAsia" w:eastAsia="宋体" w:ascii="宋体" w:hAnsi="宋体"/>
          <w:color w:val="000000"/>
          <w:sz w:val="21"/>
          <w:szCs w:val="21"/>
        </w:rPr>
        <w:t xml:space="preserve">[8]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 xml:space="preserve">[9]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 xml:space="preserve">[10]  BIM技术在装配式建筑深化设计中的应用研究[J]. 维普期刊, 2025.</w:t>
      </w:r>
    </w:p>
    <w:p w14:paraId="A5C240B6">
      <w:pPr>
        <w:spacing w:line="440" w:lineRule="exact"/>
        <w:ind w:firstLine="573"/>
        <w:rPr>
          <w:rFonts w:hint="eastAsia"/>
          <w:color w:val="000000"/>
          <w:szCs w:val="21"/>
        </w:rPr>
      </w:pPr>
      <w:r>
        <w:rPr>
          <w:rFonts w:hint="eastAsia" w:eastAsia="宋体" w:ascii="宋体" w:hAnsi="宋体"/>
          <w:color w:val="000000"/>
          <w:sz w:val="21"/>
          <w:szCs w:val="21"/>
        </w:rPr>
        <w:t xml:space="preserve">[11]  BIM技术在装配式建筑深化设计中的应用研究[J]. 西部科学与技术, 2025(9).</w:t>
      </w:r>
    </w:p>
    <w:p w14:paraId="A6573583">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AD113CED">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 xml:space="preserve">[15]  上海市闵行浦江镇基地保障房项目BIM应用案例[J]. 知乎, 2020.</w:t>
      </w:r>
    </w:p>
    <w:p w14:paraId="290EFE12">
      <w:pPr>
        <w:spacing w:before="156" w:beforeLines="50" w:line="360" w:lineRule="auto"/>
        <w:rPr>
          <w:rFonts w:hint="eastAsia"/>
          <w:color w:val="000000"/>
          <w:sz w:val="30"/>
        </w:rPr>
      </w:pPr>
    </w:p>
    <w:p w14:paraId="57B0AAD4">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spacing w:line="360" w:lineRule="auto"/>
        <w:ind w:firstLine="480"/>
        <w:rPr>
          <w:rFonts w:hint="eastAsia" w:ascii="宋体" w:hAnsi="宋体"/>
          <w:color w:val="000000"/>
          <w:sz w:val="30"/>
        </w:rPr>
      </w:pPr>
    </w:p>
    <w:p w14:paraId="6E7E4E47">
      <w:pPr>
        <w:spacing w:line="440" w:lineRule="exact"/>
        <w:ind w:firstLine="480" w:firstLineChars="200"/>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