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4"/>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4"/>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4"/>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装配式混凝土建筑技术标准: GB/T 51231-2016[S]. 北京: 中国建筑工业出版社, 2016.</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再生混凝土，装配式建筑，住宅项目，应用评价，再生骨料</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words：recycled aggregate concrete, prefabricated building, residential project, application evaluation, recycled aggregate</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10</w:t>
      </w:r>
      <w:r>
        <w:rPr>
          <w:rFonts w:ascii="宋体" w:hAnsi="宋体" w:eastAsia="宋体"/>
          <w:color w:val="000000"/>
          <w:sz w:val="24"/>
          <w:szCs w:val="24"/>
        </w:rPr>
      </w:r>
      <w:r>
        <w:rPr>
          <w:rFonts w:ascii="宋体" w:hAnsi="宋体" w:eastAsia="宋体"/>
          <w:color w:val="000000"/>
          <w:sz w:val="24"/>
          <w:szCs w:val="24"/>
        </w:rPr>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11</w:t>
      </w:r>
      <w:r>
        <w:rPr>
          <w:rFonts w:ascii="宋体" w:hAnsi="宋体" w:eastAsia="宋体"/>
          <w:color w:val="000000"/>
          <w:sz w:val="24"/>
          <w:szCs w:val="24"/>
        </w:rPr>
      </w:r>
      <w:r>
        <w:rPr>
          <w:rFonts w:ascii="宋体" w:hAnsi="宋体" w:eastAsia="宋体"/>
          <w:color w:val="000000"/>
          <w:sz w:val="24"/>
          <w:szCs w:val="24"/>
        </w:rPr>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tab/>
        <w:t>12</w:t>
      </w:r>
      <w:r>
        <w:rPr>
          <w:rFonts w:ascii="宋体" w:hAnsi="宋体" w:eastAsia="宋体"/>
          <w:color w:val="000000"/>
          <w:sz w:val="24"/>
          <w:szCs w:val="24"/>
        </w:rPr>
      </w:r>
      <w:r>
        <w:rPr>
          <w:rFonts w:ascii="宋体" w:hAnsi="宋体" w:eastAsia="宋体"/>
          <w:color w:val="000000"/>
          <w:sz w:val="24"/>
          <w:szCs w:val="24"/>
        </w:rPr>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tab/>
        <w:t>12</w:t>
      </w:r>
      <w:r>
        <w:rPr>
          <w:rFonts w:ascii="宋体" w:hAnsi="宋体" w:eastAsia="宋体"/>
          <w:color w:val="000000"/>
          <w:sz w:val="24"/>
          <w:szCs w:val="24"/>
        </w:rPr>
      </w:r>
      <w:r>
        <w:rPr>
          <w:rFonts w:ascii="宋体" w:hAnsi="宋体" w:eastAsia="宋体"/>
          <w:color w:val="000000"/>
          <w:sz w:val="24"/>
          <w:szCs w:val="24"/>
        </w:rPr>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tab/>
        <w:t>13</w:t>
      </w:r>
      <w:r>
        <w:rPr>
          <w:rFonts w:ascii="宋体" w:hAnsi="宋体" w:eastAsia="宋体"/>
          <w:color w:val="000000"/>
          <w:sz w:val="24"/>
          <w:szCs w:val="24"/>
        </w:rPr>
      </w:r>
      <w:r>
        <w:rPr>
          <w:rFonts w:ascii="宋体" w:hAnsi="宋体" w:eastAsia="宋体"/>
          <w:color w:val="000000"/>
          <w:sz w:val="24"/>
          <w:szCs w:val="24"/>
        </w:rPr>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tab/>
        <w:t>14</w:t>
      </w:r>
      <w:r>
        <w:rPr>
          <w:rFonts w:ascii="宋体" w:hAnsi="宋体" w:eastAsia="宋体"/>
          <w:color w:val="000000"/>
          <w:sz w:val="24"/>
          <w:szCs w:val="24"/>
        </w:rPr>
      </w:r>
      <w:r>
        <w:rPr>
          <w:rFonts w:ascii="宋体" w:hAnsi="宋体" w:eastAsia="宋体"/>
          <w:color w:val="000000"/>
          <w:sz w:val="24"/>
          <w:szCs w:val="24"/>
        </w:rPr>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tab/>
        <w:t>15</w:t>
      </w:r>
      <w:r>
        <w:rPr>
          <w:rFonts w:ascii="宋体" w:hAnsi="宋体" w:eastAsia="宋体"/>
          <w:color w:val="000000"/>
          <w:sz w:val="24"/>
          <w:szCs w:val="24"/>
        </w:rPr>
      </w:r>
      <w:r>
        <w:rPr>
          <w:rFonts w:ascii="宋体" w:hAnsi="宋体" w:eastAsia="宋体"/>
          <w:color w:val="000000"/>
          <w:sz w:val="24"/>
          <w:szCs w:val="24"/>
        </w:rPr>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tab/>
        <w:t>15</w:t>
      </w:r>
      <w:r>
        <w:rPr>
          <w:rFonts w:ascii="宋体" w:hAnsi="宋体" w:eastAsia="宋体"/>
          <w:color w:val="000000"/>
          <w:sz w:val="24"/>
          <w:szCs w:val="24"/>
        </w:rPr>
      </w:r>
      <w:r>
        <w:rPr>
          <w:rFonts w:ascii="宋体" w:hAnsi="宋体" w:eastAsia="宋体"/>
          <w:color w:val="000000"/>
          <w:sz w:val="24"/>
          <w:szCs w:val="24"/>
        </w:rPr>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15</w:t>
      </w:r>
      <w:r>
        <w:rPr>
          <w:rFonts w:ascii="宋体" w:hAnsi="宋体" w:eastAsia="宋体"/>
          <w:color w:val="000000"/>
          <w:sz w:val="24"/>
          <w:szCs w:val="24"/>
        </w:rPr>
      </w:r>
      <w:r>
        <w:rPr>
          <w:rFonts w:ascii="宋体" w:hAnsi="宋体" w:eastAsia="宋体"/>
          <w:color w:val="000000"/>
          <w:sz w:val="24"/>
          <w:szCs w:val="24"/>
        </w:rPr>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tab/>
        <w:t>16</w:t>
      </w:r>
      <w:r>
        <w:rPr>
          <w:rFonts w:ascii="宋体" w:hAnsi="宋体" w:eastAsia="宋体"/>
          <w:color w:val="000000"/>
          <w:sz w:val="24"/>
          <w:szCs w:val="24"/>
        </w:rPr>
      </w:r>
      <w:r>
        <w:rPr>
          <w:rFonts w:ascii="宋体" w:hAnsi="宋体" w:eastAsia="宋体"/>
          <w:color w:val="000000"/>
          <w:sz w:val="24"/>
          <w:szCs w:val="24"/>
        </w:rPr>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tab/>
        <w:t>16</w:t>
      </w:r>
      <w:r>
        <w:rPr>
          <w:rFonts w:ascii="宋体" w:hAnsi="宋体" w:eastAsia="宋体"/>
          <w:color w:val="000000"/>
          <w:sz w:val="24"/>
          <w:szCs w:val="24"/>
        </w:rPr>
      </w:r>
      <w:r>
        <w:rPr>
          <w:rFonts w:ascii="宋体" w:hAnsi="宋体" w:eastAsia="宋体"/>
          <w:color w:val="000000"/>
          <w:sz w:val="24"/>
          <w:szCs w:val="24"/>
        </w:rPr>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tab/>
        <w:t>18</w:t>
      </w:r>
      <w:r>
        <w:rPr>
          <w:rFonts w:ascii="宋体" w:hAnsi="宋体" w:eastAsia="宋体"/>
          <w:color w:val="000000"/>
          <w:sz w:val="24"/>
          <w:szCs w:val="24"/>
        </w:rPr>
      </w:r>
      <w:r>
        <w:rPr>
          <w:rFonts w:ascii="宋体" w:hAnsi="宋体" w:eastAsia="宋体"/>
          <w:color w:val="000000"/>
          <w:sz w:val="24"/>
          <w:szCs w:val="24"/>
        </w:rPr>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tab/>
        <w:t>19</w:t>
      </w:r>
      <w:r>
        <w:rPr>
          <w:rFonts w:ascii="宋体" w:hAnsi="宋体" w:eastAsia="宋体"/>
          <w:color w:val="000000"/>
          <w:sz w:val="24"/>
          <w:szCs w:val="24"/>
        </w:rPr>
      </w:r>
      <w:r>
        <w:rPr>
          <w:rFonts w:ascii="宋体" w:hAnsi="宋体" w:eastAsia="宋体"/>
          <w:color w:val="000000"/>
          <w:sz w:val="24"/>
          <w:szCs w:val="24"/>
        </w:rPr>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tab/>
        <w:t>19</w:t>
      </w:r>
      <w:r>
        <w:rPr>
          <w:rFonts w:ascii="宋体" w:hAnsi="宋体" w:eastAsia="宋体"/>
          <w:color w:val="000000"/>
          <w:sz w:val="24"/>
          <w:szCs w:val="24"/>
        </w:rPr>
      </w:r>
      <w:r>
        <w:rPr>
          <w:rFonts w:ascii="宋体" w:hAnsi="宋体" w:eastAsia="宋体"/>
          <w:color w:val="000000"/>
          <w:sz w:val="24"/>
          <w:szCs w:val="24"/>
        </w:rPr>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tab/>
        <w:t>21</w:t>
      </w:r>
      <w:r>
        <w:rPr>
          <w:rFonts w:ascii="宋体" w:hAnsi="宋体" w:eastAsia="宋体"/>
          <w:color w:val="000000"/>
          <w:sz w:val="24"/>
          <w:szCs w:val="24"/>
        </w:rPr>
      </w:r>
      <w:r>
        <w:rPr>
          <w:rFonts w:ascii="宋体" w:hAnsi="宋体" w:eastAsia="宋体"/>
          <w:color w:val="000000"/>
          <w:sz w:val="24"/>
          <w:szCs w:val="24"/>
        </w:rPr>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tab/>
        <w:t>22</w:t>
      </w:r>
      <w:r>
        <w:rPr>
          <w:rFonts w:ascii="宋体" w:hAnsi="宋体" w:eastAsia="宋体"/>
          <w:color w:val="000000"/>
          <w:sz w:val="24"/>
          <w:szCs w:val="24"/>
        </w:rPr>
      </w:r>
      <w:r>
        <w:rPr>
          <w:rFonts w:ascii="宋体" w:hAnsi="宋体" w:eastAsia="宋体"/>
          <w:color w:val="000000"/>
          <w:sz w:val="24"/>
          <w:szCs w:val="24"/>
        </w:rPr>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tab/>
        <w:t>24</w:t>
      </w:r>
      <w:r>
        <w:rPr>
          <w:rFonts w:ascii="宋体" w:hAnsi="宋体" w:eastAsia="宋体"/>
          <w:color w:val="000000"/>
          <w:sz w:val="24"/>
          <w:szCs w:val="24"/>
        </w:rPr>
      </w:r>
      <w:r>
        <w:rPr>
          <w:rFonts w:ascii="宋体" w:hAnsi="宋体" w:eastAsia="宋体"/>
          <w:color w:val="000000"/>
          <w:sz w:val="24"/>
          <w:szCs w:val="24"/>
        </w:rPr>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tab/>
        <w:t>24</w:t>
      </w:r>
      <w:r>
        <w:rPr>
          <w:rFonts w:ascii="宋体" w:hAnsi="宋体" w:eastAsia="宋体"/>
          <w:color w:val="000000"/>
          <w:sz w:val="24"/>
          <w:szCs w:val="24"/>
        </w:rPr>
      </w:r>
      <w:r>
        <w:rPr>
          <w:rFonts w:ascii="宋体" w:hAnsi="宋体" w:eastAsia="宋体"/>
          <w:color w:val="000000"/>
          <w:sz w:val="24"/>
          <w:szCs w:val="24"/>
        </w:rPr>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tab/>
        <w:t>25</w:t>
      </w:r>
      <w:r>
        <w:rPr>
          <w:rFonts w:ascii="宋体" w:hAnsi="宋体" w:eastAsia="宋体"/>
          <w:color w:val="000000"/>
          <w:sz w:val="24"/>
          <w:szCs w:val="24"/>
        </w:rPr>
      </w:r>
      <w:r>
        <w:rPr>
          <w:rFonts w:ascii="宋体" w:hAnsi="宋体" w:eastAsia="宋体"/>
          <w:color w:val="000000"/>
          <w:sz w:val="24"/>
          <w:szCs w:val="24"/>
        </w:rPr>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tab/>
        <w:t>25</w:t>
      </w:r>
      <w:r>
        <w:rPr>
          <w:rFonts w:ascii="宋体" w:hAnsi="宋体" w:eastAsia="宋体"/>
          <w:color w:val="000000"/>
          <w:sz w:val="24"/>
          <w:szCs w:val="24"/>
        </w:rPr>
      </w:r>
      <w:r>
        <w:rPr>
          <w:rFonts w:ascii="宋体" w:hAnsi="宋体" w:eastAsia="宋体"/>
          <w:color w:val="000000"/>
          <w:sz w:val="24"/>
          <w:szCs w:val="24"/>
        </w:rPr>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tab/>
        <w:t>27</w:t>
      </w:r>
      <w:r>
        <w:rPr>
          <w:rFonts w:ascii="宋体" w:hAnsi="宋体" w:eastAsia="宋体"/>
          <w:color w:val="000000"/>
          <w:sz w:val="24"/>
          <w:szCs w:val="24"/>
        </w:rPr>
      </w:r>
      <w:r>
        <w:rPr>
          <w:rFonts w:ascii="宋体" w:hAnsi="宋体" w:eastAsia="宋体"/>
          <w:color w:val="000000"/>
          <w:sz w:val="24"/>
          <w:szCs w:val="24"/>
        </w:rPr>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28</w:t>
      </w:r>
      <w:r>
        <w:rPr>
          <w:rFonts w:ascii="宋体" w:hAnsi="宋体" w:eastAsia="宋体"/>
          <w:color w:val="000000"/>
          <w:sz w:val="24"/>
          <w:szCs w:val="24"/>
        </w:rPr>
      </w:r>
      <w:r>
        <w:rPr>
          <w:rFonts w:ascii="宋体" w:hAnsi="宋体" w:eastAsia="宋体"/>
          <w:color w:val="000000"/>
          <w:sz w:val="24"/>
          <w:szCs w:val="24"/>
        </w:rPr>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28</w:t>
      </w:r>
      <w:r>
        <w:rPr>
          <w:rFonts w:ascii="宋体" w:hAnsi="宋体" w:eastAsia="宋体"/>
          <w:color w:val="000000"/>
          <w:sz w:val="24"/>
          <w:szCs w:val="24"/>
        </w:rPr>
      </w:r>
      <w:r>
        <w:rPr>
          <w:rFonts w:ascii="宋体" w:hAnsi="宋体" w:eastAsia="宋体"/>
          <w:color w:val="000000"/>
          <w:sz w:val="24"/>
          <w:szCs w:val="24"/>
        </w:rPr>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29</w:t>
      </w:r>
      <w:r>
        <w:rPr>
          <w:rFonts w:ascii="宋体" w:hAnsi="宋体" w:eastAsia="宋体"/>
          <w:color w:val="000000"/>
          <w:sz w:val="24"/>
          <w:szCs w:val="24"/>
        </w:rPr>
      </w:r>
      <w:r>
        <w:rPr>
          <w:rFonts w:ascii="宋体" w:hAnsi="宋体" w:eastAsia="宋体"/>
          <w:color w:val="000000"/>
          <w:sz w:val="24"/>
          <w:szCs w:val="24"/>
        </w:rPr>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30</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32</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eastAsia="宋体" w:ascii="宋体" w:hAnsi="宋体"/>
          <w:color w:val="000000"/>
          <w:sz w:val="24"/>
          <w:szCs w:val="24"/>
        </w:rPr>
        <w:t xml:space="preserve">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eastAsia="宋体" w:ascii="宋体" w:hAnsi="宋体"/>
          <w:color w:val="000000"/>
          <w:sz w:val="24"/>
          <w:szCs w:val="24"/>
        </w:rPr>
        <w:t xml:space="preserve">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2F4618A3">
      <w:pPr>
        <w:spacing w:line="360" w:lineRule="auto"/>
        <w:ind w:firstLine="480"/>
        <w:rPr>
          <w:rFonts w:hint="eastAsia"/>
          <w:color w:val="000000"/>
          <w:sz w:val="24"/>
        </w:rPr>
      </w:pPr>
      <w:r>
        <w:rPr>
          <w:rFonts w:hint="eastAsia" w:eastAsia="宋体" w:ascii="宋体" w:hAnsi="宋体"/>
          <w:color w:val="000000"/>
          <w:sz w:val="24"/>
          <w:szCs w:val="24"/>
        </w:rPr>
        <w:t xml:space="preserve">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587DE4E5">
      <w:pPr>
        <w:spacing w:line="360" w:lineRule="auto"/>
        <w:ind w:firstLine="48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eastAsia="宋体" w:ascii="宋体" w:hAnsi="宋体"/>
          <w:color w:val="000000"/>
          <w:sz w:val="24"/>
          <w:szCs w:val="24"/>
        </w:rPr>
        <w:t xml:space="preserve">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A31A23B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86907B84">
      <w:pPr>
        <w:spacing w:line="360" w:lineRule="auto"/>
        <w:ind w:firstLine="480"/>
        <w:rPr>
          <w:rFonts w:hint="eastAsia"/>
          <w:color w:val="000000"/>
          <w:sz w:val="24"/>
        </w:rPr>
      </w:pPr>
      <w:r>
        <w:rPr>
          <w:rFonts w:hint="eastAsia" w:eastAsia="宋体" w:ascii="宋体" w:hAnsi="宋体"/>
          <w:color w:val="000000"/>
          <w:sz w:val="24"/>
          <w:szCs w:val="24"/>
        </w:rPr>
        <w:t xml:space="preserve">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，Springer出版的《Recycled Aggregate Concrete Structures》则进一步从结构层面讨论了再生混凝土构件的受力性能和设计方法</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w:t>
      </w:r>
    </w:p>
    <w:p w14:paraId="49DC0223">
      <w:pPr>
        <w:spacing w:line="360" w:lineRule="auto"/>
        <w:ind w:firstLine="480"/>
        <w:rPr>
          <w:rFonts w:hint="eastAsia"/>
          <w:color w:val="000000"/>
          <w:sz w:val="24"/>
        </w:rPr>
      </w:pPr>
      <w:r>
        <w:rPr>
          <w:rFonts w:hint="eastAsia" w:eastAsia="宋体" w:ascii="宋体" w:hAnsi="宋体"/>
          <w:color w:val="000000"/>
          <w:sz w:val="24"/>
          <w:szCs w:val="24"/>
        </w:rPr>
        <w:t xml:space="preserve">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CC63DE4C">
      <w:pPr>
        <w:spacing w:line="360" w:lineRule="auto"/>
        <w:ind w:firstLine="480"/>
        <w:rPr>
          <w:rFonts w:hint="eastAsia"/>
          <w:color w:val="000000"/>
          <w:sz w:val="24"/>
        </w:rPr>
      </w:pPr>
      <w:r>
        <w:rPr>
          <w:rFonts w:hint="eastAsia" w:eastAsia="宋体" w:ascii="宋体" w:hAnsi="宋体"/>
          <w:color w:val="000000"/>
          <w:sz w:val="24"/>
          <w:szCs w:val="24"/>
        </w:rPr>
        <w:t xml:space="preserve">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。这一结论对再生混凝土用于装配式剪力墙结构具有直接的参考价值。</w:t>
      </w:r>
    </w:p>
    <w:p w14:paraId="F8207667">
      <w:pPr>
        <w:spacing w:line="360" w:lineRule="auto"/>
        <w:ind w:firstLine="48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1.3.4  再生混凝土在工程中的应用现状</w:t>
      </w:r>
    </w:p>
    <w:p w14:paraId="A204585F">
      <w:pPr>
        <w:spacing w:line="360" w:lineRule="auto"/>
        <w:ind w:firstLine="48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0962EB65">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再生混凝土与装配式建筑的基本理论</w:t>
      </w:r>
    </w:p>
    <w:p w14:paraId="791B46A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再生骨料与再生混凝土的定义与分类</w:t>
      </w:r>
    </w:p>
    <w:p w14:paraId="998C2417">
      <w:pPr>
        <w:spacing w:line="360" w:lineRule="auto"/>
        <w:ind w:firstLine="480"/>
        <w:rPr>
          <w:rFonts w:hint="eastAsia"/>
          <w:color w:val="000000"/>
          <w:sz w:val="24"/>
        </w:rPr>
      </w:pPr>
      <w:r>
        <w:rPr>
          <w:rFonts w:hint="eastAsia" w:eastAsia="宋体" w:ascii="宋体" w:hAnsi="宋体"/>
          <w:color w:val="000000"/>
          <w:sz w:val="24"/>
          <w:szCs w:val="24"/>
        </w:rPr>
        <w:t xml:space="preserve">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。《混凝土和砂浆用再生细骨料》则对配制混凝土和砂浆用的再生细骨料作出了相应规定</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w:t>
      </w:r>
    </w:p>
    <w:p w14:paraId="05BFDED6">
      <w:pPr>
        <w:spacing w:line="360" w:lineRule="auto"/>
        <w:ind w:firstLine="48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再生骨料的生产工艺与质量控制</w:t>
      </w:r>
    </w:p>
    <w:p w14:paraId="A79B667D">
      <w:pPr>
        <w:spacing w:line="360" w:lineRule="auto"/>
        <w:ind w:firstLine="48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再生混凝土的主要性能特征</w:t>
      </w:r>
    </w:p>
    <w:p w14:paraId="251D890C">
      <w:pPr>
        <w:spacing w:line="360" w:lineRule="auto"/>
        <w:ind w:firstLine="48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eastAsia="宋体" w:ascii="宋体" w:hAnsi="宋体"/>
          <w:color w:val="000000"/>
          <w:sz w:val="24"/>
          <w:szCs w:val="24"/>
        </w:rPr>
        <w:t xml:space="preserve">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B0A5F49E">
      <w:pPr>
        <w:spacing w:line="360" w:lineRule="auto"/>
        <w:ind w:firstLine="48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eastAsia="宋体" w:ascii="宋体" w:hAnsi="宋体"/>
          <w:color w:val="000000"/>
          <w:sz w:val="24"/>
          <w:szCs w:val="24"/>
        </w:rPr>
        <w:t xml:space="preserve">在耐久性能方面，抗冻性、抗碳化性和抗氯离子渗透性是评价的重点。再生骨料表面旧砂浆和多孔隙结构使混凝土的渗透性增大，氯离子更易侵入，因此在有耐久性要求的环境中，需要控制水胶比、掺入矿物掺合料并加强养护</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DB6FBAC">
      <w:pPr>
        <w:spacing w:line="360" w:lineRule="auto"/>
        <w:ind w:firstLine="480"/>
        <w:rPr>
          <w:rFonts w:hint="eastAsia"/>
          <w:color w:val="000000"/>
          <w:sz w:val="24"/>
        </w:rPr>
      </w:pPr>
      <w:r>
        <w:rPr>
          <w:rFonts w:hint="eastAsia" w:eastAsia="宋体" w:ascii="宋体" w:hAnsi="宋体"/>
          <w:color w:val="000000"/>
          <w:sz w:val="24"/>
          <w:szCs w:val="24"/>
        </w:rPr>
        <w:t xml:space="preserve">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02444E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装配式混凝土结构体系</w:t>
      </w:r>
    </w:p>
    <w:p w14:paraId="AEBC3E05">
      <w:pPr>
        <w:spacing w:line="360" w:lineRule="auto"/>
        <w:ind w:firstLine="480"/>
        <w:rPr>
          <w:rFonts w:hint="eastAsia"/>
          <w:color w:val="000000"/>
          <w:sz w:val="24"/>
        </w:rPr>
      </w:pPr>
      <w:r>
        <w:rPr>
          <w:rFonts w:hint="eastAsia" w:eastAsia="宋体" w:ascii="宋体" w:hAnsi="宋体"/>
          <w:color w:val="000000"/>
          <w:sz w:val="24"/>
          <w:szCs w:val="24"/>
        </w:rPr>
        <w:t xml:space="preserve">装配式混凝土结构是装配式建筑的主要结构形式之一。《装配式混凝土建筑技术标准》对装配式混凝土建筑的术语、基本规定、材料、建筑设计、结构设计、构件制作、施工安装和质量验收等内容作出了规定</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。《装配式混凝土结构技术规程》则从结构专业角度对装配式混凝土结构的设计和施工提出了要求，其中对钢筋连接、接缝构造和构件承载力计算等关键问题作出了具体规定</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w:t>
      </w:r>
    </w:p>
    <w:p w14:paraId="4F574E19">
      <w:pPr>
        <w:spacing w:line="360" w:lineRule="auto"/>
        <w:ind w:firstLine="48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eastAsia="宋体" w:ascii="宋体" w:hAnsi="宋体"/>
          <w:color w:val="000000"/>
          <w:sz w:val="24"/>
          <w:szCs w:val="24"/>
        </w:rPr>
        <w:t xml:space="preserve">评价装配式建筑装配化程度的核心指标是装配率。《装配式建筑评价标准》规定了装配率的计算方法和评价等级划分，从主体结构、围护墙和内隔墙、装修和设备管线等方面进行评分</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装配整体式剪力墙结构的连接构造</w:t>
      </w:r>
    </w:p>
    <w:p w14:paraId="4FD6A8AA">
      <w:pPr>
        <w:spacing w:line="360" w:lineRule="auto"/>
        <w:ind w:firstLine="48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再生混凝土应用的标准与规定</w:t>
      </w:r>
    </w:p>
    <w:p w14:paraId="C39B3DDC">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F477888D">
      <w:pPr>
        <w:spacing w:line="360" w:lineRule="auto"/>
        <w:ind w:firstLine="480"/>
        <w:rPr>
          <w:rFonts w:hint="eastAsia"/>
          <w:color w:val="000000"/>
          <w:sz w:val="24"/>
        </w:rPr>
      </w:pPr>
      <w:r>
        <w:rPr>
          <w:rFonts w:hint="eastAsia" w:eastAsia="宋体" w:ascii="宋体" w:hAnsi="宋体"/>
          <w:color w:val="000000"/>
          <w:sz w:val="24"/>
          <w:szCs w:val="24"/>
        </w:rPr>
        <w:t xml:space="preserve">地方层面也在推进相关标准的制定。深圳市发布的《建筑废弃物再生产品应用工程技术规程》结合当地建筑废弃物产量大、再生利用需求迫切的特点，对建筑废弃物再生产品在工程中的应用提出了技术要求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。山东省发布的《再生混凝土预制构件应用技术规程》则专门针对再生混凝土预制构件，对构件的设计、制作、检验和应用作出了规定</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eastAsia="宋体" w:ascii="宋体" w:hAnsi="宋体"/>
          <w:color w:val="000000"/>
          <w:sz w:val="24"/>
          <w:szCs w:val="24"/>
        </w:rPr>
        <w:t xml:space="preserve">质量验收方面，《混凝土结构工程施工质量验收规范》是混凝土结构工程验收的基本依据，再生混凝土结构同样应当执行该规范的有关规定，对混凝土强度、构件尺寸偏差和结构实体质量进行检验</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54C3404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工程概况与再生混凝土应用方案</w:t>
      </w:r>
    </w:p>
    <w:p w14:paraId="6D9D5F6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6A862456">
      <w:pPr>
        <w:spacing w:line="360" w:lineRule="auto"/>
        <w:ind w:firstLine="480"/>
        <w:rPr>
          <w:rFonts w:hint="eastAsia"/>
          <w:color w:val="000000"/>
          <w:sz w:val="24"/>
        </w:rPr>
      </w:pPr>
      <w:r>
        <w:rPr>
          <w:rFonts w:hint="eastAsia" w:eastAsia="宋体" w:ascii="宋体" w:hAnsi="宋体"/>
          <w:color w:val="000000"/>
          <w:sz w:val="24"/>
          <w:szCs w:val="24"/>
        </w:rPr>
        <w:t xml:space="preserve">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FC57C54C">
      <w:pPr>
        <w:spacing w:line="360" w:lineRule="auto"/>
        <w:ind w:firstLine="480"/>
        <w:rPr>
          <w:rFonts w:hint="eastAsia"/>
          <w:color w:val="000000"/>
          <w:sz w:val="24"/>
        </w:rPr>
      </w:pPr>
      <w:r>
        <w:rPr>
          <w:rFonts w:hint="eastAsia" w:eastAsia="宋体" w:ascii="宋体" w:hAnsi="宋体"/>
          <w:color w:val="000000"/>
          <w:sz w:val="24"/>
          <w:szCs w:val="24"/>
        </w:rPr>
        <w:t xml:space="preserve">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34E526F2">
      <w:pPr>
        <w:spacing w:line="360" w:lineRule="auto"/>
        <w:ind w:firstLine="48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结构体系与构件配置</w:t>
      </w:r>
    </w:p>
    <w:p w14:paraId="80575BCC">
      <w:pPr>
        <w:spacing w:line="360" w:lineRule="auto"/>
        <w:ind w:firstLine="48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eastAsia="宋体" w:ascii="宋体" w:hAnsi="宋体"/>
          <w:color w:val="000000"/>
          <w:sz w:val="24"/>
          <w:szCs w:val="24"/>
        </w:rPr>
        <w:t xml:space="preserve">从构件配置上看，竖向构件为剪力墙和框架柱，水平构件为楼盖梁板。项目在这一部分的处理方式是：竖向承重结构和水平结构均采用再生混凝土，即再生混凝土不是局部试用，而是整体性地进入了结构受力体系</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再生混凝土的配合比与制备工艺</w:t>
      </w:r>
    </w:p>
    <w:p w14:paraId="07C89D42">
      <w:pPr>
        <w:spacing w:line="360" w:lineRule="auto"/>
        <w:ind w:firstLine="48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eastAsia="宋体" w:ascii="宋体" w:hAnsi="宋体"/>
          <w:color w:val="000000"/>
          <w:sz w:val="24"/>
          <w:szCs w:val="24"/>
        </w:rPr>
        <w:t xml:space="preserve">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w:t>
      </w:r>
    </w:p>
    <w:p w14:paraId="C6859C09">
      <w:pPr>
        <w:spacing w:line="360" w:lineRule="auto"/>
        <w:ind w:firstLine="480"/>
        <w:rPr>
          <w:rFonts w:hint="eastAsia"/>
          <w:color w:val="000000"/>
          <w:sz w:val="24"/>
        </w:rPr>
      </w:pPr>
      <w:r>
        <w:rPr>
          <w:rFonts w:hint="eastAsia" w:eastAsia="宋体" w:ascii="宋体" w:hAnsi="宋体"/>
          <w:color w:val="000000"/>
          <w:sz w:val="24"/>
          <w:szCs w:val="24"/>
        </w:rPr>
        <w:t xml:space="preserve">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D9D2FBCF">
      <w:pPr>
        <w:spacing w:line="360" w:lineRule="auto"/>
        <w:ind w:firstLine="480"/>
        <w:rPr>
          <w:rFonts w:hint="eastAsia"/>
          <w:color w:val="000000"/>
          <w:sz w:val="24"/>
        </w:rPr>
      </w:pPr>
      <w:r>
        <w:rPr>
          <w:rFonts w:hint="eastAsia" w:eastAsia="宋体" w:ascii="宋体" w:hAnsi="宋体"/>
          <w:color w:val="000000"/>
          <w:sz w:val="24"/>
          <w:szCs w:val="24"/>
        </w:rPr>
        <w:t xml:space="preserve">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0E43401E">
      <w:pPr>
        <w:spacing w:line="360" w:lineRule="auto"/>
        <w:ind w:firstLine="480"/>
        <w:rPr>
          <w:rFonts w:hint="eastAsia"/>
          <w:color w:val="000000"/>
          <w:sz w:val="24"/>
        </w:rPr>
      </w:pPr>
      <w:r>
        <w:rPr>
          <w:rFonts w:hint="eastAsia" w:eastAsia="宋体" w:ascii="宋体" w:hAnsi="宋体"/>
          <w:color w:val="000000"/>
          <w:sz w:val="24"/>
          <w:szCs w:val="24"/>
        </w:rPr>
        <w:t xml:space="preserve">在拌合与生产环节，项目由中建西部建设负责再生混凝土的生产供应，采用的是再生混凝土高性能化制备的技术路线，通过专用外加剂和性能调控技术来保证混凝土的强度和工作性</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3.3.4  再生骨料主要性能指标与配合比设计要点</w:t>
      </w:r>
    </w:p>
    <w:p w14:paraId="557E6C9C">
      <w:pPr>
        <w:spacing w:line="360" w:lineRule="auto"/>
        <w:ind w:firstLine="48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施工组织与质量控制措施</w:t>
      </w:r>
    </w:p>
    <w:p w14:paraId="626778CD">
      <w:pPr>
        <w:spacing w:line="360" w:lineRule="auto"/>
        <w:ind w:firstLine="480"/>
        <w:rPr>
          <w:rFonts w:hint="eastAsia"/>
          <w:color w:val="000000"/>
          <w:sz w:val="24"/>
        </w:rPr>
      </w:pPr>
      <w:r>
        <w:rPr>
          <w:rFonts w:hint="eastAsia" w:eastAsia="宋体" w:ascii="宋体" w:hAnsi="宋体"/>
          <w:color w:val="000000"/>
          <w:sz w:val="24"/>
          <w:szCs w:val="24"/>
        </w:rPr>
        <w:t xml:space="preserve">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FAFA6C1D">
      <w:pPr>
        <w:spacing w:line="360" w:lineRule="auto"/>
        <w:ind w:firstLine="48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eastAsia="宋体" w:ascii="宋体" w:hAnsi="宋体"/>
          <w:color w:val="000000"/>
          <w:sz w:val="24"/>
          <w:szCs w:val="24"/>
        </w:rPr>
        <w:t xml:space="preserve">项目在质量控制上还采取了另外一个值得关注的措施：在建筑结构内嵌入智能结构安全监测系统，对结构长期性能进行持续监测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再生混凝土应用全过程质量控制要点</w:t>
      </w:r>
    </w:p>
    <w:p w14:paraId="247EFA1D">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再生混凝土在装配式住宅中的应用评价</w:t>
      </w:r>
    </w:p>
    <w:p w14:paraId="09C239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评价指标体系的构建</w:t>
      </w:r>
    </w:p>
    <w:p w14:paraId="0CE54D9C">
      <w:pPr>
        <w:spacing w:line="360" w:lineRule="auto"/>
        <w:ind w:firstLine="48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表4–1列出了评价指标体系的具体构成。</w:t>
      </w:r>
    </w:p>
    <w:p w14:paraId="2730F7C2">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14:paraId="4BA31BE6">
      <w:pPr>
        <w:keepLines/>
        <w:spacing w:line="440" w:lineRule="exact"/>
        <w:ind w:firstLine="0"/>
        <w:jc w:val="center"/>
        <w:rPr>
          <w:rFonts w:hint="eastAsia"/>
          <w:color w:val="000000"/>
          <w:szCs w:val="21"/>
        </w:rPr>
      </w:pPr>
      <w:r>
        <w:rPr>
          <w:rFonts w:hint="eastAsia" w:eastAsia="宋体" w:ascii="宋体" w:hAnsi="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eastAsia="宋体" w:ascii="宋体" w:hAnsi="宋体"/>
          <w:color w:val="000000"/>
          <w:sz w:val="21"/>
          <w:szCs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一级指标</w:t>
            </w:r>
          </w:p>
        </w:tc>
        <w:tc>
          <w:tcPr>
            <w:tcW w:w="2400" w:type="dxa"/>
          </w:tcPr>
          <w:p>
            <w:pPr>
              <w:jc w:val="center"/>
            </w:pPr>
            <w:r>
              <w:rPr>
                <w:rFonts w:eastAsia="宋体" w:ascii="Times New Roman" w:hAnsi="Times New Roman"/>
                <w:b/>
                <w:sz w:val="21"/>
              </w:rPr>
              <w:t>二级指标</w:t>
            </w:r>
          </w:p>
        </w:tc>
        <w:tc>
          <w:tcPr>
            <w:tcW w:w="5500" w:type="dxa"/>
          </w:tcPr>
          <w:p>
            <w:pPr>
              <w:jc w:val="center"/>
            </w:pPr>
            <w:r>
              <w:rPr>
                <w:rFonts w:eastAsia="宋体" w:ascii="Times New Roman" w:hAnsi="Times New Roman"/>
                <w:b/>
                <w:sz w:val="21"/>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14:paraId="94EE7F2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评价指标权重与评价方法的确定</w:t>
      </w:r>
    </w:p>
    <w:p w14:paraId="33C68CC9">
      <w:pPr>
        <w:spacing w:line="360" w:lineRule="auto"/>
        <w:ind w:firstLine="48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技术性能评价</w:t>
      </w:r>
    </w:p>
    <w:p w14:paraId="8EE2FDE1">
      <w:pPr>
        <w:spacing w:line="360" w:lineRule="auto"/>
        <w:ind w:firstLine="480"/>
        <w:rPr>
          <w:rFonts w:hint="eastAsia"/>
          <w:color w:val="000000"/>
          <w:sz w:val="24"/>
        </w:rPr>
      </w:pPr>
      <w:r>
        <w:rPr>
          <w:rFonts w:hint="eastAsia" w:eastAsia="宋体" w:ascii="宋体" w:hAnsi="宋体"/>
          <w:color w:val="000000"/>
          <w:sz w:val="24"/>
          <w:szCs w:val="24"/>
        </w:rPr>
        <w:t xml:space="preserve">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。本项目的做法是采用30%的取代率，这一取值处于研究和工程实践中相对稳妥的区间，既能够实现一定规模的固废消纳，又不至于对强度造成过大影响。据公开报道，项目经计算各项指标均满足国家标准要求</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AD7BE56C">
      <w:pPr>
        <w:spacing w:line="360" w:lineRule="auto"/>
        <w:ind w:firstLine="480"/>
        <w:rPr>
          <w:rFonts w:hint="eastAsia"/>
          <w:color w:val="000000"/>
          <w:sz w:val="24"/>
        </w:rPr>
      </w:pPr>
      <w:r>
        <w:rPr>
          <w:rFonts w:hint="eastAsia" w:eastAsia="宋体" w:ascii="宋体" w:hAnsi="宋体"/>
          <w:color w:val="000000"/>
          <w:sz w:val="24"/>
          <w:szCs w:val="24"/>
        </w:rPr>
        <w:t xml:space="preserve">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eastAsia="宋体" w:ascii="宋体" w:hAnsi="宋体"/>
          <w:color w:val="000000"/>
          <w:sz w:val="24"/>
          <w:szCs w:val="24"/>
        </w:rPr>
        <w:t xml:space="preserve">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eastAsia="宋体" w:ascii="宋体" w:hAnsi="宋体"/>
          <w:color w:val="000000"/>
          <w:sz w:val="24"/>
          <w:szCs w:val="24"/>
        </w:rPr>
        <w:t xml:space="preserve">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施工适应性评价</w:t>
      </w:r>
    </w:p>
    <w:p w14:paraId="FD1A2D73">
      <w:pPr>
        <w:spacing w:line="360" w:lineRule="auto"/>
        <w:ind w:firstLine="48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施工适应性的细化分析</w:t>
      </w:r>
    </w:p>
    <w:p w14:paraId="68D87CB8">
      <w:pPr>
        <w:spacing w:line="360" w:lineRule="auto"/>
        <w:ind w:firstLine="48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经济与环境效益评价</w:t>
      </w:r>
    </w:p>
    <w:p w14:paraId="9E02C26A">
      <w:pPr>
        <w:spacing w:line="360" w:lineRule="auto"/>
        <w:ind w:firstLine="480"/>
        <w:rPr>
          <w:rFonts w:hint="eastAsia"/>
          <w:color w:val="000000"/>
          <w:sz w:val="24"/>
        </w:rPr>
      </w:pPr>
      <w:r>
        <w:rPr>
          <w:rFonts w:hint="eastAsia" w:eastAsia="宋体" w:ascii="宋体" w:hAnsi="宋体"/>
          <w:color w:val="000000"/>
          <w:sz w:val="24"/>
          <w:szCs w:val="24"/>
        </w:rPr>
        <w:t xml:space="preserve">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。此外，建筑废弃物的外运和填埋量减少，也节约了土地资源和运输能耗。</w:t>
      </w:r>
    </w:p>
    <w:p w14:paraId="985D98B7">
      <w:pPr>
        <w:spacing w:line="360" w:lineRule="auto"/>
        <w:ind w:firstLine="480"/>
        <w:rPr>
          <w:rFonts w:hint="eastAsia"/>
          <w:color w:val="000000"/>
          <w:sz w:val="24"/>
        </w:rPr>
      </w:pPr>
      <w:r>
        <w:rPr>
          <w:rFonts w:hint="eastAsia" w:eastAsia="宋体" w:ascii="宋体" w:hAnsi="宋体"/>
          <w:color w:val="000000"/>
          <w:sz w:val="24"/>
          <w:szCs w:val="24"/>
        </w:rPr>
        <w:t xml:space="preserve">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E9CC1643">
      <w:pPr>
        <w:spacing w:line="360" w:lineRule="auto"/>
        <w:ind w:firstLine="480"/>
        <w:rPr>
          <w:rFonts w:hint="eastAsia"/>
          <w:color w:val="000000"/>
          <w:sz w:val="24"/>
        </w:rPr>
      </w:pPr>
      <w:r>
        <w:rPr>
          <w:rFonts w:hint="eastAsia" w:eastAsia="宋体" w:ascii="宋体" w:hAnsi="宋体"/>
          <w:color w:val="000000"/>
          <w:sz w:val="24"/>
          <w:szCs w:val="24"/>
        </w:rPr>
        <w:t xml:space="preserve">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w:t>
      </w:r>
    </w:p>
    <w:p w14:paraId="9DD76305">
      <w:pPr>
        <w:spacing w:line="360" w:lineRule="auto"/>
        <w:ind w:firstLine="48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4．5  评价结果分析</w:t>
      </w:r>
    </w:p>
    <w:p w14:paraId="429C0E0F">
      <w:pPr>
        <w:spacing w:line="360" w:lineRule="auto"/>
        <w:ind w:firstLine="480"/>
        <w:rPr>
          <w:rFonts w:hint="eastAsia"/>
          <w:color w:val="000000"/>
          <w:sz w:val="24"/>
        </w:rPr>
      </w:pPr>
      <w:r>
        <w:rPr>
          <w:rFonts w:hint="eastAsia" w:eastAsia="宋体" w:ascii="宋体" w:hAnsi="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eastAsia="宋体" w:ascii="宋体" w:hAnsi="宋体"/>
          <w:color w:val="000000"/>
          <w:sz w:val="24"/>
          <w:szCs w:val="24"/>
        </w:rPr>
        <w:t xml:space="preserve">第四，标准体系的完善程度直接决定推广速度。《再生骨料应用技术规程》给出了基本的技术依据，深圳、山东等地也在推进地方标准的制定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应用中存在的主要问题与优化对策</w:t>
      </w:r>
    </w:p>
    <w:p w14:paraId="86BB435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存在的主要问题</w:t>
      </w:r>
    </w:p>
    <w:p w14:paraId="0E7DB56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再生骨料品质波动大</w:t>
      </w:r>
    </w:p>
    <w:p w14:paraId="7581D709">
      <w:pPr>
        <w:spacing w:line="360" w:lineRule="auto"/>
        <w:ind w:firstLine="48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拌合物工作性控制难度大</w:t>
      </w:r>
    </w:p>
    <w:p w14:paraId="0330D87A">
      <w:pPr>
        <w:spacing w:line="360" w:lineRule="auto"/>
        <w:ind w:firstLine="48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预制构件早期强度与生产节奏的矛盾</w:t>
      </w:r>
    </w:p>
    <w:p w14:paraId="498A3272">
      <w:pPr>
        <w:spacing w:line="360" w:lineRule="auto"/>
        <w:ind w:firstLine="48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5.1.4  标准配套与检测手段仍有短板</w:t>
      </w:r>
    </w:p>
    <w:p w14:paraId="9EA15CAE">
      <w:pPr>
        <w:spacing w:line="360" w:lineRule="auto"/>
        <w:ind w:firstLine="480"/>
        <w:rPr>
          <w:rFonts w:hint="eastAsia"/>
          <w:color w:val="000000"/>
          <w:sz w:val="24"/>
        </w:rPr>
      </w:pPr>
      <w:r>
        <w:rPr>
          <w:rFonts w:hint="eastAsia" w:eastAsia="宋体" w:ascii="宋体" w:hAnsi="宋体"/>
          <w:color w:val="000000"/>
          <w:sz w:val="24"/>
          <w:szCs w:val="24"/>
        </w:rPr>
        <w:t xml:space="preserve">现行《再生骨料应用技术规程》对再生骨料的应用作出了规定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，但在预制构件这一细分领域，配套的技术依据还不够完善。虽然深圳、山东等地已经出台或正在推进地方标准</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施工过程中的温度与养护控制</w:t>
      </w:r>
    </w:p>
    <w:p w14:paraId="304BD4E9">
      <w:pPr>
        <w:spacing w:line="360" w:lineRule="auto"/>
        <w:ind w:firstLine="48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5.1.6  质量检测与验收的关键环节</w:t>
      </w:r>
    </w:p>
    <w:p w14:paraId="987BC402">
      <w:pPr>
        <w:spacing w:line="360" w:lineRule="auto"/>
        <w:ind w:firstLine="48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优化对策</w:t>
      </w:r>
    </w:p>
    <w:p w14:paraId="130F568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加强再生骨料的分级与预处理</w:t>
      </w:r>
    </w:p>
    <w:p w14:paraId="CC444D5A">
      <w:pPr>
        <w:spacing w:line="360" w:lineRule="auto"/>
        <w:ind w:firstLine="480"/>
        <w:rPr>
          <w:rFonts w:hint="eastAsia"/>
          <w:color w:val="000000"/>
          <w:sz w:val="24"/>
        </w:rPr>
      </w:pPr>
      <w:r>
        <w:rPr>
          <w:rFonts w:hint="eastAsia" w:eastAsia="宋体" w:ascii="宋体" w:hAnsi="宋体"/>
          <w:color w:val="000000"/>
          <w:sz w:val="24"/>
          <w:szCs w:val="24"/>
        </w:rPr>
        <w:t xml:space="preserve">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优化配合比设计参数</w:t>
      </w:r>
    </w:p>
    <w:p w14:paraId="3882159F">
      <w:pPr>
        <w:spacing w:line="360" w:lineRule="auto"/>
        <w:ind w:firstLine="480"/>
        <w:rPr>
          <w:rFonts w:hint="eastAsia"/>
          <w:color w:val="000000"/>
          <w:sz w:val="24"/>
        </w:rPr>
      </w:pPr>
      <w:r>
        <w:rPr>
          <w:rFonts w:hint="eastAsia" w:eastAsia="宋体" w:ascii="宋体" w:hAnsi="宋体"/>
          <w:color w:val="000000"/>
          <w:sz w:val="24"/>
          <w:szCs w:val="24"/>
        </w:rPr>
        <w:t xml:space="preserve">配合比设计上，建议采取以下几项措施。一是控制水胶比并掺入矿物掺合料，改善界面过渡区结构，提高密实度和耐久性</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完善生产过程的质量留痕</w:t>
      </w:r>
    </w:p>
    <w:p w14:paraId="71F5F065">
      <w:pPr>
        <w:spacing w:line="360" w:lineRule="auto"/>
        <w:ind w:firstLine="48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加强连接节点的试验验证</w:t>
      </w:r>
    </w:p>
    <w:p w14:paraId="FC7EE6DC">
      <w:pPr>
        <w:spacing w:line="360" w:lineRule="auto"/>
        <w:ind w:firstLine="480"/>
        <w:rPr>
          <w:rFonts w:hint="eastAsia"/>
          <w:color w:val="000000"/>
          <w:sz w:val="24"/>
        </w:rPr>
      </w:pPr>
      <w:r>
        <w:rPr>
          <w:rFonts w:hint="eastAsia" w:eastAsia="宋体" w:ascii="宋体" w:hAnsi="宋体"/>
          <w:color w:val="000000"/>
          <w:sz w:val="24"/>
          <w:szCs w:val="24"/>
        </w:rPr>
        <w:t xml:space="preserve">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F28DBD5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34646182">
      <w:pPr>
        <w:spacing w:line="360" w:lineRule="auto"/>
        <w:ind w:firstLine="48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6.1.5  工程应用的若干建议</w:t>
      </w:r>
    </w:p>
    <w:p w14:paraId="A194D170">
      <w:pPr>
        <w:spacing w:line="360" w:lineRule="auto"/>
        <w:ind w:firstLine="48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eastAsia="黑体" w:ascii="黑体" w:hAnsi="黑体"/>
          <w:color w:val="000000"/>
          <w:sz w:val="24"/>
          <w:szCs w:val="24"/>
        </w:rPr>
        <w:t>6.1.6 研究方法的适用性与局限</w:t>
      </w:r>
    </w:p>
    <w:p w14:paraId="25BC6530">
      <w:pPr>
        <w:spacing w:line="360" w:lineRule="auto"/>
        <w:ind w:firstLine="48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A08CBB27">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eastAsia="宋体" w:ascii="宋体" w:hAnsi="宋体"/>
          <w:color w:val="000000"/>
          <w:sz w:val="21"/>
          <w:szCs w:val="21"/>
        </w:rPr>
        <w:t xml:space="preserve">[1]  肖建庄. 再生混凝土[M]. 北京: 中国建筑工业出版社, 2008.</w:t>
      </w:r>
    </w:p>
    <w:p w14:paraId="38EFDEE6">
      <w:pPr>
        <w:spacing w:line="440" w:lineRule="exact"/>
        <w:ind w:firstLine="573"/>
        <w:rPr>
          <w:rFonts w:hint="eastAsia"/>
          <w:color w:val="000000"/>
          <w:szCs w:val="21"/>
        </w:rPr>
      </w:pPr>
      <w:r>
        <w:rPr>
          <w:rFonts w:hint="eastAsia" w:eastAsia="宋体" w:ascii="宋体" w:hAnsi="宋体"/>
          <w:color w:val="000000"/>
          <w:sz w:val="21"/>
          <w:szCs w:val="21"/>
        </w:rPr>
        <w:t xml:space="preserve">[2]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eastAsia="宋体" w:ascii="宋体" w:hAnsi="宋体"/>
          <w:color w:val="000000"/>
          <w:sz w:val="21"/>
          <w:szCs w:val="21"/>
        </w:rPr>
        <w:t xml:space="preserve">[3]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eastAsia="宋体" w:ascii="宋体" w:hAnsi="宋体"/>
          <w:color w:val="000000"/>
          <w:sz w:val="21"/>
          <w:szCs w:val="21"/>
        </w:rPr>
        <w:t xml:space="preserve">[4]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eastAsia="宋体" w:ascii="宋体" w:hAnsi="宋体"/>
          <w:color w:val="000000"/>
          <w:sz w:val="21"/>
          <w:szCs w:val="21"/>
        </w:rPr>
        <w:t xml:space="preserve">[6]  肖建庄. 可持续混凝土结构导论[M]. 北京: 科学出版社, 2017.</w:t>
      </w:r>
    </w:p>
    <w:p w14:paraId="26590CEC">
      <w:pPr>
        <w:spacing w:line="440" w:lineRule="exact"/>
        <w:ind w:firstLine="573"/>
        <w:rPr>
          <w:rFonts w:hint="eastAsia"/>
          <w:color w:val="000000"/>
          <w:szCs w:val="21"/>
        </w:rPr>
      </w:pPr>
      <w:r>
        <w:rPr>
          <w:rFonts w:hint="eastAsia" w:eastAsia="宋体" w:ascii="宋体" w:hAnsi="宋体"/>
          <w:color w:val="000000"/>
          <w:sz w:val="21"/>
          <w:szCs w:val="21"/>
        </w:rPr>
        <w:t xml:space="preserve">[7]  XIAO J Z. Recycled Aggregate Concrete Structures[M]. Berlin: Springer, 2018.</w:t>
      </w:r>
    </w:p>
    <w:p w14:paraId="42C349A2">
      <w:pPr>
        <w:spacing w:line="440" w:lineRule="exact"/>
        <w:ind w:firstLine="573"/>
        <w:rPr>
          <w:rFonts w:hint="eastAsia"/>
          <w:color w:val="000000"/>
          <w:szCs w:val="21"/>
        </w:rPr>
      </w:pPr>
      <w:r>
        <w:rPr>
          <w:rFonts w:hint="eastAsia" w:eastAsia="宋体" w:ascii="宋体" w:hAnsi="宋体"/>
          <w:color w:val="000000"/>
          <w:sz w:val="21"/>
          <w:szCs w:val="21"/>
        </w:rPr>
        <w:t xml:space="preserve">[8]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eastAsia="宋体" w:ascii="宋体" w:hAnsi="宋体"/>
          <w:color w:val="000000"/>
          <w:sz w:val="21"/>
          <w:szCs w:val="21"/>
        </w:rPr>
        <w:t xml:space="preserve">[9]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eastAsia="宋体" w:ascii="宋体" w:hAnsi="宋体"/>
          <w:color w:val="000000"/>
          <w:sz w:val="21"/>
          <w:szCs w:val="21"/>
        </w:rPr>
        <w:t xml:space="preserve">[15]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eastAsia="宋体" w:ascii="宋体" w:hAnsi="宋体"/>
          <w:color w:val="000000"/>
          <w:sz w:val="21"/>
          <w:szCs w:val="21"/>
        </w:rPr>
        <w:t xml:space="preserve">[16]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eastAsia="宋体" w:ascii="宋体" w:hAnsi="宋体"/>
          <w:color w:val="000000"/>
          <w:sz w:val="21"/>
          <w:szCs w:val="21"/>
        </w:rPr>
        <w:t xml:space="preserve">[17]  中华人民共和国住房和城乡建设部. 混凝土结构工程施工质量验收规范: GB 50204-2015[S]. 北京: 中国建筑工业出版社, 2015.</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5D3F2D80">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