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4"/>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4"/>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4"/>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装配式混凝土建筑技术标准: GB/T 51231-2016[S].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4"/>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words：recycled aggregate concrete, prefabricated building, residential project, application evaluation, recycled aggregate</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10</w:t>
      </w:r>
      <w:r>
        <w:rPr>
          <w:rFonts w:ascii="宋体" w:hAnsi="宋体" w:eastAsia="宋体"/>
          <w:color w:val="000000"/>
          <w:sz w:val="24"/>
          <w:szCs w:val="24"/>
        </w:rPr>
      </w:r>
      <w:r>
        <w:rPr>
          <w:rFonts w:ascii="宋体" w:hAnsi="宋体" w:eastAsia="宋体"/>
          <w:color w:val="000000"/>
          <w:sz w:val="24"/>
          <w:szCs w:val="24"/>
        </w:rPr>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11</w:t>
      </w:r>
      <w:r>
        <w:rPr>
          <w:rFonts w:ascii="宋体" w:hAnsi="宋体" w:eastAsia="宋体"/>
          <w:color w:val="000000"/>
          <w:sz w:val="24"/>
          <w:szCs w:val="24"/>
        </w:rPr>
      </w:r>
      <w:r>
        <w:rPr>
          <w:rFonts w:ascii="宋体" w:hAnsi="宋体" w:eastAsia="宋体"/>
          <w:color w:val="000000"/>
          <w:sz w:val="24"/>
          <w:szCs w:val="24"/>
        </w:rPr>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12</w:t>
      </w:r>
      <w:r>
        <w:rPr>
          <w:rFonts w:ascii="宋体" w:hAnsi="宋体" w:eastAsia="宋体"/>
          <w:color w:val="000000"/>
          <w:sz w:val="24"/>
          <w:szCs w:val="24"/>
        </w:rPr>
      </w:r>
      <w:r>
        <w:rPr>
          <w:rFonts w:ascii="宋体" w:hAnsi="宋体" w:eastAsia="宋体"/>
          <w:color w:val="000000"/>
          <w:sz w:val="24"/>
          <w:szCs w:val="24"/>
        </w:rPr>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12</w:t>
      </w:r>
      <w:r>
        <w:rPr>
          <w:rFonts w:ascii="宋体" w:hAnsi="宋体" w:eastAsia="宋体"/>
          <w:color w:val="000000"/>
          <w:sz w:val="24"/>
          <w:szCs w:val="24"/>
        </w:rPr>
      </w:r>
      <w:r>
        <w:rPr>
          <w:rFonts w:ascii="宋体" w:hAnsi="宋体" w:eastAsia="宋体"/>
          <w:color w:val="000000"/>
          <w:sz w:val="24"/>
          <w:szCs w:val="24"/>
        </w:rPr>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13</w:t>
      </w:r>
      <w:r>
        <w:rPr>
          <w:rFonts w:ascii="宋体" w:hAnsi="宋体" w:eastAsia="宋体"/>
          <w:color w:val="000000"/>
          <w:sz w:val="24"/>
          <w:szCs w:val="24"/>
        </w:rPr>
      </w:r>
      <w:r>
        <w:rPr>
          <w:rFonts w:ascii="宋体" w:hAnsi="宋体" w:eastAsia="宋体"/>
          <w:color w:val="000000"/>
          <w:sz w:val="24"/>
          <w:szCs w:val="24"/>
        </w:rPr>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14</w:t>
      </w:r>
      <w:r>
        <w:rPr>
          <w:rFonts w:ascii="宋体" w:hAnsi="宋体" w:eastAsia="宋体"/>
          <w:color w:val="000000"/>
          <w:sz w:val="24"/>
          <w:szCs w:val="24"/>
        </w:rPr>
      </w:r>
      <w:r>
        <w:rPr>
          <w:rFonts w:ascii="宋体" w:hAnsi="宋体" w:eastAsia="宋体"/>
          <w:color w:val="000000"/>
          <w:sz w:val="24"/>
          <w:szCs w:val="24"/>
        </w:rPr>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15</w:t>
      </w:r>
      <w:r>
        <w:rPr>
          <w:rFonts w:ascii="宋体" w:hAnsi="宋体" w:eastAsia="宋体"/>
          <w:color w:val="000000"/>
          <w:sz w:val="24"/>
          <w:szCs w:val="24"/>
        </w:rPr>
      </w:r>
      <w:r>
        <w:rPr>
          <w:rFonts w:ascii="宋体" w:hAnsi="宋体" w:eastAsia="宋体"/>
          <w:color w:val="000000"/>
          <w:sz w:val="24"/>
          <w:szCs w:val="24"/>
        </w:rPr>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15</w:t>
      </w:r>
      <w:r>
        <w:rPr>
          <w:rFonts w:ascii="宋体" w:hAnsi="宋体" w:eastAsia="宋体"/>
          <w:color w:val="000000"/>
          <w:sz w:val="24"/>
          <w:szCs w:val="24"/>
        </w:rPr>
      </w:r>
      <w:r>
        <w:rPr>
          <w:rFonts w:ascii="宋体" w:hAnsi="宋体" w:eastAsia="宋体"/>
          <w:color w:val="000000"/>
          <w:sz w:val="24"/>
          <w:szCs w:val="24"/>
        </w:rPr>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15</w:t>
      </w:r>
      <w:r>
        <w:rPr>
          <w:rFonts w:ascii="宋体" w:hAnsi="宋体" w:eastAsia="宋体"/>
          <w:color w:val="000000"/>
          <w:sz w:val="24"/>
          <w:szCs w:val="24"/>
        </w:rPr>
      </w:r>
      <w:r>
        <w:rPr>
          <w:rFonts w:ascii="宋体" w:hAnsi="宋体" w:eastAsia="宋体"/>
          <w:color w:val="000000"/>
          <w:sz w:val="24"/>
          <w:szCs w:val="24"/>
        </w:rPr>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16</w:t>
      </w:r>
      <w:r>
        <w:rPr>
          <w:rFonts w:ascii="宋体" w:hAnsi="宋体" w:eastAsia="宋体"/>
          <w:color w:val="000000"/>
          <w:sz w:val="24"/>
          <w:szCs w:val="24"/>
        </w:rPr>
      </w:r>
      <w:r>
        <w:rPr>
          <w:rFonts w:ascii="宋体" w:hAnsi="宋体" w:eastAsia="宋体"/>
          <w:color w:val="000000"/>
          <w:sz w:val="24"/>
          <w:szCs w:val="24"/>
        </w:rPr>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16</w:t>
      </w:r>
      <w:r>
        <w:rPr>
          <w:rFonts w:ascii="宋体" w:hAnsi="宋体" w:eastAsia="宋体"/>
          <w:color w:val="000000"/>
          <w:sz w:val="24"/>
          <w:szCs w:val="24"/>
        </w:rPr>
      </w:r>
      <w:r>
        <w:rPr>
          <w:rFonts w:ascii="宋体" w:hAnsi="宋体" w:eastAsia="宋体"/>
          <w:color w:val="000000"/>
          <w:sz w:val="24"/>
          <w:szCs w:val="24"/>
        </w:rPr>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18</w:t>
      </w:r>
      <w:r>
        <w:rPr>
          <w:rFonts w:ascii="宋体" w:hAnsi="宋体" w:eastAsia="宋体"/>
          <w:color w:val="000000"/>
          <w:sz w:val="24"/>
          <w:szCs w:val="24"/>
        </w:rPr>
      </w:r>
      <w:r>
        <w:rPr>
          <w:rFonts w:ascii="宋体" w:hAnsi="宋体" w:eastAsia="宋体"/>
          <w:color w:val="000000"/>
          <w:sz w:val="24"/>
          <w:szCs w:val="24"/>
        </w:rPr>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19</w:t>
      </w:r>
      <w:r>
        <w:rPr>
          <w:rFonts w:ascii="宋体" w:hAnsi="宋体" w:eastAsia="宋体"/>
          <w:color w:val="000000"/>
          <w:sz w:val="24"/>
          <w:szCs w:val="24"/>
        </w:rPr>
      </w:r>
      <w:r>
        <w:rPr>
          <w:rFonts w:ascii="宋体" w:hAnsi="宋体" w:eastAsia="宋体"/>
          <w:color w:val="000000"/>
          <w:sz w:val="24"/>
          <w:szCs w:val="24"/>
        </w:rPr>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19</w:t>
      </w:r>
      <w:r>
        <w:rPr>
          <w:rFonts w:ascii="宋体" w:hAnsi="宋体" w:eastAsia="宋体"/>
          <w:color w:val="000000"/>
          <w:sz w:val="24"/>
          <w:szCs w:val="24"/>
        </w:rPr>
      </w:r>
      <w:r>
        <w:rPr>
          <w:rFonts w:ascii="宋体" w:hAnsi="宋体" w:eastAsia="宋体"/>
          <w:color w:val="000000"/>
          <w:sz w:val="24"/>
          <w:szCs w:val="24"/>
        </w:rPr>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21</w:t>
      </w:r>
      <w:r>
        <w:rPr>
          <w:rFonts w:ascii="宋体" w:hAnsi="宋体" w:eastAsia="宋体"/>
          <w:color w:val="000000"/>
          <w:sz w:val="24"/>
          <w:szCs w:val="24"/>
        </w:rPr>
      </w:r>
      <w:r>
        <w:rPr>
          <w:rFonts w:ascii="宋体" w:hAnsi="宋体" w:eastAsia="宋体"/>
          <w:color w:val="000000"/>
          <w:sz w:val="24"/>
          <w:szCs w:val="24"/>
        </w:rPr>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22</w:t>
      </w:r>
      <w:r>
        <w:rPr>
          <w:rFonts w:ascii="宋体" w:hAnsi="宋体" w:eastAsia="宋体"/>
          <w:color w:val="000000"/>
          <w:sz w:val="24"/>
          <w:szCs w:val="24"/>
        </w:rPr>
      </w:r>
      <w:r>
        <w:rPr>
          <w:rFonts w:ascii="宋体" w:hAnsi="宋体" w:eastAsia="宋体"/>
          <w:color w:val="000000"/>
          <w:sz w:val="24"/>
          <w:szCs w:val="24"/>
        </w:rPr>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24</w:t>
      </w:r>
      <w:r>
        <w:rPr>
          <w:rFonts w:ascii="宋体" w:hAnsi="宋体" w:eastAsia="宋体"/>
          <w:color w:val="000000"/>
          <w:sz w:val="24"/>
          <w:szCs w:val="24"/>
        </w:rPr>
      </w:r>
      <w:r>
        <w:rPr>
          <w:rFonts w:ascii="宋体" w:hAnsi="宋体" w:eastAsia="宋体"/>
          <w:color w:val="000000"/>
          <w:sz w:val="24"/>
          <w:szCs w:val="24"/>
        </w:rPr>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24</w:t>
      </w:r>
      <w:r>
        <w:rPr>
          <w:rFonts w:ascii="宋体" w:hAnsi="宋体" w:eastAsia="宋体"/>
          <w:color w:val="000000"/>
          <w:sz w:val="24"/>
          <w:szCs w:val="24"/>
        </w:rPr>
      </w:r>
      <w:r>
        <w:rPr>
          <w:rFonts w:ascii="宋体" w:hAnsi="宋体" w:eastAsia="宋体"/>
          <w:color w:val="000000"/>
          <w:sz w:val="24"/>
          <w:szCs w:val="24"/>
        </w:rPr>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25</w:t>
      </w:r>
      <w:r>
        <w:rPr>
          <w:rFonts w:ascii="宋体" w:hAnsi="宋体" w:eastAsia="宋体"/>
          <w:color w:val="000000"/>
          <w:sz w:val="24"/>
          <w:szCs w:val="24"/>
        </w:rPr>
      </w:r>
      <w:r>
        <w:rPr>
          <w:rFonts w:ascii="宋体" w:hAnsi="宋体" w:eastAsia="宋体"/>
          <w:color w:val="000000"/>
          <w:sz w:val="24"/>
          <w:szCs w:val="24"/>
        </w:rPr>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25</w:t>
      </w:r>
      <w:r>
        <w:rPr>
          <w:rFonts w:ascii="宋体" w:hAnsi="宋体" w:eastAsia="宋体"/>
          <w:color w:val="000000"/>
          <w:sz w:val="24"/>
          <w:szCs w:val="24"/>
        </w:rPr>
      </w:r>
      <w:r>
        <w:rPr>
          <w:rFonts w:ascii="宋体" w:hAnsi="宋体" w:eastAsia="宋体"/>
          <w:color w:val="000000"/>
          <w:sz w:val="24"/>
          <w:szCs w:val="24"/>
        </w:rPr>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27</w:t>
      </w:r>
      <w:r>
        <w:rPr>
          <w:rFonts w:ascii="宋体" w:hAnsi="宋体" w:eastAsia="宋体"/>
          <w:color w:val="000000"/>
          <w:sz w:val="24"/>
          <w:szCs w:val="24"/>
        </w:rPr>
      </w:r>
      <w:r>
        <w:rPr>
          <w:rFonts w:ascii="宋体" w:hAnsi="宋体" w:eastAsia="宋体"/>
          <w:color w:val="000000"/>
          <w:sz w:val="24"/>
          <w:szCs w:val="24"/>
        </w:rPr>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28</w:t>
      </w:r>
      <w:r>
        <w:rPr>
          <w:rFonts w:ascii="宋体" w:hAnsi="宋体" w:eastAsia="宋体"/>
          <w:color w:val="000000"/>
          <w:sz w:val="24"/>
          <w:szCs w:val="24"/>
        </w:rPr>
      </w:r>
      <w:r>
        <w:rPr>
          <w:rFonts w:ascii="宋体" w:hAnsi="宋体" w:eastAsia="宋体"/>
          <w:color w:val="000000"/>
          <w:sz w:val="24"/>
          <w:szCs w:val="24"/>
        </w:rPr>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28</w:t>
      </w:r>
      <w:r>
        <w:rPr>
          <w:rFonts w:ascii="宋体" w:hAnsi="宋体" w:eastAsia="宋体"/>
          <w:color w:val="000000"/>
          <w:sz w:val="24"/>
          <w:szCs w:val="24"/>
        </w:rPr>
      </w:r>
      <w:r>
        <w:rPr>
          <w:rFonts w:ascii="宋体" w:hAnsi="宋体" w:eastAsia="宋体"/>
          <w:color w:val="000000"/>
          <w:sz w:val="24"/>
          <w:szCs w:val="24"/>
        </w:rPr>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29</w:t>
      </w:r>
      <w:r>
        <w:rPr>
          <w:rFonts w:ascii="宋体" w:hAnsi="宋体" w:eastAsia="宋体"/>
          <w:color w:val="000000"/>
          <w:sz w:val="24"/>
          <w:szCs w:val="24"/>
        </w:rPr>
      </w:r>
      <w:r>
        <w:rPr>
          <w:rFonts w:ascii="宋体" w:hAnsi="宋体" w:eastAsia="宋体"/>
          <w:color w:val="000000"/>
          <w:sz w:val="24"/>
          <w:szCs w:val="24"/>
        </w:rPr>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32</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 xml:space="preserve">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 xml:space="preserve">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2F4618A3">
      <w:pPr>
        <w:spacing w:line="360" w:lineRule="auto"/>
        <w:ind w:firstLine="480"/>
        <w:rPr>
          <w:rFonts w:hint="eastAsia"/>
          <w:color w:val="000000"/>
          <w:sz w:val="24"/>
        </w:rPr>
      </w:pPr>
      <w:r>
        <w:rPr>
          <w:rFonts w:hint="eastAsia" w:eastAsia="宋体" w:ascii="宋体" w:hAnsi="宋体"/>
          <w:color w:val="000000"/>
          <w:sz w:val="24"/>
          <w:szCs w:val="24"/>
        </w:rPr>
        <w:t xml:space="preserve">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 xml:space="preserve">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 xml:space="preserve">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，Springer出版的《Recycled Aggregate Concrete Structures》则进一步从结构层面讨论了再生混凝土构件的受力性能和设计方法</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w:t>
      </w:r>
    </w:p>
    <w:p w14:paraId="49DC0223">
      <w:pPr>
        <w:spacing w:line="360" w:lineRule="auto"/>
        <w:ind w:firstLine="480"/>
        <w:rPr>
          <w:rFonts w:hint="eastAsia"/>
          <w:color w:val="000000"/>
          <w:sz w:val="24"/>
        </w:rPr>
      </w:pPr>
      <w:r>
        <w:rPr>
          <w:rFonts w:hint="eastAsia" w:eastAsia="宋体" w:ascii="宋体" w:hAnsi="宋体"/>
          <w:color w:val="000000"/>
          <w:sz w:val="24"/>
          <w:szCs w:val="24"/>
        </w:rPr>
        <w:t xml:space="preserve">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CC63DE4C">
      <w:pPr>
        <w:spacing w:line="360" w:lineRule="auto"/>
        <w:ind w:firstLine="480"/>
        <w:rPr>
          <w:rFonts w:hint="eastAsia"/>
          <w:color w:val="000000"/>
          <w:sz w:val="24"/>
        </w:rPr>
      </w:pPr>
      <w:r>
        <w:rPr>
          <w:rFonts w:hint="eastAsia" w:eastAsia="宋体" w:ascii="宋体" w:hAnsi="宋体"/>
          <w:color w:val="000000"/>
          <w:sz w:val="24"/>
          <w:szCs w:val="24"/>
        </w:rPr>
        <w:t xml:space="preserve">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 xml:space="preserve">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。《混凝土和砂浆用再生细骨料》则对配制混凝土和砂浆用的再生细骨料作出了相应规定</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 xml:space="preserve">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 xml:space="preserve">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DB6FBAC">
      <w:pPr>
        <w:spacing w:line="360" w:lineRule="auto"/>
        <w:ind w:firstLine="480"/>
        <w:rPr>
          <w:rFonts w:hint="eastAsia"/>
          <w:color w:val="000000"/>
          <w:sz w:val="24"/>
        </w:rPr>
      </w:pPr>
      <w:r>
        <w:rPr>
          <w:rFonts w:hint="eastAsia" w:eastAsia="宋体" w:ascii="宋体" w:hAnsi="宋体"/>
          <w:color w:val="000000"/>
          <w:sz w:val="24"/>
          <w:szCs w:val="24"/>
        </w:rPr>
        <w:t xml:space="preserve">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 xml:space="preserve">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。《装配式混凝土结构技术规程》则从结构专业角度对装配式混凝土结构的设计和施工提出了要求，其中对钢筋连接、接缝构造和构件承载力计算等关键问题作出了具体规定</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 xml:space="preserve">评价装配式建筑装配化程度的核心指标是装配率。《装配式建筑评价标准》规定了装配率的计算方法和评价等级划分，从主体结构、围护墙和内隔墙、装修和设备管线等方面进行评分</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F477888D">
      <w:pPr>
        <w:spacing w:line="360" w:lineRule="auto"/>
        <w:ind w:firstLine="480"/>
        <w:rPr>
          <w:rFonts w:hint="eastAsia"/>
          <w:color w:val="000000"/>
          <w:sz w:val="24"/>
        </w:rPr>
      </w:pPr>
      <w:r>
        <w:rPr>
          <w:rFonts w:hint="eastAsia" w:eastAsia="宋体" w:ascii="宋体" w:hAnsi="宋体"/>
          <w:color w:val="000000"/>
          <w:sz w:val="24"/>
          <w:szCs w:val="24"/>
        </w:rPr>
        <w:t xml:space="preserve">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。山东省发布的《再生混凝土预制构件应用技术规程》则专门针对再生混凝土预制构件，对构件的设计、制作、检验和应用作出了规定</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 xml:space="preserve">质量验收方面，《混凝土结构工程施工质量验收规范》是混凝土结构工程验收的基本依据，再生混凝土结构同样应当执行该规范的有关规定，对混凝土强度、构件尺寸偏差和结构实体质量进行检验</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 xml:space="preserve">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FC57C54C">
      <w:pPr>
        <w:spacing w:line="360" w:lineRule="auto"/>
        <w:ind w:firstLine="480"/>
        <w:rPr>
          <w:rFonts w:hint="eastAsia"/>
          <w:color w:val="000000"/>
          <w:sz w:val="24"/>
        </w:rPr>
      </w:pPr>
      <w:r>
        <w:rPr>
          <w:rFonts w:hint="eastAsia" w:eastAsia="宋体" w:ascii="宋体" w:hAnsi="宋体"/>
          <w:color w:val="000000"/>
          <w:sz w:val="24"/>
          <w:szCs w:val="24"/>
        </w:rPr>
        <w:t xml:space="preserve">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 xml:space="preserve">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 xml:space="preserve">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w:t>
      </w:r>
    </w:p>
    <w:p w14:paraId="C6859C09">
      <w:pPr>
        <w:spacing w:line="360" w:lineRule="auto"/>
        <w:ind w:firstLine="480"/>
        <w:rPr>
          <w:rFonts w:hint="eastAsia"/>
          <w:color w:val="000000"/>
          <w:sz w:val="24"/>
        </w:rPr>
      </w:pPr>
      <w:r>
        <w:rPr>
          <w:rFonts w:hint="eastAsia" w:eastAsia="宋体" w:ascii="宋体" w:hAnsi="宋体"/>
          <w:color w:val="000000"/>
          <w:sz w:val="24"/>
          <w:szCs w:val="24"/>
        </w:rPr>
        <w:t xml:space="preserve">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D9D2FBCF">
      <w:pPr>
        <w:spacing w:line="360" w:lineRule="auto"/>
        <w:ind w:firstLine="480"/>
        <w:rPr>
          <w:rFonts w:hint="eastAsia"/>
          <w:color w:val="000000"/>
          <w:sz w:val="24"/>
        </w:rPr>
      </w:pPr>
      <w:r>
        <w:rPr>
          <w:rFonts w:hint="eastAsia" w:eastAsia="宋体" w:ascii="宋体" w:hAnsi="宋体"/>
          <w:color w:val="000000"/>
          <w:sz w:val="24"/>
          <w:szCs w:val="24"/>
        </w:rPr>
        <w:t xml:space="preserve">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0E43401E">
      <w:pPr>
        <w:spacing w:line="360" w:lineRule="auto"/>
        <w:ind w:firstLine="480"/>
        <w:rPr>
          <w:rFonts w:hint="eastAsia"/>
          <w:color w:val="000000"/>
          <w:sz w:val="24"/>
        </w:rPr>
      </w:pPr>
      <w:r>
        <w:rPr>
          <w:rFonts w:hint="eastAsia" w:eastAsia="宋体" w:ascii="宋体" w:hAnsi="宋体"/>
          <w:color w:val="000000"/>
          <w:sz w:val="24"/>
          <w:szCs w:val="24"/>
        </w:rPr>
        <w:t xml:space="preserve">在拌合与生产环节，项目由中建西部建设负责再生混凝土的生产供应，采用的是再生混凝土高性能化制备的技术路线，通过专用外加剂和性能调控技术来保证混凝土的强度和工作性</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 xml:space="preserve">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 xml:space="preserve">项目在质量控制上还采取了另外一个值得关注的措施：在建筑结构内嵌入智能结构安全监测系统，对结构长期性能进行持续监测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 xml:space="preserve">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AD7BE56C">
      <w:pPr>
        <w:spacing w:line="360" w:lineRule="auto"/>
        <w:ind w:firstLine="480"/>
        <w:rPr>
          <w:rFonts w:hint="eastAsia"/>
          <w:color w:val="000000"/>
          <w:sz w:val="24"/>
        </w:rPr>
      </w:pPr>
      <w:r>
        <w:rPr>
          <w:rFonts w:hint="eastAsia" w:eastAsia="宋体" w:ascii="宋体" w:hAnsi="宋体"/>
          <w:color w:val="000000"/>
          <w:sz w:val="24"/>
          <w:szCs w:val="24"/>
        </w:rPr>
        <w:t xml:space="preserve">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 xml:space="preserve">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 xml:space="preserve">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 xml:space="preserve">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 xml:space="preserve">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E9CC1643">
      <w:pPr>
        <w:spacing w:line="360" w:lineRule="auto"/>
        <w:ind w:firstLine="480"/>
        <w:rPr>
          <w:rFonts w:hint="eastAsia"/>
          <w:color w:val="000000"/>
          <w:sz w:val="24"/>
        </w:rPr>
      </w:pPr>
      <w:r>
        <w:rPr>
          <w:rFonts w:hint="eastAsia" w:eastAsia="宋体" w:ascii="宋体" w:hAnsi="宋体"/>
          <w:color w:val="000000"/>
          <w:sz w:val="24"/>
          <w:szCs w:val="24"/>
        </w:rPr>
        <w:t xml:space="preserve">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 xml:space="preserve">第四，标准体系的完善程度直接决定推广速度。《再生骨料应用技术规程》给出了基本的技术依据，深圳、山东等地也在推进地方标准的制定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 xml:space="preserve">现行《再生骨料应用技术规程》对再生骨料的应用作出了规定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，但在预制构件这一细分领域，配套的技术依据还不够完善。虽然深圳、山东等地已经出台或正在推进地方标准</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 xml:space="preserve">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 xml:space="preserve">配合比设计上，建议采取以下几项措施。一是控制水胶比并掺入矿物掺合料，改善界面过渡区结构，提高密实度和耐久性</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 xml:space="preserve">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5D3F2D80">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