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D92EA">
      <w:pPr>
        <w:jc w:val="center"/>
        <w:rPr>
          <w:rFonts w:hint="eastAsia"/>
          <w:b/>
          <w:sz w:val="44"/>
        </w:rPr>
      </w:pPr>
      <w:r>
        <w:rPr>
          <w:rFonts w:hint="eastAsia"/>
          <w:b/>
          <w:sz w:val="44"/>
        </w:rPr>
        <w:t>开题报告</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824"/>
        <w:gridCol w:w="740"/>
        <w:gridCol w:w="1484"/>
        <w:gridCol w:w="740"/>
        <w:gridCol w:w="1632"/>
        <w:gridCol w:w="1391"/>
        <w:gridCol w:w="990"/>
      </w:tblGrid>
      <w:tr w14:paraId="047F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pct"/>
            <w:noWrap w:val="0"/>
            <w:vAlign w:val="center"/>
          </w:tcPr>
          <w:p w14:paraId="689DCD0F">
            <w:pPr>
              <w:jc w:val="center"/>
              <w:rPr>
                <w:rFonts w:hint="eastAsia"/>
                <w:sz w:val="44"/>
              </w:rPr>
            </w:pPr>
            <w:r>
              <w:rPr>
                <w:rFonts w:hint="eastAsia"/>
                <w:sz w:val="24"/>
              </w:rPr>
              <w:t>姓名</w:t>
            </w:r>
          </w:p>
        </w:tc>
        <w:tc>
          <w:tcPr>
            <w:tcW w:w="479" w:type="pct"/>
            <w:noWrap w:val="0"/>
            <w:vAlign w:val="center"/>
          </w:tcPr>
          <w:p w14:paraId="7705AB44">
            <w:pPr>
              <w:jc w:val="center"/>
              <w:rPr>
                <w:rFonts w:hint="eastAsia"/>
                <w:sz w:val="24"/>
              </w:rPr>
            </w:pPr>
          </w:p>
        </w:tc>
        <w:tc>
          <w:tcPr>
            <w:tcW w:w="430" w:type="pct"/>
            <w:noWrap w:val="0"/>
            <w:vAlign w:val="center"/>
          </w:tcPr>
          <w:p w14:paraId="1118E844">
            <w:pPr>
              <w:jc w:val="center"/>
              <w:rPr>
                <w:rFonts w:hint="eastAsia"/>
                <w:sz w:val="24"/>
              </w:rPr>
            </w:pPr>
            <w:r>
              <w:rPr>
                <w:rFonts w:hint="eastAsia"/>
                <w:sz w:val="24"/>
              </w:rPr>
              <w:t>学号</w:t>
            </w:r>
          </w:p>
        </w:tc>
        <w:tc>
          <w:tcPr>
            <w:tcW w:w="862" w:type="pct"/>
            <w:noWrap w:val="0"/>
            <w:vAlign w:val="center"/>
          </w:tcPr>
          <w:p w14:paraId="3EEF3614">
            <w:pPr>
              <w:jc w:val="center"/>
              <w:rPr>
                <w:rFonts w:hint="eastAsia"/>
                <w:sz w:val="24"/>
              </w:rPr>
            </w:pPr>
          </w:p>
        </w:tc>
        <w:tc>
          <w:tcPr>
            <w:tcW w:w="430" w:type="pct"/>
            <w:noWrap w:val="0"/>
            <w:vAlign w:val="center"/>
          </w:tcPr>
          <w:p w14:paraId="160B9449">
            <w:pPr>
              <w:jc w:val="center"/>
              <w:rPr>
                <w:rFonts w:hint="eastAsia"/>
                <w:sz w:val="24"/>
              </w:rPr>
            </w:pPr>
            <w:r>
              <w:rPr>
                <w:rFonts w:hint="eastAsia"/>
                <w:sz w:val="24"/>
              </w:rPr>
              <w:t>班级</w:t>
            </w:r>
          </w:p>
        </w:tc>
        <w:tc>
          <w:tcPr>
            <w:tcW w:w="948" w:type="pct"/>
            <w:noWrap w:val="0"/>
            <w:vAlign w:val="center"/>
          </w:tcPr>
          <w:p w14:paraId="62861555">
            <w:pPr>
              <w:jc w:val="center"/>
              <w:rPr>
                <w:rFonts w:hint="eastAsia"/>
                <w:sz w:val="24"/>
              </w:rPr>
            </w:pPr>
          </w:p>
        </w:tc>
        <w:tc>
          <w:tcPr>
            <w:tcW w:w="808" w:type="pct"/>
            <w:noWrap w:val="0"/>
            <w:vAlign w:val="center"/>
          </w:tcPr>
          <w:p w14:paraId="62A8DDEA">
            <w:pPr>
              <w:jc w:val="center"/>
              <w:rPr>
                <w:rFonts w:hint="eastAsia"/>
                <w:sz w:val="24"/>
              </w:rPr>
            </w:pPr>
            <w:r>
              <w:rPr>
                <w:rFonts w:hint="eastAsia"/>
                <w:sz w:val="24"/>
              </w:rPr>
              <w:t>论文指导老师</w:t>
            </w:r>
          </w:p>
        </w:tc>
        <w:tc>
          <w:tcPr>
            <w:tcW w:w="571" w:type="pct"/>
            <w:noWrap w:val="0"/>
            <w:vAlign w:val="center"/>
          </w:tcPr>
          <w:p w14:paraId="4895D47C">
            <w:pPr>
              <w:jc w:val="center"/>
              <w:rPr>
                <w:rFonts w:hint="eastAsia"/>
                <w:sz w:val="44"/>
              </w:rPr>
            </w:pPr>
          </w:p>
        </w:tc>
      </w:tr>
      <w:tr w14:paraId="0D0E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14:paraId="0B82E0DB">
            <w:pPr>
              <w:widowControl/>
              <w:spacing w:line="360" w:lineRule="auto"/>
              <w:jc w:val="left"/>
              <w:rPr>
                <w:rFonts w:hint="eastAsia"/>
                <w:bCs/>
                <w:sz w:val="24"/>
              </w:rPr>
            </w:pPr>
            <w:r>
              <w:rPr>
                <w:sz w:val="24"/>
              </w:rPr>
              <w:t>装配式施工质量管理问题及优化研究——以市政项目为例</w:t>
            </w:r>
          </w:p>
        </w:tc>
      </w:tr>
      <w:tr w14:paraId="6412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课题概况（主旨，思路，方法）</w:t>
            </w:r>
          </w:p>
          <w:p>
            <w:pPr>
              <w:rPr>
                <w:rFonts w:eastAsia="宋体" w:ascii="宋体" w:hAnsi="宋体"/>
                <w:color w:val="000000"/>
                <w:sz w:val="21"/>
                <w:szCs w:val="21"/>
              </w:rPr>
            </w:pPr>
            <w:r>
              <w:rPr>
                <w:rFonts w:eastAsia="宋体" w:ascii="宋体" w:hAnsi="宋体"/>
                <w:color w:val="000000"/>
                <w:sz w:val="24"/>
                <w:szCs w:val="21"/>
              </w:rPr>
              <w:t>　　本文以绵阳综合管廊项目为研究对象，针对该项目管廊总长度约25.15 km、配套市政道路27.14 km的全国最大装配式管廊工程，围绕装配式施工过程中的质量问题开展调查与成因分析，并提出系统化的质量管理体系优化对策。研究从人、机、料、法、环五个维度梳理装配式综合管廊施工中常见的质量问题，剖析成因并提出针对性对策，为同类大型装配式市政工程的施工质量管理提供参考。</w:t>
            </w:r>
          </w:p>
          <w:p>
            <w:pPr>
              <w:rPr>
                <w:rFonts w:eastAsia="宋体" w:ascii="宋体" w:hAnsi="宋体"/>
                <w:color w:val="000000"/>
                <w:sz w:val="21"/>
                <w:szCs w:val="21"/>
              </w:rPr>
            </w:pPr>
            <w:r>
              <w:rPr>
                <w:rFonts w:eastAsia="宋体" w:ascii="宋体" w:hAnsi="宋体"/>
                <w:color w:val="000000"/>
                <w:sz w:val="24"/>
                <w:szCs w:val="21"/>
              </w:rPr>
              <w:t>　　第一部分梳理综合管廊与装配式施工的相关理论，包括综合管廊工程技术规定、装配式施工技术要点和施工质量管理方法。第二部分介绍绵阳综合管廊项目的基本情况、工程重难点、装配式构件设计与拆分方案以及施工组织方式。第三部分对施工过程中暴露出的质量问题进行系统识别，从人、机、料、法、环五个维度进行成因分析。第四部分从组织管理、工艺技术和质量控制手段三个方面提出针对性优化对策，并对实施效果作出评价。</w:t>
            </w:r>
          </w:p>
          <w:p>
            <w:pPr>
              <w:rPr>
                <w:rFonts w:eastAsia="宋体" w:ascii="宋体" w:hAnsi="宋体"/>
                <w:color w:val="000000"/>
                <w:sz w:val="21"/>
                <w:szCs w:val="21"/>
              </w:rPr>
            </w:pPr>
            <w:r>
              <w:rPr>
                <w:rFonts w:eastAsia="宋体" w:ascii="宋体" w:hAnsi="宋体"/>
                <w:color w:val="000000"/>
                <w:sz w:val="24"/>
                <w:szCs w:val="21"/>
              </w:rPr>
              <w:t>　　一是文献研究法，通过查阅综合管廊、装配式建筑和质量管理领域的标准、期刊文献和行业报告，明确技术依据和管理要求。二是案例分析法，以绵阳综合管廊项目为对象，整理其公开报道中的工程参数、质量管理实践和成效数据。三是归因分析法，对识别出的质量问题按"人、机、料、法、环"五个维度进行归因，明确主导因素和次要因素。四是对比分析法，将优化对策实施前后的质量指标进行对比，验证对策的实际效果。</w:t>
            </w:r>
          </w:p>
        </w:tc>
      </w:tr>
      <w:tr w14:paraId="4CC1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1" w:hRule="atLeast"/>
        </w:trPr>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导师意见：</w:t>
            </w:r>
          </w:p>
          <w:p>
            <w:pPr>
              <w:rPr>
                <w:rFonts w:eastAsia="宋体" w:ascii="宋体" w:hAnsi="宋体"/>
                <w:color w:val="000000"/>
                <w:sz w:val="21"/>
                <w:szCs w:val="21"/>
              </w:rPr>
            </w:pPr>
            <w:r>
              <w:rPr>
                <w:rFonts w:eastAsia="宋体" w:ascii="宋体" w:hAnsi="宋体"/>
                <w:color w:val="000000"/>
                <w:sz w:val="24"/>
                <w:szCs w:val="21"/>
              </w:rPr>
              <w:t>　　该选题紧扣装配式建造方式在市政工程中的应用前沿，案例具有较强的代表性和工程实践价值。论文主旨明确，研究思路清晰，框架基本符合要求，同意开题。</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签名：____________　时间：2025.9.10</w:t>
            </w:r>
          </w:p>
        </w:tc>
      </w:tr>
      <w:tr w14:paraId="3423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论文评审组长意见：</w:t>
            </w:r>
          </w:p>
          <w:p>
            <w:pPr>
              <w:rPr>
                <w:rFonts w:eastAsia="宋体" w:ascii="宋体" w:hAnsi="宋体"/>
                <w:color w:val="000000"/>
                <w:sz w:val="21"/>
                <w:szCs w:val="21"/>
              </w:rPr>
            </w:pPr>
            <w:r>
              <w:rPr>
                <w:rFonts w:eastAsia="宋体" w:ascii="宋体" w:hAnsi="宋体"/>
                <w:color w:val="000000"/>
                <w:sz w:val="24"/>
                <w:szCs w:val="21"/>
              </w:rPr>
              <w:t>　　同意导师意见。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签名：____________　时间：2025.9.12</w:t>
            </w:r>
          </w:p>
        </w:tc>
      </w:tr>
      <w:tr w14:paraId="5757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5000" w:type="pct"/>
            <w:gridSpan w:val="8"/>
            <w:noWrap w:val="0"/>
            <w:vAlign w:val="center"/>
          </w:tcPr>
          <w:p w14:paraId="2A440C20">
            <w:pPr>
              <w:jc w:val="both"/>
              <w:rPr>
                <w:rFonts w:hint="eastAsia"/>
                <w:sz w:val="24"/>
              </w:rPr>
            </w:pPr>
            <w:r>
              <w:rPr>
                <w:rFonts w:hint="eastAsia"/>
                <w:sz w:val="24"/>
              </w:rPr>
              <w:t>备注</w:t>
            </w:r>
          </w:p>
        </w:tc>
      </w:tr>
    </w:tbl>
    <w:p w14:paraId="797C319E">
      <w:pPr>
        <w:rPr>
          <w:rFonts w:hint="eastAsia"/>
        </w:rPr>
      </w:pPr>
      <w:r>
        <w:rPr>
          <w:rFonts w:hint="eastAsia"/>
        </w:rPr>
        <w:br w:type="page"/>
      </w:r>
    </w:p>
    <w:p w14:paraId="40E89914">
      <w:pPr>
        <w:rPr>
          <w:rFonts w:hint="eastAsia"/>
        </w:rPr>
      </w:pPr>
    </w:p>
    <w:p w14:paraId="23B0FE63">
      <w:pPr>
        <w:jc w:val="center"/>
        <w:rPr>
          <w:rFonts w:hint="eastAsia"/>
          <w:b/>
          <w:bCs/>
          <w:sz w:val="32"/>
        </w:rPr>
      </w:pPr>
      <w:r>
        <w:rPr>
          <w:rFonts w:hint="eastAsia"/>
          <w:b/>
          <w:bCs/>
          <w:sz w:val="32"/>
        </w:rPr>
        <w:t>炎黄职业技术学院毕业论文任务书</w:t>
      </w:r>
    </w:p>
    <w:p w14:paraId="1FB3C007">
      <w:pPr>
        <w:rPr>
          <w:rFonts w:hint="eastAsia"/>
          <w:sz w:val="24"/>
        </w:rPr>
      </w:pPr>
      <w:r>
        <w:rPr>
          <w:rFonts w:hint="eastAsia"/>
          <w:sz w:val="24"/>
        </w:rPr>
        <w:t>系</w:t>
      </w:r>
      <w:r>
        <w:rPr>
          <w:rFonts w:hint="eastAsia"/>
          <w:sz w:val="24"/>
          <w:u w:val="single"/>
        </w:rPr>
        <w:t xml:space="preserve"> </w:t>
      </w:r>
      <w:r>
        <w:rPr>
          <w:rFonts w:hint="eastAsia"/>
          <w:sz w:val="24"/>
          <w:u w:val="single"/>
          <w:lang w:val="en-US" w:eastAsia="zh-CN"/>
        </w:rPr>
        <w:t>计算机系</w:t>
      </w:r>
      <w:r>
        <w:rPr>
          <w:rFonts w:hint="eastAsia"/>
          <w:sz w:val="24"/>
        </w:rPr>
        <w:t xml:space="preserve">专业 </w:t>
      </w:r>
      <w:r>
        <w:rPr>
          <w:rFonts w:hint="eastAsia"/>
          <w:sz w:val="24"/>
          <w:u w:val="single"/>
          <w:lang w:val="en-US" w:eastAsia="zh-CN"/>
        </w:rPr>
        <w:t xml:space="preserve">计算机应用技术 </w:t>
      </w:r>
      <w:r>
        <w:rPr>
          <w:rFonts w:hint="eastAsia"/>
          <w:sz w:val="24"/>
        </w:rPr>
        <w:t>班级</w:t>
      </w:r>
      <w:r>
        <w:rPr>
          <w:rFonts w:hint="eastAsia"/>
          <w:sz w:val="24"/>
          <w:u w:val="single"/>
          <w:lang w:val="en-US" w:eastAsia="zh-CN"/>
        </w:rPr>
        <w:t xml:space="preserve">         </w:t>
      </w:r>
      <w:r>
        <w:rPr>
          <w:rFonts w:hint="eastAsia"/>
          <w:sz w:val="24"/>
        </w:rPr>
        <w:t>姓名</w:t>
      </w:r>
      <w:r>
        <w:rPr>
          <w:rFonts w:hint="eastAsia"/>
          <w:sz w:val="24"/>
          <w:u w:val="single"/>
        </w:rPr>
        <w:t xml:space="preserve">        </w:t>
      </w:r>
      <w:r>
        <w:rPr>
          <w:rFonts w:hint="eastAsia"/>
          <w:sz w:val="24"/>
        </w:rPr>
        <w:t>学号</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tbl>
      <w:tblPr>
        <w:tblStyle w:val="8"/>
        <w:tblpPr w:leftFromText="180" w:rightFromText="180" w:vertAnchor="page" w:horzAnchor="margin" w:tblpY="315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EF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522" w:type="dxa"/>
            <w:noWrap w:val="0"/>
            <w:vAlign w:val="center"/>
          </w:tcPr>
          <w:p>
            <w:pPr>
              <w:rPr>
                <w:rFonts w:eastAsia="宋体" w:ascii="宋体" w:hAnsi="宋体"/>
                <w:color w:val="000000"/>
                <w:sz w:val="21"/>
                <w:szCs w:val="21"/>
              </w:rPr>
            </w:pPr>
            <w:r>
              <w:rPr>
                <w:rFonts w:eastAsia="宋体" w:ascii="宋体" w:hAnsi="宋体"/>
                <w:color w:val="000000"/>
                <w:sz w:val="24"/>
                <w:szCs w:val="21"/>
              </w:rPr>
              <w:t>课题名称：装配式施工质量管理问题及优化研究——以市政项目为例</w:t>
            </w:r>
          </w:p>
        </w:tc>
      </w:tr>
      <w:tr w14:paraId="4AED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本课题主要内容：</w:t>
            </w:r>
          </w:p>
          <w:p>
            <w:pPr>
              <w:rPr>
                <w:rFonts w:eastAsia="宋体" w:ascii="宋体" w:hAnsi="宋体"/>
                <w:color w:val="000000"/>
                <w:sz w:val="21"/>
                <w:szCs w:val="21"/>
              </w:rPr>
            </w:pPr>
            <w:r>
              <w:rPr>
                <w:rFonts w:eastAsia="宋体" w:ascii="宋体" w:hAnsi="宋体"/>
                <w:color w:val="000000"/>
                <w:sz w:val="24"/>
                <w:szCs w:val="21"/>
              </w:rPr>
              <w:t>本课题以绵阳综合管廊项目为依托，研究装配式市政工程的施工质量管理问题与优化对策。主要内容包括：梳理综合管廊工程技术规定、装配式施工技术要点和施工质量管理方法；介绍绵阳综合管廊项目的基本情况、工程重难点、构件拆分方案和施工组织方式；识别施工过程中暴露的质量问题，从人、机、料、法、环五个维度进行成因分析；从组织管理、工艺技术和质量控制手段三个方面提出优化对策，并对实施效果作出评价。</w:t>
            </w:r>
          </w:p>
        </w:tc>
      </w:tr>
      <w:tr w14:paraId="4755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本课题研究方法与要求：</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方法：采用文献研究法、案例分析法、归因分析法和对比分析法。通过查阅标准、期刊文献和行业报告明确技术依据；以实际工程案例为对象整理分析工程参数和质量数据；对质量问题按"人、机、料、法、环"五个维度进行归因；将优化对策实施前后的质量指标进行对比验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要求：论文应做到论点明确、论据充分、数据可靠，引用的文献资料应当真实并按规范著录，正文按学校规定的格式排版，字数满足要求。工程案例的参数应以公开资料为准，不得杜撰数据。分析应有针对性，提出的对策应具体可行。</w:t>
            </w:r>
          </w:p>
        </w:tc>
      </w:tr>
      <w:tr w14:paraId="7434C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本课题研究进度安排：</w:t>
            </w:r>
          </w:p>
          <w:p>
            <w:pPr>
              <w:rPr>
                <w:rFonts w:eastAsia="宋体" w:ascii="宋体" w:hAnsi="宋体"/>
                <w:color w:val="000000"/>
                <w:sz w:val="21"/>
                <w:szCs w:val="21"/>
              </w:rPr>
            </w:pPr>
            <w:r>
              <w:rPr>
                <w:rFonts w:eastAsia="宋体" w:ascii="宋体" w:hAnsi="宋体"/>
                <w:color w:val="000000"/>
                <w:sz w:val="24"/>
                <w:szCs w:val="21"/>
              </w:rPr>
              <w:t>第一阶段：2025.08.18~2025.09.03　　完成选题，查阅文献，撰写开题报告。</w:t>
            </w:r>
          </w:p>
          <w:p>
            <w:pPr>
              <w:rPr>
                <w:rFonts w:eastAsia="宋体" w:ascii="宋体" w:hAnsi="宋体"/>
                <w:color w:val="000000"/>
                <w:sz w:val="21"/>
                <w:szCs w:val="21"/>
              </w:rPr>
            </w:pPr>
            <w:r>
              <w:rPr>
                <w:rFonts w:eastAsia="宋体" w:ascii="宋体" w:hAnsi="宋体"/>
                <w:color w:val="000000"/>
                <w:sz w:val="24"/>
                <w:szCs w:val="21"/>
              </w:rPr>
              <w:t>第二阶段：2025.09.04~2025.09.12　　完善资料，确定论文主体结构，完成写作提纲。</w:t>
            </w:r>
          </w:p>
          <w:p>
            <w:pPr>
              <w:rPr>
                <w:rFonts w:eastAsia="宋体" w:ascii="宋体" w:hAnsi="宋体"/>
                <w:color w:val="000000"/>
                <w:sz w:val="21"/>
                <w:szCs w:val="21"/>
              </w:rPr>
            </w:pPr>
            <w:r>
              <w:rPr>
                <w:rFonts w:eastAsia="宋体" w:ascii="宋体" w:hAnsi="宋体"/>
                <w:color w:val="000000"/>
                <w:sz w:val="24"/>
                <w:szCs w:val="21"/>
              </w:rPr>
              <w:t>第三阶段：2025.09.13~2025.10.11　　完成论文初稿。</w:t>
            </w:r>
          </w:p>
          <w:p>
            <w:pPr>
              <w:rPr>
                <w:rFonts w:eastAsia="宋体" w:ascii="宋体" w:hAnsi="宋体"/>
                <w:color w:val="000000"/>
                <w:sz w:val="21"/>
                <w:szCs w:val="21"/>
              </w:rPr>
            </w:pPr>
            <w:r>
              <w:rPr>
                <w:rFonts w:eastAsia="宋体" w:ascii="宋体" w:hAnsi="宋体"/>
                <w:color w:val="000000"/>
                <w:sz w:val="24"/>
                <w:szCs w:val="21"/>
              </w:rPr>
              <w:t>第四阶段：2025.10.12~2025.11.25　　修改完善并定稿。</w:t>
            </w:r>
          </w:p>
        </w:tc>
      </w:tr>
      <w:tr w14:paraId="20FF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主要参考文献：</w:t>
            </w:r>
          </w:p>
          <w:p>
            <w:pPr>
              <w:rPr>
                <w:rFonts w:eastAsia="宋体" w:ascii="宋体" w:hAnsi="宋体"/>
                <w:color w:val="000000"/>
                <w:sz w:val="21"/>
                <w:szCs w:val="21"/>
              </w:rPr>
            </w:pPr>
            <w:r>
              <w:rPr>
                <w:rFonts w:eastAsia="宋体" w:ascii="宋体" w:hAnsi="宋体"/>
                <w:color w:val="000000"/>
                <w:sz w:val="24"/>
                <w:szCs w:val="21"/>
              </w:rPr>
              <w:t>[1]  中华人民共和国住房和城乡建设部. 城市综合管廊工程技术规范: GB 50838-2015[S]. 北京: 中国建筑工业出版社, 2015.</w:t>
            </w:r>
          </w:p>
          <w:p>
            <w:pPr>
              <w:rPr>
                <w:rFonts w:eastAsia="宋体" w:ascii="宋体" w:hAnsi="宋体"/>
                <w:color w:val="000000"/>
                <w:sz w:val="21"/>
                <w:szCs w:val="21"/>
              </w:rPr>
            </w:pPr>
            <w:r>
              <w:rPr>
                <w:rFonts w:eastAsia="宋体" w:ascii="宋体" w:hAnsi="宋体"/>
                <w:color w:val="000000"/>
                <w:sz w:val="24"/>
                <w:szCs w:val="21"/>
              </w:rPr>
              <w:t>[2]  中华人民共和国住房和城乡建设部. 装配式混凝土建筑技术标准: GB/T 51231-2016[S]. 北京: 中国建筑工业出版社, 2016.</w:t>
            </w:r>
          </w:p>
          <w:p>
            <w:pPr>
              <w:rPr>
                <w:rFonts w:eastAsia="宋体" w:ascii="宋体" w:hAnsi="宋体"/>
                <w:color w:val="000000"/>
                <w:sz w:val="21"/>
                <w:szCs w:val="21"/>
              </w:rPr>
            </w:pPr>
            <w:r>
              <w:rPr>
                <w:rFonts w:eastAsia="宋体" w:ascii="宋体" w:hAnsi="宋体"/>
                <w:color w:val="000000"/>
                <w:sz w:val="24"/>
                <w:szCs w:val="21"/>
              </w:rPr>
              <w:t>[3]  中华人民共和国住房和城乡建设部. 混凝土结构工程施工质量验收规范: GB 50204-2015[S]. 北京: 中国建筑工业出版社, 2015.</w:t>
            </w:r>
          </w:p>
        </w:tc>
      </w:tr>
    </w:tbl>
    <w:p w14:paraId="522CA347">
      <w:pPr>
        <w:rPr>
          <w:rFonts w:hint="eastAsia"/>
          <w:sz w:val="24"/>
        </w:rPr>
      </w:pPr>
    </w:p>
    <w:p w14:paraId="56CE5877">
      <w:pPr>
        <w:ind w:firstLine="1800"/>
        <w:jc w:val="center"/>
        <w:rPr>
          <w:sz w:val="24"/>
        </w:rPr>
      </w:pPr>
      <w:r>
        <w:rPr>
          <w:rFonts w:hint="eastAsia"/>
          <w:sz w:val="24"/>
        </w:rPr>
        <w:t xml:space="preserve">                               指导老师</w:t>
      </w:r>
      <w:r>
        <w:rPr>
          <w:sz w:val="24"/>
        </w:rPr>
        <w:t>_______________</w:t>
      </w:r>
    </w:p>
    <w:p w14:paraId="094065B4">
      <w:pPr>
        <w:ind w:firstLine="1800"/>
        <w:rPr>
          <w:sz w:val="24"/>
        </w:rPr>
      </w:pPr>
      <w:r>
        <w:rPr>
          <w:rFonts w:hint="eastAsia"/>
          <w:sz w:val="24"/>
        </w:rPr>
        <w:t xml:space="preserve">                             </w:t>
      </w:r>
      <w:r>
        <w:rPr>
          <w:sz w:val="24"/>
        </w:rPr>
        <w:t xml:space="preserve">  </w:t>
      </w:r>
      <w:r>
        <w:rPr>
          <w:rFonts w:hint="eastAsia"/>
          <w:sz w:val="24"/>
        </w:rPr>
        <w:t>职务（称）</w:t>
      </w:r>
      <w:r>
        <w:rPr>
          <w:sz w:val="24"/>
        </w:rPr>
        <w:t>_______________</w:t>
      </w:r>
    </w:p>
    <w:p w14:paraId="115F42AB">
      <w:pPr>
        <w:rPr>
          <w:rFonts w:hint="eastAsia"/>
          <w:sz w:val="24"/>
        </w:rPr>
      </w:pPr>
      <w:r>
        <w:rPr>
          <w:rFonts w:hint="eastAsia"/>
          <w:sz w:val="24"/>
        </w:rPr>
        <w:t xml:space="preserve">                                                 </w:t>
      </w:r>
      <w:r>
        <w:rPr>
          <w:rFonts w:hint="eastAsia"/>
          <w:sz w:val="24"/>
          <w:lang w:val="en-US" w:eastAsia="zh-CN"/>
        </w:rPr>
        <w:t>2025</w:t>
      </w:r>
      <w:r>
        <w:rPr>
          <w:rFonts w:hint="eastAsia"/>
          <w:sz w:val="24"/>
        </w:rPr>
        <w:t>年</w:t>
      </w:r>
      <w:r>
        <w:rPr>
          <w:rFonts w:hint="eastAsia"/>
          <w:sz w:val="24"/>
          <w:lang w:val="en-US" w:eastAsia="zh-CN"/>
        </w:rPr>
        <w:t>9</w:t>
      </w:r>
      <w:r>
        <w:rPr>
          <w:rFonts w:hint="eastAsia"/>
          <w:sz w:val="24"/>
        </w:rPr>
        <w:t xml:space="preserve">月 </w:t>
      </w:r>
      <w:r>
        <w:rPr>
          <w:rFonts w:hint="eastAsia"/>
          <w:sz w:val="24"/>
          <w:lang w:val="en-US" w:eastAsia="zh-CN"/>
        </w:rPr>
        <w:t>10</w:t>
      </w:r>
      <w:r>
        <w:rPr>
          <w:rFonts w:hint="eastAsia"/>
          <w:sz w:val="24"/>
        </w:rPr>
        <w:t>日</w:t>
      </w:r>
    </w:p>
    <w:p w14:paraId="0478ADD6">
      <w:pPr/>
      <w:r>
        <w:br w:type="page"/>
      </w:r>
    </w:p>
    <w:p w14:paraId="6A4314C8">
      <w:pPr>
        <w:jc w:val="center"/>
        <w:rPr>
          <w:rFonts w:hint="eastAsia"/>
        </w:rPr>
      </w:pPr>
      <w:r>
        <w:rPr>
          <w:rFonts w:hint="eastAsia"/>
          <w:b/>
          <w:bCs/>
          <w:sz w:val="32"/>
        </w:rPr>
        <w:t>炎黄职业技术学院毕业论文中期检查指导表</w:t>
      </w:r>
    </w:p>
    <w:tbl>
      <w:tblPr>
        <w:tblStyle w:val="8"/>
        <w:tblpPr w:leftFromText="180" w:rightFromText="180" w:vertAnchor="page" w:horzAnchor="margin" w:tblpY="26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260"/>
        <w:gridCol w:w="1260"/>
        <w:gridCol w:w="1440"/>
        <w:gridCol w:w="1219"/>
        <w:gridCol w:w="1975"/>
      </w:tblGrid>
      <w:tr w14:paraId="3D5E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368" w:type="dxa"/>
            <w:noWrap w:val="0"/>
            <w:vAlign w:val="center"/>
          </w:tcPr>
          <w:p w14:paraId="516A3784">
            <w:pPr>
              <w:jc w:val="center"/>
              <w:rPr>
                <w:rFonts w:hint="eastAsia"/>
                <w:sz w:val="24"/>
              </w:rPr>
            </w:pPr>
            <w:r>
              <w:rPr>
                <w:rFonts w:hint="eastAsia"/>
                <w:sz w:val="24"/>
              </w:rPr>
              <w:t>姓名</w:t>
            </w:r>
          </w:p>
        </w:tc>
        <w:tc>
          <w:tcPr>
            <w:tcW w:w="1260" w:type="dxa"/>
            <w:noWrap w:val="0"/>
            <w:vAlign w:val="center"/>
          </w:tcPr>
          <w:p w14:paraId="26020783">
            <w:pPr>
              <w:jc w:val="center"/>
              <w:rPr>
                <w:rFonts w:hint="default" w:eastAsia="宋体"/>
                <w:sz w:val="24"/>
                <w:lang w:val="en-US" w:eastAsia="zh-CN"/>
              </w:rPr>
            </w:pPr>
          </w:p>
        </w:tc>
        <w:tc>
          <w:tcPr>
            <w:tcW w:w="1260" w:type="dxa"/>
            <w:noWrap w:val="0"/>
            <w:vAlign w:val="center"/>
          </w:tcPr>
          <w:p w14:paraId="4D293719">
            <w:pPr>
              <w:jc w:val="center"/>
              <w:rPr>
                <w:rFonts w:hint="eastAsia"/>
                <w:sz w:val="24"/>
              </w:rPr>
            </w:pPr>
            <w:r>
              <w:rPr>
                <w:rFonts w:hint="eastAsia"/>
                <w:sz w:val="24"/>
              </w:rPr>
              <w:t>系别</w:t>
            </w:r>
          </w:p>
        </w:tc>
        <w:tc>
          <w:tcPr>
            <w:tcW w:w="1440" w:type="dxa"/>
            <w:noWrap w:val="0"/>
            <w:vAlign w:val="center"/>
          </w:tcPr>
          <w:p w14:paraId="6E615DDF">
            <w:pPr>
              <w:jc w:val="center"/>
              <w:rPr>
                <w:rFonts w:hint="default" w:eastAsia="宋体"/>
                <w:sz w:val="24"/>
                <w:lang w:val="en-US" w:eastAsia="zh-CN"/>
              </w:rPr>
            </w:pPr>
            <w:r>
              <w:rPr>
                <w:rFonts w:hint="eastAsia" w:eastAsia="宋体"/>
                <w:sz w:val="24"/>
                <w:lang w:val="en-US" w:eastAsia="zh-CN"/>
              </w:rPr>
              <w:t>计算机系</w:t>
            </w:r>
          </w:p>
        </w:tc>
        <w:tc>
          <w:tcPr>
            <w:tcW w:w="1219" w:type="dxa"/>
            <w:noWrap w:val="0"/>
            <w:vAlign w:val="center"/>
          </w:tcPr>
          <w:p w14:paraId="2DD07E6B">
            <w:pPr>
              <w:jc w:val="center"/>
              <w:rPr>
                <w:rFonts w:hint="eastAsia"/>
                <w:sz w:val="24"/>
              </w:rPr>
            </w:pPr>
            <w:r>
              <w:rPr>
                <w:rFonts w:hint="eastAsia"/>
                <w:sz w:val="24"/>
              </w:rPr>
              <w:t>班级</w:t>
            </w:r>
          </w:p>
        </w:tc>
        <w:tc>
          <w:tcPr>
            <w:tcW w:w="1975" w:type="dxa"/>
            <w:noWrap w:val="0"/>
            <w:vAlign w:val="center"/>
          </w:tcPr>
          <w:p w14:paraId="132DBA1C">
            <w:pPr>
              <w:jc w:val="center"/>
              <w:rPr>
                <w:rFonts w:hint="default" w:eastAsia="宋体"/>
                <w:sz w:val="24"/>
                <w:lang w:val="en-US" w:eastAsia="zh-CN"/>
              </w:rPr>
            </w:pPr>
          </w:p>
        </w:tc>
      </w:tr>
      <w:tr w14:paraId="62C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6" w:hRule="atLeast"/>
        </w:trPr>
        <w:tc>
          <w:tcPr>
            <w:tcW w:w="1368" w:type="dxa"/>
            <w:noWrap w:val="0"/>
            <w:vAlign w:val="center"/>
          </w:tcPr>
          <w:p w14:paraId="638BDCC6">
            <w:pPr>
              <w:jc w:val="center"/>
              <w:rPr>
                <w:rFonts w:hint="eastAsia"/>
                <w:sz w:val="24"/>
              </w:rPr>
            </w:pPr>
            <w:r>
              <w:rPr>
                <w:rFonts w:hint="eastAsia"/>
                <w:sz w:val="24"/>
              </w:rPr>
              <w:t>论文题目</w:t>
            </w:r>
          </w:p>
        </w:tc>
        <w:tc>
          <w:tcPr>
            <w:tcW w:w="3960" w:type="dxa"/>
            <w:gridSpan w:val="3"/>
            <w:noWrap w:val="0"/>
            <w:vAlign w:val="center"/>
          </w:tcPr>
          <w:p w14:paraId="3610E9E8">
            <w:pPr>
              <w:jc w:val="center"/>
              <w:rPr>
                <w:rFonts w:hint="eastAsia"/>
                <w:sz w:val="24"/>
              </w:rPr>
            </w:pPr>
          </w:p>
        </w:tc>
        <w:tc>
          <w:tcPr>
            <w:tcW w:w="1219" w:type="dxa"/>
            <w:noWrap w:val="0"/>
            <w:vAlign w:val="center"/>
          </w:tcPr>
          <w:p w14:paraId="4B5903C4">
            <w:pPr>
              <w:jc w:val="center"/>
              <w:rPr>
                <w:rFonts w:hint="eastAsia"/>
                <w:sz w:val="24"/>
              </w:rPr>
            </w:pPr>
            <w:r>
              <w:rPr>
                <w:rFonts w:hint="eastAsia"/>
                <w:sz w:val="24"/>
              </w:rPr>
              <w:t>指导老师</w:t>
            </w:r>
          </w:p>
        </w:tc>
        <w:tc>
          <w:tcPr>
            <w:tcW w:w="1975" w:type="dxa"/>
            <w:noWrap w:val="0"/>
            <w:vAlign w:val="center"/>
          </w:tcPr>
          <w:p w14:paraId="03DC5F84">
            <w:pPr>
              <w:jc w:val="center"/>
              <w:rPr>
                <w:rFonts w:hint="eastAsia" w:eastAsia="宋体"/>
                <w:sz w:val="24"/>
                <w:lang w:eastAsia="zh-CN"/>
              </w:rPr>
            </w:pPr>
          </w:p>
        </w:tc>
      </w:tr>
      <w:tr w14:paraId="100C0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33354884">
            <w:pPr>
              <w:jc w:val="left"/>
              <w:rPr>
                <w:rFonts w:hint="eastAsia"/>
                <w:sz w:val="24"/>
              </w:rPr>
            </w:pPr>
            <w:r>
              <w:rPr>
                <w:rFonts w:hint="eastAsia"/>
                <w:sz w:val="24"/>
              </w:rPr>
              <w:t>第一阶段时间安排、完成任务情况以及教师指导意见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时间安排：2025.08.18~2025.09.03</w:t>
            </w:r>
          </w:p>
          <w:p>
            <w:pPr>
              <w:rPr>
                <w:rFonts w:eastAsia="宋体" w:ascii="宋体" w:hAnsi="宋体"/>
                <w:color w:val="000000"/>
                <w:sz w:val="21"/>
                <w:szCs w:val="21"/>
              </w:rPr>
            </w:pPr>
            <w:r>
              <w:rPr>
                <w:rFonts w:eastAsia="宋体" w:ascii="宋体" w:hAnsi="宋体"/>
                <w:color w:val="000000"/>
                <w:sz w:val="24"/>
                <w:szCs w:val="21"/>
              </w:rPr>
              <w:t>完成任务情况：完成论文选题，查阅综合管廊与装配式建筑相关文献，撰写开题报告，下发任务书，收集绵阳综合管廊项目资料。</w:t>
            </w:r>
          </w:p>
          <w:p>
            <w:pPr>
              <w:rPr>
                <w:rFonts w:eastAsia="宋体" w:ascii="宋体" w:hAnsi="宋体"/>
                <w:color w:val="000000"/>
                <w:sz w:val="21"/>
                <w:szCs w:val="21"/>
              </w:rPr>
            </w:pPr>
            <w:r>
              <w:rPr>
                <w:rFonts w:eastAsia="宋体" w:ascii="宋体" w:hAnsi="宋体"/>
                <w:color w:val="000000"/>
                <w:sz w:val="24"/>
                <w:szCs w:val="21"/>
              </w:rPr>
              <w:t>教师指导意见：资料收集较为充分，但需补充具体质量问题案例和优化对策。</w:t>
            </w:r>
          </w:p>
        </w:tc>
      </w:tr>
      <w:tr w14:paraId="0646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437694DB">
            <w:pPr>
              <w:jc w:val="left"/>
              <w:rPr>
                <w:sz w:val="24"/>
              </w:rPr>
            </w:pPr>
            <w:r>
              <w:rPr>
                <w:rFonts w:hint="eastAsia"/>
                <w:sz w:val="24"/>
              </w:rPr>
              <w:t>第二阶段时间安排、完成任务情况以及教师指导意见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时间安排：2025.09.04~2025.09.12</w:t>
            </w:r>
          </w:p>
          <w:p>
            <w:pPr>
              <w:rPr>
                <w:rFonts w:eastAsia="宋体" w:ascii="宋体" w:hAnsi="宋体"/>
                <w:color w:val="000000"/>
                <w:sz w:val="21"/>
                <w:szCs w:val="21"/>
              </w:rPr>
            </w:pPr>
            <w:r>
              <w:rPr>
                <w:rFonts w:eastAsia="宋体" w:ascii="宋体" w:hAnsi="宋体"/>
                <w:color w:val="000000"/>
                <w:sz w:val="24"/>
                <w:szCs w:val="21"/>
              </w:rPr>
              <w:t>完成任务情况：补充收集绵阳综合管廊公开资料，确定论文主体结构为六章，完成详细写作提纲。</w:t>
            </w:r>
          </w:p>
          <w:p>
            <w:pPr>
              <w:rPr>
                <w:rFonts w:eastAsia="宋体" w:ascii="宋体" w:hAnsi="宋体"/>
                <w:color w:val="000000"/>
                <w:sz w:val="21"/>
                <w:szCs w:val="21"/>
              </w:rPr>
            </w:pPr>
            <w:r>
              <w:rPr>
                <w:rFonts w:eastAsia="宋体" w:ascii="宋体" w:hAnsi="宋体"/>
                <w:color w:val="000000"/>
                <w:sz w:val="24"/>
                <w:szCs w:val="21"/>
              </w:rPr>
              <w:t>教师指导意见：框架合理，层次清晰。</w:t>
            </w:r>
          </w:p>
        </w:tc>
      </w:tr>
      <w:tr w14:paraId="7D13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27" w:hRule="atLeast"/>
        </w:trPr>
        <w:tc>
          <w:tcPr>
            <w:tcW w:w="1368" w:type="dxa"/>
            <w:noWrap w:val="0"/>
            <w:vAlign w:val="center"/>
          </w:tcPr>
          <w:p w14:paraId="042D9A79">
            <w:pPr>
              <w:jc w:val="left"/>
              <w:rPr>
                <w:sz w:val="24"/>
              </w:rPr>
            </w:pPr>
            <w:r>
              <w:rPr>
                <w:rFonts w:hint="eastAsia"/>
                <w:sz w:val="24"/>
              </w:rPr>
              <w:t>第三阶段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时间安排：2025.09.13~2025.10.11</w:t>
            </w:r>
          </w:p>
          <w:p>
            <w:pPr>
              <w:rPr>
                <w:rFonts w:eastAsia="宋体" w:ascii="宋体" w:hAnsi="宋体"/>
                <w:color w:val="000000"/>
                <w:sz w:val="21"/>
                <w:szCs w:val="21"/>
              </w:rPr>
            </w:pPr>
            <w:r>
              <w:rPr>
                <w:rFonts w:eastAsia="宋体" w:ascii="宋体" w:hAnsi="宋体"/>
                <w:color w:val="000000"/>
                <w:sz w:val="24"/>
                <w:szCs w:val="21"/>
              </w:rPr>
              <w:t>完成任务情况：完成论文初稿，内容与格式基本符合要求。</w:t>
            </w:r>
          </w:p>
          <w:p>
            <w:pPr>
              <w:rPr>
                <w:rFonts w:eastAsia="宋体" w:ascii="宋体" w:hAnsi="宋体"/>
                <w:color w:val="000000"/>
                <w:sz w:val="21"/>
                <w:szCs w:val="21"/>
              </w:rPr>
            </w:pPr>
            <w:r>
              <w:rPr>
                <w:rFonts w:eastAsia="宋体" w:ascii="宋体" w:hAnsi="宋体"/>
                <w:color w:val="000000"/>
                <w:sz w:val="24"/>
                <w:szCs w:val="21"/>
              </w:rPr>
              <w:t>教师指导意见：问题成因分析部分还可再深入，需再修改。</w:t>
            </w:r>
          </w:p>
        </w:tc>
      </w:tr>
      <w:tr w14:paraId="39BD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89" w:hRule="atLeast"/>
        </w:trPr>
        <w:tc>
          <w:tcPr>
            <w:tcW w:w="1368" w:type="dxa"/>
            <w:noWrap w:val="0"/>
            <w:vAlign w:val="center"/>
          </w:tcPr>
          <w:p w14:paraId="0F2478C3">
            <w:pPr>
              <w:jc w:val="left"/>
              <w:rPr>
                <w:sz w:val="24"/>
              </w:rPr>
            </w:pPr>
            <w:r>
              <w:rPr>
                <w:rFonts w:hint="eastAsia"/>
                <w:sz w:val="24"/>
              </w:rPr>
              <w:t>第四阶段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时间安排：2025.10.12~2025.11.25</w:t>
            </w:r>
          </w:p>
          <w:p>
            <w:pPr>
              <w:rPr>
                <w:rFonts w:eastAsia="宋体" w:ascii="宋体" w:hAnsi="宋体"/>
                <w:color w:val="000000"/>
                <w:sz w:val="21"/>
                <w:szCs w:val="21"/>
              </w:rPr>
            </w:pPr>
            <w:r>
              <w:rPr>
                <w:rFonts w:eastAsia="宋体" w:ascii="宋体" w:hAnsi="宋体"/>
                <w:color w:val="000000"/>
                <w:sz w:val="24"/>
                <w:szCs w:val="21"/>
              </w:rPr>
              <w:t>完成任务情况：按指导意见修改完善，完成论文定稿。</w:t>
            </w:r>
          </w:p>
          <w:p>
            <w:pPr>
              <w:rPr>
                <w:rFonts w:eastAsia="宋体" w:ascii="宋体" w:hAnsi="宋体"/>
                <w:color w:val="000000"/>
                <w:sz w:val="21"/>
                <w:szCs w:val="21"/>
              </w:rPr>
            </w:pPr>
            <w:r>
              <w:rPr>
                <w:rFonts w:eastAsia="宋体" w:ascii="宋体" w:hAnsi="宋体"/>
                <w:color w:val="000000"/>
                <w:sz w:val="24"/>
                <w:szCs w:val="21"/>
              </w:rPr>
              <w:t>教师指导意见：完成情况良好。</w:t>
            </w:r>
          </w:p>
        </w:tc>
      </w:tr>
    </w:tbl>
    <w:p w14:paraId="3E933190">
      <w:pPr/>
    </w:p>
    <w:p w14:paraId="47BFC32B">
      <w:pPr>
        <w:rPr>
          <w:rFonts w:hint="eastAsia" w:ascii="方正小标宋简体" w:hAnsi="方正小标宋简体" w:eastAsia="方正小标宋简体" w:cs="方正小标宋简体"/>
          <w:sz w:val="40"/>
          <w:szCs w:val="6"/>
        </w:rPr>
      </w:pPr>
      <w:r>
        <w:rPr>
          <w:rFonts w:hint="eastAsia" w:ascii="方正小标宋简体" w:hAnsi="方正小标宋简体" w:eastAsia="方正小标宋简体" w:cs="方正小标宋简体"/>
          <w:sz w:val="40"/>
          <w:szCs w:val="6"/>
        </w:rPr>
        <w:br w:type="page"/>
      </w:r>
    </w:p>
    <w:p w14:paraId="6A58A817">
      <w:pPr>
        <w:spacing w:before="120" w:beforeLines="50" w:after="48" w:afterLines="20"/>
        <w:rPr>
          <w:rFonts w:hint="eastAsia" w:ascii="方正小标宋简体" w:hAnsi="方正小标宋简体" w:eastAsia="方正小标宋简体" w:cs="方正小标宋简体"/>
          <w:sz w:val="40"/>
          <w:szCs w:val="6"/>
        </w:rPr>
      </w:pPr>
      <w:bookmarkStart w:id="0" w:name="_GoBack"/>
      <w:bookmarkEnd w:id="0"/>
    </w:p>
    <w:p w14:paraId="6794644C">
      <w:pPr>
        <w:keepNext/>
        <w:spacing w:before="120" w:beforeLines="50" w:after="48" w:afterLines="20"/>
        <w:rPr>
          <w:rFonts w:hint="eastAsia" w:ascii="方正小标宋简体" w:hAnsi="方正小标宋简体" w:eastAsia="方正小标宋简体" w:cs="方正小标宋简体"/>
          <w:sz w:val="106"/>
        </w:rPr>
      </w:pPr>
      <w:r>
        <w:rPr>
          <w:rFonts w:hint="eastAsia" w:eastAsia="楷体_GB2312"/>
          <w:color w:val="000000"/>
          <w:sz w:val="60"/>
        </w:rPr>
        <w:drawing>
          <wp:anchor distT="0" distB="0" distL="114300" distR="114300" simplePos="0" relativeHeight="251664384" behindDoc="0" locked="0" layoutInCell="1" allowOverlap="1">
            <wp:simplePos x="0" y="0"/>
            <wp:positionH relativeFrom="column">
              <wp:posOffset>1276985</wp:posOffset>
            </wp:positionH>
            <wp:positionV relativeFrom="paragraph">
              <wp:posOffset>246380</wp:posOffset>
            </wp:positionV>
            <wp:extent cx="3801110" cy="1061720"/>
            <wp:effectExtent l="0" t="0" r="8890" b="0"/>
            <wp:wrapNone/>
            <wp:docPr id="3" name="图片 3" descr="校徽-带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带字版本"/>
                    <pic:cNvPicPr>
                      <a:picLocks noChangeAspect="1"/>
                    </pic:cNvPicPr>
                  </pic:nvPicPr>
                  <pic:blipFill>
                    <a:blip r:embed="rId6"/>
                    <a:srcRect l="21762"/>
                    <a:stretch>
                      <a:fillRect/>
                    </a:stretch>
                  </pic:blipFill>
                  <pic:spPr>
                    <a:xfrm>
                      <a:off x="0" y="0"/>
                      <a:ext cx="3801110" cy="106172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-74295</wp:posOffset>
            </wp:positionH>
            <wp:positionV relativeFrom="paragraph">
              <wp:posOffset>115570</wp:posOffset>
            </wp:positionV>
            <wp:extent cx="1293495" cy="1189355"/>
            <wp:effectExtent l="0" t="0" r="0" b="0"/>
            <wp:wrapNone/>
            <wp:docPr id="5" name="图片 2" descr="炎黄logo2024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炎黄logo20240901"/>
                    <pic:cNvPicPr>
                      <a:picLocks noChangeAspect="1"/>
                    </pic:cNvPicPr>
                  </pic:nvPicPr>
                  <pic:blipFill>
                    <a:blip r:embed="rId7"/>
                    <a:stretch>
                      <a:fillRect/>
                    </a:stretch>
                  </pic:blipFill>
                  <pic:spPr>
                    <a:xfrm>
                      <a:off x="0" y="0"/>
                      <a:ext cx="1293495" cy="1189355"/>
                    </a:xfrm>
                    <a:prstGeom prst="rect">
                      <a:avLst/>
                    </a:prstGeom>
                    <a:noFill/>
                    <a:ln>
                      <a:noFill/>
                    </a:ln>
                  </pic:spPr>
                </pic:pic>
              </a:graphicData>
            </a:graphic>
          </wp:anchor>
        </w:drawing>
      </w:r>
    </w:p>
    <w:p w14:paraId="3378A566">
      <w:pPr>
        <w:spacing w:before="120" w:beforeLines="50" w:after="48" w:afterLines="20"/>
        <w:rPr>
          <w:rFonts w:hint="eastAsia" w:ascii="方正小标宋简体" w:hAnsi="方正小标宋简体" w:eastAsia="方正小标宋简体" w:cs="方正小标宋简体"/>
          <w:sz w:val="48"/>
          <w:szCs w:val="10"/>
        </w:rPr>
      </w:pPr>
    </w:p>
    <w:p w14:paraId="45F401D6">
      <w:pPr>
        <w:spacing w:before="120" w:beforeLines="50" w:after="48" w:afterLines="20"/>
        <w:jc w:val="center"/>
        <w:rPr>
          <w:rFonts w:hint="eastAsia" w:ascii="方正小标宋简体" w:hAnsi="方正小标宋简体" w:eastAsia="方正小标宋简体" w:cs="方正小标宋简体"/>
          <w:sz w:val="106"/>
        </w:rPr>
      </w:pPr>
      <w:r>
        <w:rPr>
          <w:rFonts w:hint="eastAsia" w:ascii="方正小标宋简体" w:hAnsi="方正小标宋简体" w:eastAsia="方正小标宋简体" w:cs="方正小标宋简体"/>
          <w:sz w:val="106"/>
        </w:rPr>
        <w:t>毕  业  论  文</w:t>
      </w:r>
    </w:p>
    <w:p w14:paraId="28C86DEC">
      <w:pPr>
        <w:jc w:val="center"/>
        <w:rPr>
          <w:rFonts w:hint="eastAsia"/>
          <w:sz w:val="48"/>
        </w:rPr>
      </w:pPr>
    </w:p>
    <w:tbl>
      <w:tblPr>
        <w:tblStyle w:val="8"/>
        <w:tblW w:w="7140" w:type="dxa"/>
        <w:tblInd w:w="948" w:type="dxa"/>
        <w:tblLayout w:type="fixed"/>
        <w:tblCellMar>
          <w:top w:w="0" w:type="dxa"/>
          <w:left w:w="108" w:type="dxa"/>
          <w:bottom w:w="0" w:type="dxa"/>
          <w:right w:w="108" w:type="dxa"/>
        </w:tblCellMar>
      </w:tblPr>
      <w:tblGrid>
        <w:gridCol w:w="1406"/>
        <w:gridCol w:w="2269"/>
        <w:gridCol w:w="1260"/>
        <w:gridCol w:w="2205"/>
      </w:tblGrid>
      <w:tr w14:paraId="3C5F7232">
        <w:tblPrEx>
          <w:tblCellMar>
            <w:top w:w="0" w:type="dxa"/>
            <w:left w:w="108" w:type="dxa"/>
            <w:bottom w:w="0" w:type="dxa"/>
            <w:right w:w="108" w:type="dxa"/>
          </w:tblCellMar>
        </w:tblPrEx>
        <w:trPr>
          <w:trHeight w:val="765" w:hRule="atLeast"/>
        </w:trPr>
        <w:tc>
          <w:tcPr>
            <w:tcW w:w="1406" w:type="dxa"/>
            <w:noWrap w:val="0"/>
            <w:vAlign w:val="bottom"/>
          </w:tcPr>
          <w:p w14:paraId="02FF6B80">
            <w:pPr>
              <w:spacing w:line="520" w:lineRule="exact"/>
              <w:jc w:val="distribute"/>
              <w:rPr>
                <w:b/>
                <w:bCs/>
                <w:kern w:val="0"/>
                <w:sz w:val="32"/>
              </w:rPr>
            </w:pPr>
            <w:r>
              <w:rPr>
                <w:rFonts w:hint="eastAsia"/>
                <w:b/>
                <w:bCs/>
                <w:kern w:val="0"/>
                <w:sz w:val="32"/>
              </w:rPr>
              <w:t>姓  名</w:t>
            </w:r>
            <w:r>
              <w:rPr>
                <w:b/>
                <w:bCs/>
                <w:kern w:val="0"/>
                <w:sz w:val="32"/>
              </w:rPr>
              <w:t>:</w:t>
            </w:r>
          </w:p>
        </w:tc>
        <w:tc>
          <w:tcPr>
            <w:tcW w:w="2269" w:type="dxa"/>
            <w:tcBorders>
              <w:bottom w:val="single" w:color="auto" w:sz="8" w:space="0"/>
            </w:tcBorders>
            <w:noWrap w:val="0"/>
            <w:vAlign w:val="bottom"/>
          </w:tcPr>
          <w:p w14:paraId="498C7D14">
            <w:pPr>
              <w:spacing w:line="520" w:lineRule="exact"/>
              <w:jc w:val="center"/>
              <w:rPr>
                <w:rFonts w:hint="eastAsia" w:eastAsia="楷体_GB2312"/>
                <w:sz w:val="32"/>
              </w:rPr>
            </w:pPr>
          </w:p>
        </w:tc>
        <w:tc>
          <w:tcPr>
            <w:tcW w:w="1260" w:type="dxa"/>
            <w:noWrap w:val="0"/>
            <w:vAlign w:val="bottom"/>
          </w:tcPr>
          <w:p w14:paraId="32951E62">
            <w:pPr>
              <w:spacing w:line="520" w:lineRule="exact"/>
              <w:jc w:val="distribute"/>
              <w:rPr>
                <w:rFonts w:hint="eastAsia"/>
                <w:b/>
                <w:bCs/>
                <w:kern w:val="0"/>
                <w:sz w:val="32"/>
              </w:rPr>
            </w:pPr>
            <w:r>
              <w:rPr>
                <w:rFonts w:hint="eastAsia" w:hAnsi="宋体"/>
                <w:b/>
                <w:bCs/>
                <w:kern w:val="0"/>
                <w:sz w:val="32"/>
              </w:rPr>
              <w:t>学</w:t>
            </w:r>
            <w:r>
              <w:rPr>
                <w:rFonts w:hint="eastAsia"/>
                <w:b/>
                <w:bCs/>
                <w:kern w:val="0"/>
                <w:sz w:val="32"/>
              </w:rPr>
              <w:t xml:space="preserve"> </w:t>
            </w:r>
            <w:r>
              <w:rPr>
                <w:rFonts w:hint="eastAsia" w:hAnsi="宋体"/>
                <w:b/>
                <w:bCs/>
                <w:kern w:val="0"/>
                <w:sz w:val="32"/>
              </w:rPr>
              <w:t>号：</w:t>
            </w:r>
          </w:p>
        </w:tc>
        <w:tc>
          <w:tcPr>
            <w:tcW w:w="2205" w:type="dxa"/>
            <w:tcBorders>
              <w:bottom w:val="single" w:color="auto" w:sz="8" w:space="0"/>
            </w:tcBorders>
            <w:noWrap w:val="0"/>
            <w:vAlign w:val="bottom"/>
          </w:tcPr>
          <w:p w14:paraId="74B74BAF">
            <w:pPr>
              <w:spacing w:line="520" w:lineRule="exact"/>
              <w:jc w:val="center"/>
              <w:rPr>
                <w:rFonts w:hint="eastAsia" w:eastAsia="楷体_GB2312"/>
                <w:sz w:val="32"/>
              </w:rPr>
            </w:pPr>
          </w:p>
        </w:tc>
      </w:tr>
      <w:tr w14:paraId="04B54BBC">
        <w:tblPrEx>
          <w:tblCellMar>
            <w:top w:w="0" w:type="dxa"/>
            <w:left w:w="108" w:type="dxa"/>
            <w:bottom w:w="0" w:type="dxa"/>
            <w:right w:w="108" w:type="dxa"/>
          </w:tblCellMar>
        </w:tblPrEx>
        <w:trPr>
          <w:trHeight w:val="765" w:hRule="atLeast"/>
        </w:trPr>
        <w:tc>
          <w:tcPr>
            <w:tcW w:w="1406" w:type="dxa"/>
            <w:noWrap w:val="0"/>
            <w:vAlign w:val="bottom"/>
          </w:tcPr>
          <w:p w14:paraId="42C0415B">
            <w:pPr>
              <w:spacing w:line="520" w:lineRule="exact"/>
              <w:jc w:val="distribute"/>
              <w:rPr>
                <w:b/>
                <w:bCs/>
                <w:kern w:val="0"/>
                <w:sz w:val="32"/>
              </w:rPr>
            </w:pPr>
            <w:r>
              <w:rPr>
                <w:rFonts w:hint="eastAsia"/>
                <w:b/>
                <w:bCs/>
                <w:kern w:val="0"/>
                <w:sz w:val="32"/>
              </w:rPr>
              <w:t>系</w:t>
            </w:r>
            <w:r>
              <w:rPr>
                <w:b/>
                <w:bCs/>
                <w:kern w:val="0"/>
                <w:sz w:val="32"/>
              </w:rPr>
              <w:t xml:space="preserve"> (</w:t>
            </w:r>
            <w:r>
              <w:rPr>
                <w:rFonts w:hint="eastAsia"/>
                <w:b/>
                <w:bCs/>
                <w:kern w:val="0"/>
                <w:sz w:val="32"/>
              </w:rPr>
              <w:t>院)</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计算机系</w:t>
            </w:r>
          </w:p>
        </w:tc>
      </w:tr>
      <w:tr w14:paraId="080A43F2">
        <w:tblPrEx>
          <w:tblCellMar>
            <w:top w:w="0" w:type="dxa"/>
            <w:left w:w="108" w:type="dxa"/>
            <w:bottom w:w="0" w:type="dxa"/>
            <w:right w:w="108" w:type="dxa"/>
          </w:tblCellMar>
        </w:tblPrEx>
        <w:trPr>
          <w:trHeight w:val="765" w:hRule="atLeast"/>
        </w:trPr>
        <w:tc>
          <w:tcPr>
            <w:tcW w:w="1406" w:type="dxa"/>
            <w:noWrap w:val="0"/>
            <w:vAlign w:val="bottom"/>
          </w:tcPr>
          <w:p w14:paraId="5E2E880C">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计算机应用技术</w:t>
            </w:r>
          </w:p>
        </w:tc>
      </w:tr>
      <w:tr w14:paraId="3E6905AC">
        <w:tblPrEx>
          <w:tblCellMar>
            <w:top w:w="0" w:type="dxa"/>
            <w:left w:w="108" w:type="dxa"/>
            <w:bottom w:w="0" w:type="dxa"/>
            <w:right w:w="108" w:type="dxa"/>
          </w:tblCellMar>
        </w:tblPrEx>
        <w:trPr>
          <w:trHeight w:val="765" w:hRule="atLeast"/>
        </w:trPr>
        <w:tc>
          <w:tcPr>
            <w:tcW w:w="1406" w:type="dxa"/>
            <w:noWrap w:val="0"/>
            <w:vAlign w:val="bottom"/>
          </w:tcPr>
          <w:p w14:paraId="11F5488B">
            <w:pPr>
              <w:spacing w:line="520" w:lineRule="exact"/>
              <w:jc w:val="distribute"/>
              <w:rPr>
                <w:rFonts w:hint="eastAsia"/>
                <w:b/>
                <w:bCs/>
                <w:kern w:val="0"/>
                <w:sz w:val="32"/>
              </w:rPr>
            </w:pPr>
            <w:r>
              <w:rPr>
                <w:rFonts w:hint="eastAsia"/>
                <w:b/>
                <w:bCs/>
                <w:kern w:val="0"/>
                <w:sz w:val="32"/>
              </w:rPr>
              <w:t>题  目</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装配式施工质量管理问题及优化研究——以市政项目为例</w:t>
            </w:r>
          </w:p>
        </w:tc>
      </w:tr>
      <w:tr w14:paraId="00936248">
        <w:tblPrEx>
          <w:tblCellMar>
            <w:top w:w="0" w:type="dxa"/>
            <w:left w:w="108" w:type="dxa"/>
            <w:bottom w:w="0" w:type="dxa"/>
            <w:right w:w="108" w:type="dxa"/>
          </w:tblCellMar>
        </w:tblPrEx>
        <w:trPr>
          <w:trHeight w:val="765" w:hRule="atLeast"/>
        </w:trPr>
        <w:tc>
          <w:tcPr>
            <w:tcW w:w="1406" w:type="dxa"/>
            <w:noWrap w:val="0"/>
            <w:vAlign w:val="bottom"/>
          </w:tcPr>
          <w:p w14:paraId="159A1AE5">
            <w:pPr>
              <w:spacing w:line="520" w:lineRule="exact"/>
              <w:jc w:val="distribute"/>
              <w:rPr>
                <w:rFonts w:hint="eastAsia"/>
                <w:b/>
                <w:bCs/>
                <w:kern w:val="0"/>
                <w:sz w:val="32"/>
              </w:rPr>
            </w:pPr>
          </w:p>
        </w:tc>
        <w:tc>
          <w:tcPr>
            <w:tcW w:w="5734" w:type="dxa"/>
            <w:gridSpan w:val="3"/>
            <w:tcBorders>
              <w:bottom w:val="single" w:color="auto" w:sz="8" w:space="0"/>
            </w:tcBorders>
            <w:noWrap w:val="0"/>
            <w:vAlign w:val="bottom"/>
          </w:tcPr>
          <w:p w14:paraId="BD145D3C">
            <w:pPr>
              <w:spacing w:line="520" w:lineRule="exact"/>
              <w:jc w:val="distribute"/>
              <w:rPr>
                <w:b/>
                <w:bCs/>
                <w:kern w:val="0"/>
                <w:sz w:val="32"/>
              </w:rPr>
            </w:pPr>
          </w:p>
        </w:tc>
      </w:tr>
    </w:tbl>
    <w:p w14:paraId="681B0AFA">
      <w:pPr>
        <w:keepNext/>
        <w:spacing w:line="400" w:lineRule="exact"/>
        <w:rPr>
          <w:rFonts w:hint="eastAsia"/>
          <w:sz w:val="32"/>
          <w:u w:val="single"/>
        </w:rPr>
      </w:pPr>
      <w:r>
        <w:rPr>
          <w:sz w:val="20"/>
          <w:u w:val="single"/>
        </w:rPr>
        <mc:AlternateContent>
          <mc:Choice Requires="wps">
            <w:drawing>
              <wp:anchor distT="0" distB="0" distL="114300" distR="114300" simplePos="0" relativeHeight="251660288" behindDoc="0" locked="0" layoutInCell="1" allowOverlap="1">
                <wp:simplePos x="0" y="0"/>
                <wp:positionH relativeFrom="column">
                  <wp:posOffset>3000375</wp:posOffset>
                </wp:positionH>
                <wp:positionV relativeFrom="paragraph">
                  <wp:posOffset>74295</wp:posOffset>
                </wp:positionV>
                <wp:extent cx="1333500" cy="396240"/>
                <wp:effectExtent l="0" t="0" r="0" b="3810"/>
                <wp:wrapNone/>
                <wp:docPr id="2" name="文本框 2"/>
                <wp:cNvGraphicFramePr/>
                <a:graphic xmlns:a="http://schemas.openxmlformats.org/drawingml/2006/main">
                  <a:graphicData uri="http://schemas.microsoft.com/office/word/2010/wordprocessingShape">
                    <wps:wsp>
                      <wps:cNvSpPr txBox="1"/>
                      <wps:spPr>
                        <a:xfrm>
                          <a:off x="0" y="0"/>
                          <a:ext cx="1333500" cy="396240"/>
                        </a:xfrm>
                        <a:prstGeom prst="rect">
                          <a:avLst/>
                        </a:prstGeom>
                        <a:solidFill>
                          <a:srgbClr val="FFFFFF"/>
                        </a:solidFill>
                        <a:ln>
                          <a:noFill/>
                        </a:ln>
                      </wps:spPr>
                      <wps:txbx>
                        <w:txbxContent>
                          <w:p w14:paraId="11FE8ECB">
                            <w:pPr>
                              <w:jc w:val="center"/>
                              <w:rPr>
                                <w:rFonts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6.25pt;margin-top:5.85pt;height:31.2pt;width:105pt;z-index:251660288;mso-width-relative:page;mso-height-relative:page;" stroked="f" coordsize="21600,21600" o:gfxdata="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NLr/9YAAAAJAQAADwAAAAAAAAABACAAAAAiAAAAZHJzL2Rvd25yZXYueG1s&#10;UEsBAhQAFAAAAAgAh07iQBS6dlLBAQAAdwMAAA4AAAAAAAAAAQAgAAAAJQEAAGRycy9lMm9Eb2Mu&#10;eG1sUEsFBgAAAAAGAAYAWQEAAFgFA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59264" behindDoc="0" locked="0" layoutInCell="1" allowOverlap="1">
                <wp:simplePos x="0" y="0"/>
                <wp:positionH relativeFrom="column">
                  <wp:posOffset>1666875</wp:posOffset>
                </wp:positionH>
                <wp:positionV relativeFrom="paragraph">
                  <wp:posOffset>74295</wp:posOffset>
                </wp:positionV>
                <wp:extent cx="1066800" cy="396240"/>
                <wp:effectExtent l="0" t="0" r="0" b="3810"/>
                <wp:wrapNone/>
                <wp:docPr id="4" name="文本框 4"/>
                <wp:cNvGraphicFramePr/>
                <a:graphic xmlns:a="http://schemas.openxmlformats.org/drawingml/2006/main">
                  <a:graphicData uri="http://schemas.microsoft.com/office/word/2010/wordprocessingShape">
                    <wps:wsp>
                      <wps:cNvSpPr txBox="1"/>
                      <wps:spPr>
                        <a:xfrm>
                          <a:off x="0" y="0"/>
                          <a:ext cx="1066800" cy="39624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85pt;height:31.2pt;width:84pt;z-index:251659264;mso-width-relative:page;mso-height-relative:page;" stroked="f" coordsize="21600,21600" o:gfxdata="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k5jtc1wAAAAkBAAAPAAAAAAAAAAEAIAAAACIAAABkcnMvZG93bnJldi54&#10;bWxQSwECFAAUAAAACACHTuJAEwOhG8IBAAB3AwAADgAAAAAAAAABACAAAAAmAQAAZHJzL2Uyb0Rv&#10;Yy54bWxQSwUGAAAAAAYABgBZAQAAWgUAAAAA&#10;">
                <v:path/>
                <v:fill focussize="0,0"/>
                <v:stroke on="f"/>
                <v:imagedata o:title=""/>
                <o:lock v:ext="edit"/>
                <v:textbox>
                  <w:txbxContent/>
                </v:textbox>
              </v:shape>
            </w:pict>
          </mc:Fallback>
        </mc:AlternateContent>
      </w:r>
    </w:p>
    <w:p w14:paraId="45018F6E">
      <w:pPr>
        <w:spacing w:line="400" w:lineRule="exact"/>
        <w:ind w:firstLine="1205" w:firstLineChars="400"/>
        <w:rPr>
          <w:rFonts w:hint="eastAsia"/>
          <w:b/>
          <w:bCs/>
          <w:sz w:val="32"/>
          <w:u w:val="single"/>
        </w:rPr>
      </w:pPr>
      <w:r>
        <w:rPr>
          <w:rFonts w:hint="eastAsia"/>
          <w:b/>
          <w:bCs/>
          <w:sz w:val="30"/>
        </w:rPr>
        <w:t>指导者：</w:t>
      </w:r>
      <w:r>
        <w:rPr>
          <w:rFonts w:hint="eastAsia"/>
          <w:bCs/>
          <w:sz w:val="32"/>
          <w:u w:val="single"/>
        </w:rPr>
        <w:t xml:space="preserve">                               </w:t>
      </w:r>
    </w:p>
    <w:p w14:paraId="77B9776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486B74AE">
      <w:pPr>
        <w:keepNext/>
        <w:spacing w:line="240" w:lineRule="exact"/>
        <w:ind w:firstLine="780"/>
        <w:jc w:val="center"/>
        <w:rPr>
          <w:rFonts w:hint="eastAsia"/>
        </w:rPr>
      </w:pPr>
      <w:r>
        <w:rPr>
          <w:sz w:val="20"/>
          <w:u w:val="single"/>
        </w:rPr>
        <mc:AlternateContent>
          <mc:Choice Requires="wps">
            <w:drawing>
              <wp:anchor distT="0" distB="0" distL="114300" distR="114300" simplePos="0" relativeHeight="251661312" behindDoc="0" locked="0" layoutInCell="1" allowOverlap="1">
                <wp:simplePos x="0" y="0"/>
                <wp:positionH relativeFrom="column">
                  <wp:posOffset>2933700</wp:posOffset>
                </wp:positionH>
                <wp:positionV relativeFrom="paragraph">
                  <wp:posOffset>68580</wp:posOffset>
                </wp:positionV>
                <wp:extent cx="1400175" cy="284480"/>
                <wp:effectExtent l="0" t="0" r="9525" b="1270"/>
                <wp:wrapNone/>
                <wp:docPr id="6" name="文本框 6"/>
                <wp:cNvGraphicFramePr/>
                <a:graphic xmlns:a="http://schemas.openxmlformats.org/drawingml/2006/main">
                  <a:graphicData uri="http://schemas.microsoft.com/office/word/2010/wordprocessingShape">
                    <wps:wsp>
                      <wps:cNvSpPr txBox="1"/>
                      <wps:spPr>
                        <a:xfrm>
                          <a:off x="0" y="0"/>
                          <a:ext cx="1400175" cy="284480"/>
                        </a:xfrm>
                        <a:prstGeom prst="rect">
                          <a:avLst/>
                        </a:prstGeom>
                        <a:solidFill>
                          <a:srgbClr val="FFFFFF"/>
                        </a:solidFill>
                        <a:ln>
                          <a:noFill/>
                        </a:ln>
                      </wps:spPr>
                      <wps:txbx>
                        <w:txbxContent>
                          <w:p w14:paraId="2FA69C0E">
                            <w:pPr>
                              <w:jc w:val="center"/>
                              <w:rPr>
                                <w:rFonts w:hint="eastAsia"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1pt;margin-top:5.4pt;height:22.4pt;width:110.25pt;z-index:251661312;mso-width-relative:page;mso-height-relative:page;" stroked="f" coordsize="21600,21600" o:gfxdata="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dpNdl1wAAAAkBAAAPAAAAAAAAAAEAIAAAACIAAABkcnMvZG93bnJldi54&#10;bWxQSwECFAAUAAAACACHTuJAfPDLScIBAAB3AwAADgAAAAAAAAABACAAAAAmAQAAZHJzL2Uyb0Rv&#10;Yy54bWxQSwUGAAAAAAYABgBZAQAAWgU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62336" behindDoc="0" locked="0" layoutInCell="1" allowOverlap="1">
                <wp:simplePos x="0" y="0"/>
                <wp:positionH relativeFrom="column">
                  <wp:posOffset>1666875</wp:posOffset>
                </wp:positionH>
                <wp:positionV relativeFrom="paragraph">
                  <wp:posOffset>68580</wp:posOffset>
                </wp:positionV>
                <wp:extent cx="1066800" cy="317500"/>
                <wp:effectExtent l="0" t="0" r="0" b="6350"/>
                <wp:wrapNone/>
                <wp:docPr id="1" name="文本框 1"/>
                <wp:cNvGraphicFramePr/>
                <a:graphic xmlns:a="http://schemas.openxmlformats.org/drawingml/2006/main">
                  <a:graphicData uri="http://schemas.microsoft.com/office/word/2010/wordprocessingShape">
                    <wps:wsp>
                      <wps:cNvSpPr txBox="1"/>
                      <wps:spPr>
                        <a:xfrm>
                          <a:off x="0" y="0"/>
                          <a:ext cx="1066800" cy="31750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4pt;height:25pt;width:84pt;z-index:251662336;mso-width-relative:page;mso-height-relative:page;" stroked="f" coordsize="21600,21600" o:gfxdata="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pav/9YAAAAJAQAADwAAAAAAAAABACAAAAAiAAAAZHJzL2Rvd25yZXYueG1sUEsB&#10;AhQAFAAAAAgAh07iQEwriY2+AQAAdwMAAA4AAAAAAAAAAQAgAAAAJQEAAGRycy9lMm9Eb2MueG1s&#10;UEsFBgAAAAAGAAYAWQEAAFUFAAAAAA==&#10;">
                <v:path/>
                <v:fill focussize="0,0"/>
                <v:stroke on="f"/>
                <v:imagedata o:title=""/>
                <o:lock v:ext="edit"/>
                <v:textbox>
                  <w:txbxContent/>
                </v:textbox>
              </v:shape>
            </w:pict>
          </mc:Fallback>
        </mc:AlternateContent>
      </w:r>
    </w:p>
    <w:p w14:paraId="56285902">
      <w:pPr>
        <w:spacing w:before="120" w:beforeLines="50" w:line="400" w:lineRule="exact"/>
        <w:ind w:firstLine="1205" w:firstLineChars="400"/>
        <w:rPr>
          <w:rFonts w:hint="eastAsia"/>
          <w:b/>
          <w:bCs/>
          <w:sz w:val="30"/>
          <w:u w:val="single"/>
        </w:rPr>
      </w:pPr>
      <w:r>
        <w:rPr>
          <w:rFonts w:hint="eastAsia"/>
          <w:b/>
          <w:bCs/>
          <w:sz w:val="30"/>
        </w:rPr>
        <w:t>评阅者：</w:t>
      </w:r>
      <w:r>
        <w:rPr>
          <w:rFonts w:hint="eastAsia"/>
          <w:bCs/>
          <w:sz w:val="32"/>
          <w:u w:val="single"/>
        </w:rPr>
        <w:t xml:space="preserve">                               </w:t>
      </w:r>
    </w:p>
    <w:p w14:paraId="3E18E8A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1DC72C6B">
      <w:pPr>
        <w:spacing w:line="360" w:lineRule="exact"/>
        <w:jc w:val="center"/>
        <w:rPr>
          <w:rFonts w:hint="eastAsia"/>
          <w:sz w:val="32"/>
        </w:rPr>
      </w:pPr>
    </w:p>
    <w:tbl>
      <w:tblPr>
        <w:tblStyle w:val="8"/>
        <w:tblW w:w="0" w:type="auto"/>
        <w:jc w:val="center"/>
        <w:tblLayout w:type="autofit"/>
        <w:tblCellMar>
          <w:top w:w="0" w:type="dxa"/>
          <w:left w:w="108" w:type="dxa"/>
          <w:bottom w:w="0" w:type="dxa"/>
          <w:right w:w="108" w:type="dxa"/>
        </w:tblCellMar>
      </w:tblPr>
      <w:tblGrid>
        <w:gridCol w:w="1036"/>
        <w:gridCol w:w="716"/>
        <w:gridCol w:w="556"/>
        <w:gridCol w:w="716"/>
      </w:tblGrid>
      <w:tr w14:paraId="27E28FA9">
        <w:tblPrEx>
          <w:tblCellMar>
            <w:top w:w="0" w:type="dxa"/>
            <w:left w:w="108" w:type="dxa"/>
            <w:bottom w:w="0" w:type="dxa"/>
            <w:right w:w="108" w:type="dxa"/>
          </w:tblCellMar>
        </w:tblPrEx>
        <w:trPr>
          <w:jc w:val="center"/>
        </w:trPr>
        <w:tc>
          <w:tcPr>
            <w:tcW w:w="1036" w:type="dxa"/>
            <w:noWrap w:val="0"/>
            <w:vAlign w:val="top"/>
          </w:tcPr>
          <w:p>
            <w:pPr>
              <w:rPr>
                <w:rFonts w:eastAsia="宋体" w:ascii="宋体" w:hAnsi="宋体"/>
                <w:color w:val="000000"/>
                <w:sz w:val="21"/>
                <w:szCs w:val="21"/>
              </w:rPr>
            </w:pPr>
            <w:r>
              <w:rPr>
                <w:rFonts w:eastAsia="楷体_GB2312" w:ascii="宋体" w:hAnsi="宋体"/>
                <w:color w:val="000000"/>
                <w:sz w:val="32"/>
                <w:szCs w:val="21"/>
              </w:rPr>
              <w:t>2025</w:t>
            </w:r>
          </w:p>
        </w:tc>
        <w:tc>
          <w:tcPr>
            <w:tcW w:w="716" w:type="dxa"/>
            <w:noWrap w:val="0"/>
            <w:vAlign w:val="top"/>
          </w:tcPr>
          <w:p w14:paraId="2EA7F303">
            <w:pPr>
              <w:spacing w:line="360" w:lineRule="exact"/>
              <w:jc w:val="center"/>
              <w:rPr>
                <w:sz w:val="32"/>
              </w:rPr>
            </w:pPr>
            <w:r>
              <w:rPr>
                <w:rFonts w:hint="eastAsia" w:eastAsia="黑体"/>
                <w:sz w:val="32"/>
              </w:rPr>
              <w:t>年</w:t>
            </w:r>
          </w:p>
        </w:tc>
        <w:tc>
          <w:tcPr>
            <w:tcW w:w="556" w:type="dxa"/>
            <w:noWrap w:val="0"/>
            <w:vAlign w:val="top"/>
          </w:tcPr>
          <w:p>
            <w:pPr>
              <w:rPr>
                <w:rFonts w:eastAsia="宋体" w:ascii="宋体" w:hAnsi="宋体"/>
                <w:color w:val="000000"/>
                <w:sz w:val="21"/>
                <w:szCs w:val="21"/>
              </w:rPr>
            </w:pPr>
            <w:r>
              <w:rPr>
                <w:rFonts w:eastAsia="楷体_GB2312" w:ascii="宋体" w:hAnsi="宋体"/>
                <w:color w:val="000000"/>
                <w:sz w:val="32"/>
                <w:szCs w:val="21"/>
              </w:rPr>
              <w:t>9</w:t>
            </w:r>
          </w:p>
        </w:tc>
        <w:tc>
          <w:tcPr>
            <w:tcW w:w="716" w:type="dxa"/>
            <w:noWrap w:val="0"/>
            <w:vAlign w:val="top"/>
          </w:tcPr>
          <w:p w14:paraId="45E6718C">
            <w:pPr>
              <w:spacing w:line="360" w:lineRule="exact"/>
              <w:jc w:val="center"/>
              <w:rPr>
                <w:sz w:val="32"/>
              </w:rPr>
            </w:pPr>
            <w:r>
              <w:rPr>
                <w:rFonts w:hint="eastAsia" w:eastAsia="黑体"/>
                <w:sz w:val="32"/>
              </w:rPr>
              <w:t>月</w:t>
            </w:r>
          </w:p>
        </w:tc>
      </w:tr>
    </w:tbl>
    <w:p w14:paraId="77FD6FE9">
      <w:pPr>
        <w:snapToGrid w:val="0"/>
        <w:spacing w:after="72" w:afterLines="30" w:line="560" w:lineRule="exact"/>
        <w:rPr>
          <w:rFonts w:hint="eastAsia"/>
          <w:color w:val="000000"/>
          <w:sz w:val="24"/>
        </w:rPr>
      </w:pPr>
      <w:r>
        <w:rPr>
          <w:rFonts w:hint="eastAsia" w:ascii="宋体" w:hAnsi="宋体" w:eastAsia="宋体"/>
          <w:b/>
          <w:bCs/>
          <w:color w:val="000000"/>
          <w:spacing w:val="40"/>
          <w:kern w:val="18"/>
          <w:sz w:val="24"/>
          <w:szCs w:val="24"/>
        </w:rPr>
        <w:t>摘 要：</w:t>
      </w:r>
      <w:r>
        <w:rPr>
          <w:rFonts w:hint="eastAsia" w:ascii="宋体" w:hAnsi="宋体" w:eastAsia="宋体"/>
          <w:color w:val="000000"/>
          <w:spacing w:val="40"/>
          <w:kern w:val="18"/>
          <w:sz w:val="24"/>
          <w:szCs w:val="24"/>
        </w:rPr>
        <w:t xml:space="preserve">装配式建造可把大量湿作业转移到工厂，减少现场用工与城市干扰，是综合管廊工业化建造的重要方向。本文以绵阳综合管廊项目为对象，针对管廊总长约25.15 km、配套市政道路27.14 km的工程实际，围绕装配式施工质量问题开展调查与成因分析并给出优化对策。研究从人、机、料、法、环五维梳理构件进场验收、吊装定位、接缝防水、套筒连接和多专业穿插等典型质量问题及其成因，进而从组织管理、工艺技术和质量控制手段三方面提出措施，包括建立构件批次追溯制度、推行驻厂监理、应用BIM与三维扫描相结合的偏差动态修正工艺、采用预铺反粘与自愈合高分子防水卷材复合工艺等。相关对策已在项目应用，预埋件安装合格率达到100%。</w:t>
      </w:r>
    </w:p>
    <w:p w14:paraId="23D51560">
      <w:pPr>
        <w:spacing w:line="360" w:lineRule="auto"/>
        <w:rPr>
          <w:rFonts w:hint="eastAsia"/>
          <w:color w:val="000000"/>
          <w:sz w:val="24"/>
        </w:rPr>
      </w:pPr>
    </w:p>
    <w:p>
      <w:pPr>
        <w:spacing w:line="360" w:lineRule="auto"/>
        <w:rPr>
          <w:rFonts w:hint="eastAsia"/>
          <w:color w:val="000000"/>
          <w:sz w:val="24"/>
        </w:rPr>
      </w:pPr>
    </w:p>
    <w:p w14:paraId="0789AEC6">
      <w:pPr>
        <w:spacing w:line="360" w:lineRule="auto"/>
        <w:rPr>
          <w:color w:val="000000"/>
          <w:sz w:val="24"/>
        </w:rPr>
      </w:pPr>
      <w:r>
        <w:rPr>
          <w:rFonts w:hint="eastAsia" w:ascii="宋体" w:hAnsi="宋体" w:eastAsia="宋体"/>
          <w:b/>
          <w:bCs/>
          <w:color w:val="000000"/>
          <w:spacing w:val="40"/>
          <w:kern w:val="18"/>
          <w:sz w:val="24"/>
          <w:szCs w:val="24"/>
        </w:rPr>
        <w:t>关键词：  装配式，综合管廊，施工质量，质量管理，市政工程</w:t>
      </w:r>
      <w:r>
        <w:rPr>
          <w:rFonts w:eastAsia="宋体" w:ascii="宋体" w:hAnsi="宋体"/>
          <w:color w:val="000000"/>
          <w:sz w:val="24"/>
          <w:szCs w:val="24"/>
        </w:rPr>
      </w:r>
    </w:p>
    <w:p w14:paraId="7EFBFB62">
      <w:pPr>
        <w:spacing w:line="360" w:lineRule="auto"/>
        <w:jc w:val="left"/>
        <w:rPr>
          <w:color w:val="000000"/>
          <w:sz w:val="24"/>
        </w:rPr>
      </w:pPr>
    </w:p>
    <w:p w14:paraId="2F71D384">
      <w:pPr>
        <w:spacing w:line="360" w:lineRule="auto"/>
        <w:rPr>
          <w:rFonts w:eastAsia="黑体"/>
          <w:sz w:val="24"/>
        </w:rPr>
      </w:pPr>
      <w:r>
        <w:rPr>
          <w:rFonts w:hint="eastAsia" w:eastAsia="Times New Roman" w:ascii="Times New Roman" w:hAnsi="Times New Roman"/>
          <w:b/>
          <w:bCs/>
          <w:color w:val="000000"/>
          <w:sz w:val="24"/>
          <w:szCs w:val="24"/>
        </w:rPr>
        <w:t>Abstract：Prefabricated construction can transfer a large amount of wet work to factories, reduce site labor and urban disturbance, and is an important direction for the industrial construction of utility tunnels. Taking the Mianyang utility tunnel project as the research object, this paper investigates the quality problems in prefabricated construction and analyses their causes, and puts forward optimization countermeasures for the quality management system, aiming at the national largest prefabricated utility tunnel with a total tunnel length of about 25.15 km and 27.14 km supporting municipal roads. Typical quality problems and their causes are sorted out from five dimensions of man, machine, material, method and environment, covering component acceptance, hoisting positioning, joint waterproofing, sleeve connection and multi-discipline construction. Targeted measures are proposed from three aspects of organization management, process technology and quality control means, including establishing the component batch traceability system, implementing resident factory supervision, applying the BIM and 3D scanning combined deviation dynamic correction technology, and adopting the pre-laid inverted and self-healing polymer waterproof membrane composite technology. The countermeasures have been applied in the project, with the installation qualification rate of embedded parts reaching 100% and zero defect achieved in structural quality, which provides a reference for similar large-scale prefabricated municipal projects.</w:t>
      </w:r>
    </w:p>
    <w:p>
      <w:pPr>
        <w:spacing w:line="360" w:lineRule="auto"/>
        <w:rPr>
          <w:rFonts w:hint="eastAsia" w:eastAsia="黑体"/>
          <w:color w:val="000000"/>
          <w:sz w:val="24"/>
        </w:rPr>
      </w:pPr>
      <w:r>
        <w:rPr>
          <w:rFonts w:eastAsia="Times New Roman" w:ascii="Times New Roman" w:hAnsi="Times New Roman"/>
          <w:b/>
          <w:bCs/>
          <w:color w:val="000000"/>
          <w:sz w:val="24"/>
          <w:szCs w:val="24"/>
        </w:rPr>
        <w:t/>
      </w:r>
      <w:r>
        <w:rPr>
          <w:rFonts w:eastAsia="Times New Roman" w:ascii="Times New Roman" w:hAnsi="Times New Roman"/>
          <w:color w:val="000000"/>
          <w:sz w:val="24"/>
          <w:szCs w:val="24"/>
        </w:rPr>
      </w:r>
    </w:p>
    <w:p>
      <w:pPr>
        <w:spacing w:line="360" w:lineRule="auto"/>
        <w:rPr>
          <w:rFonts w:hint="eastAsia" w:eastAsia="黑体"/>
          <w:color w:val="000000"/>
          <w:sz w:val="24"/>
        </w:rPr>
      </w:pPr>
      <w:r>
        <w:rPr>
          <w:rFonts w:eastAsia="Times New Roman" w:ascii="Times New Roman" w:hAnsi="Times New Roman"/>
          <w:b/>
          <w:bCs/>
          <w:color w:val="000000"/>
          <w:sz w:val="24"/>
          <w:szCs w:val="24"/>
        </w:rPr>
        <w:t/>
      </w:r>
      <w:r>
        <w:rPr>
          <w:rFonts w:eastAsia="Times New Roman" w:ascii="Times New Roman" w:hAnsi="Times New Roman"/>
          <w:color w:val="000000"/>
          <w:sz w:val="24"/>
          <w:szCs w:val="24"/>
        </w:rPr>
      </w:r>
    </w:p>
    <w:p w14:paraId="27A2F1E1">
      <w:pPr>
        <w:spacing w:line="360" w:lineRule="auto"/>
        <w:rPr>
          <w:rFonts w:hint="eastAsia" w:eastAsia="黑体"/>
          <w:color w:val="000000"/>
          <w:sz w:val="24"/>
        </w:rPr>
      </w:pPr>
      <w:r>
        <w:rPr>
          <w:rFonts w:eastAsia="Times New Roman" w:ascii="Times New Roman" w:hAnsi="Times New Roman"/>
          <w:b/>
          <w:bCs/>
          <w:color w:val="000000"/>
          <w:sz w:val="24"/>
          <w:szCs w:val="24"/>
        </w:rPr>
        <w:t>Key words：prefabricated, utility tunnel, construction quality, quality management, municipal engineering</w:t>
      </w:r>
      <w:r>
        <w:rPr>
          <w:rFonts w:eastAsia="Times New Roman" w:ascii="Times New Roman" w:hAnsi="Times New Roman"/>
          <w:color w:val="000000"/>
          <w:sz w:val="24"/>
          <w:szCs w:val="24"/>
        </w:rPr>
      </w:r>
    </w:p>
    <w:p w14:paraId="5DFCEF62">
      <w:pPr>
        <w:spacing w:line="360" w:lineRule="auto"/>
        <w:rPr>
          <w:rFonts w:hint="eastAsia" w:eastAsia="黑体"/>
          <w:b/>
          <w:color w:val="000000"/>
          <w:sz w:val="24"/>
        </w:rPr>
        <w:sectPr>
          <w:pgSz w:w="11907" w:h="16840"/>
          <w:pgMar w:top="1440" w:right="1021" w:bottom="1440" w:left="1418" w:header="851" w:footer="992" w:gutter="510"/>
          <w:cols w:space="720" w:num="1"/>
          <w:docGrid w:linePitch="312" w:charSpace="0"/>
        </w:sectPr>
      </w:pPr>
    </w:p>
    <w:p w14:paraId="73B1E78F">
      <w:pPr>
        <w:spacing w:line="360" w:lineRule="auto"/>
        <w:ind w:left="-900" w:right="-874" w:rightChars="-416" w:firstLine="723" w:firstLineChars="200"/>
        <w:jc w:val="center"/>
        <w:rPr>
          <w:rFonts w:hint="eastAsia" w:ascii="宋体" w:hAnsi="宋体"/>
          <w:color w:val="000000"/>
        </w:rPr>
      </w:pPr>
      <w:r>
        <w:rPr>
          <w:rFonts w:hint="eastAsia" w:ascii="黑体" w:hAnsi="黑体" w:eastAsia="黑体" w:cs="黑体"/>
          <w:b/>
          <w:color w:val="000000"/>
          <w:sz w:val="36"/>
          <w:szCs w:val="36"/>
        </w:rPr>
        <w:t xml:space="preserve">目  录</w:t>
      </w:r>
    </w:p>
    <w:p w14:paraId="7908BEEB">
      <w:pPr>
        <w:tabs>
          <w:tab w:val="right" w:leader="dot" w:pos="8302"/>
        </w:tabs>
        <w:spacing w:line="560" w:lineRule="exact"/>
        <w:rPr>
          <w:rFonts w:hint="eastAsia" w:ascii="宋体" w:hAnsi="宋体"/>
          <w:color w:val="000000"/>
          <w:sz w:val="24"/>
        </w:rPr>
      </w:pPr>
    </w:p>
    <w:p w14:paraId="CBEB42D8">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1.绪论</w:t>
        <w:tab/>
        <w:t>9</w:t>
      </w:r>
      <w:r>
        <w:rPr>
          <w:rFonts w:ascii="宋体" w:hAnsi="宋体" w:eastAsia="宋体"/>
          <w:color w:val="000000"/>
          <w:sz w:val="24"/>
          <w:szCs w:val="24"/>
        </w:rPr>
      </w:r>
      <w:r>
        <w:rPr>
          <w:rFonts w:ascii="宋体" w:hAnsi="宋体" w:eastAsia="宋体"/>
          <w:color w:val="000000"/>
          <w:sz w:val="24"/>
          <w:szCs w:val="24"/>
        </w:rPr>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1.1研究背景</w:t>
        <w:tab/>
        <w:t>9</w:t>
      </w:r>
      <w:r>
        <w:rPr>
          <w:rFonts w:ascii="宋体" w:hAnsi="宋体" w:eastAsia="宋体"/>
          <w:color w:val="000000"/>
          <w:sz w:val="24"/>
          <w:szCs w:val="24"/>
        </w:rPr>
      </w:r>
      <w:r>
        <w:rPr>
          <w:rFonts w:ascii="宋体" w:hAnsi="宋体" w:eastAsia="宋体"/>
          <w:color w:val="000000"/>
          <w:sz w:val="24"/>
          <w:szCs w:val="24"/>
        </w:rPr>
      </w:r>
    </w:p>
    <w:p w14:paraId="DBF7D24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1.2研究目的与意义</w:t>
        <w:tab/>
        <w:t>9</w:t>
      </w:r>
      <w:r>
        <w:rPr>
          <w:rFonts w:ascii="宋体" w:hAnsi="宋体" w:eastAsia="宋体"/>
          <w:color w:val="000000"/>
          <w:sz w:val="24"/>
          <w:szCs w:val="24"/>
        </w:rPr>
      </w:r>
      <w:r>
        <w:rPr>
          <w:rFonts w:ascii="宋体" w:hAnsi="宋体" w:eastAsia="宋体"/>
          <w:color w:val="000000"/>
          <w:sz w:val="24"/>
          <w:szCs w:val="24"/>
        </w:rPr>
      </w:r>
    </w:p>
    <w:p w14:paraId="08876D6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1.3国内外研究现状</w:t>
        <w:tab/>
        <w:t>10</w:t>
      </w:r>
      <w:r>
        <w:rPr>
          <w:rFonts w:ascii="宋体" w:hAnsi="宋体" w:eastAsia="宋体"/>
          <w:color w:val="000000"/>
          <w:sz w:val="24"/>
          <w:szCs w:val="24"/>
        </w:rPr>
      </w:r>
      <w:r>
        <w:rPr>
          <w:rFonts w:ascii="宋体" w:hAnsi="宋体" w:eastAsia="宋体"/>
          <w:color w:val="000000"/>
          <w:sz w:val="24"/>
          <w:szCs w:val="24"/>
        </w:rPr>
      </w:r>
    </w:p>
    <w:p w14:paraId="2079E93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1.4研究内容与技术路线</w:t>
        <w:tab/>
        <w:t>10</w:t>
      </w:r>
      <w:r>
        <w:rPr>
          <w:rFonts w:ascii="宋体" w:hAnsi="宋体" w:eastAsia="宋体"/>
          <w:color w:val="000000"/>
          <w:sz w:val="24"/>
          <w:szCs w:val="24"/>
        </w:rPr>
      </w:r>
      <w:r>
        <w:rPr>
          <w:rFonts w:ascii="宋体" w:hAnsi="宋体" w:eastAsia="宋体"/>
          <w:color w:val="000000"/>
          <w:sz w:val="24"/>
          <w:szCs w:val="24"/>
        </w:rPr>
      </w:r>
    </w:p>
    <w:p w14:paraId="F7F461A1">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2.相关理论基础</w:t>
        <w:tab/>
        <w:t>11</w:t>
      </w:r>
      <w:r>
        <w:rPr>
          <w:rFonts w:ascii="宋体" w:hAnsi="宋体" w:eastAsia="宋体"/>
          <w:color w:val="000000"/>
          <w:sz w:val="24"/>
          <w:szCs w:val="24"/>
        </w:rPr>
      </w:r>
      <w:r>
        <w:rPr>
          <w:rFonts w:ascii="宋体" w:hAnsi="宋体" w:eastAsia="宋体"/>
          <w:color w:val="000000"/>
          <w:sz w:val="24"/>
          <w:szCs w:val="24"/>
        </w:rPr>
      </w:r>
    </w:p>
    <w:p w14:paraId="DE3EFB4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2.1综合管廊工程概述</w:t>
        <w:tab/>
        <w:t>11</w:t>
      </w:r>
      <w:r>
        <w:rPr>
          <w:rFonts w:ascii="宋体" w:hAnsi="宋体" w:eastAsia="宋体"/>
          <w:color w:val="000000"/>
          <w:sz w:val="24"/>
          <w:szCs w:val="24"/>
        </w:rPr>
      </w:r>
      <w:r>
        <w:rPr>
          <w:rFonts w:ascii="宋体" w:hAnsi="宋体" w:eastAsia="宋体"/>
          <w:color w:val="000000"/>
          <w:sz w:val="24"/>
          <w:szCs w:val="24"/>
        </w:rPr>
      </w:r>
    </w:p>
    <w:p w14:paraId="D5A5D0E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2.2装配式施工技术</w:t>
        <w:tab/>
        <w:t>12</w:t>
      </w:r>
      <w:r>
        <w:rPr>
          <w:rFonts w:ascii="宋体" w:hAnsi="宋体" w:eastAsia="宋体"/>
          <w:color w:val="000000"/>
          <w:sz w:val="24"/>
          <w:szCs w:val="24"/>
        </w:rPr>
      </w:r>
      <w:r>
        <w:rPr>
          <w:rFonts w:ascii="宋体" w:hAnsi="宋体" w:eastAsia="宋体"/>
          <w:color w:val="000000"/>
          <w:sz w:val="24"/>
          <w:szCs w:val="24"/>
        </w:rPr>
      </w:r>
    </w:p>
    <w:p w14:paraId="5E9D479F">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2.3施工质量管理理论</w:t>
        <w:tab/>
        <w:t>12</w:t>
      </w:r>
      <w:r>
        <w:rPr>
          <w:rFonts w:ascii="宋体" w:hAnsi="宋体" w:eastAsia="宋体"/>
          <w:color w:val="000000"/>
          <w:sz w:val="24"/>
          <w:szCs w:val="24"/>
        </w:rPr>
      </w:r>
      <w:r>
        <w:rPr>
          <w:rFonts w:ascii="宋体" w:hAnsi="宋体" w:eastAsia="宋体"/>
          <w:color w:val="000000"/>
          <w:sz w:val="24"/>
          <w:szCs w:val="24"/>
        </w:rPr>
      </w:r>
    </w:p>
    <w:p w14:paraId="BF74BE2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2.4相关标准与规范</w:t>
        <w:tab/>
        <w:t>13</w:t>
      </w:r>
      <w:r>
        <w:rPr>
          <w:rFonts w:ascii="宋体" w:hAnsi="宋体" w:eastAsia="宋体"/>
          <w:color w:val="000000"/>
          <w:sz w:val="24"/>
          <w:szCs w:val="24"/>
        </w:rPr>
      </w:r>
      <w:r>
        <w:rPr>
          <w:rFonts w:ascii="宋体" w:hAnsi="宋体" w:eastAsia="宋体"/>
          <w:color w:val="000000"/>
          <w:sz w:val="24"/>
          <w:szCs w:val="24"/>
        </w:rPr>
      </w:r>
    </w:p>
    <w:p w14:paraId="E2259231">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3.绵阳综合管廊项目概况</w:t>
        <w:tab/>
        <w:t>13</w:t>
      </w:r>
      <w:r>
        <w:rPr>
          <w:rFonts w:ascii="宋体" w:hAnsi="宋体" w:eastAsia="宋体"/>
          <w:color w:val="000000"/>
          <w:sz w:val="24"/>
          <w:szCs w:val="24"/>
        </w:rPr>
      </w:r>
      <w:r>
        <w:rPr>
          <w:rFonts w:ascii="宋体" w:hAnsi="宋体" w:eastAsia="宋体"/>
          <w:color w:val="000000"/>
          <w:sz w:val="24"/>
          <w:szCs w:val="24"/>
        </w:rPr>
      </w:r>
    </w:p>
    <w:p w14:paraId="BA46ACE2">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3.1项目基本情况</w:t>
        <w:tab/>
        <w:t>13</w:t>
      </w:r>
      <w:r>
        <w:rPr>
          <w:rFonts w:ascii="宋体" w:hAnsi="宋体" w:eastAsia="宋体"/>
          <w:color w:val="000000"/>
          <w:sz w:val="24"/>
          <w:szCs w:val="24"/>
        </w:rPr>
      </w:r>
      <w:r>
        <w:rPr>
          <w:rFonts w:ascii="宋体" w:hAnsi="宋体" w:eastAsia="宋体"/>
          <w:color w:val="000000"/>
          <w:sz w:val="24"/>
          <w:szCs w:val="24"/>
        </w:rPr>
      </w:r>
    </w:p>
    <w:p w14:paraId="A102D7BF">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3.2工程重难点</w:t>
        <w:tab/>
        <w:t>14</w:t>
      </w:r>
      <w:r>
        <w:rPr>
          <w:rFonts w:ascii="宋体" w:hAnsi="宋体" w:eastAsia="宋体"/>
          <w:color w:val="000000"/>
          <w:sz w:val="24"/>
          <w:szCs w:val="24"/>
        </w:rPr>
      </w:r>
      <w:r>
        <w:rPr>
          <w:rFonts w:ascii="宋体" w:hAnsi="宋体" w:eastAsia="宋体"/>
          <w:color w:val="000000"/>
          <w:sz w:val="24"/>
          <w:szCs w:val="24"/>
        </w:rPr>
      </w:r>
    </w:p>
    <w:p w14:paraId="C3F97147">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3.3装配式构件设计与拆分方案</w:t>
        <w:tab/>
        <w:t>15</w:t>
      </w:r>
      <w:r>
        <w:rPr>
          <w:rFonts w:ascii="宋体" w:hAnsi="宋体" w:eastAsia="宋体"/>
          <w:color w:val="000000"/>
          <w:sz w:val="24"/>
          <w:szCs w:val="24"/>
        </w:rPr>
      </w:r>
      <w:r>
        <w:rPr>
          <w:rFonts w:ascii="宋体" w:hAnsi="宋体" w:eastAsia="宋体"/>
          <w:color w:val="000000"/>
          <w:sz w:val="24"/>
          <w:szCs w:val="24"/>
        </w:rPr>
      </w:r>
    </w:p>
    <w:p w14:paraId="E815A48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3.4施工组织与质量管理体系</w:t>
        <w:tab/>
        <w:t>15</w:t>
      </w:r>
      <w:r>
        <w:rPr>
          <w:rFonts w:ascii="宋体" w:hAnsi="宋体" w:eastAsia="宋体"/>
          <w:color w:val="000000"/>
          <w:sz w:val="24"/>
          <w:szCs w:val="24"/>
        </w:rPr>
      </w:r>
      <w:r>
        <w:rPr>
          <w:rFonts w:ascii="宋体" w:hAnsi="宋体" w:eastAsia="宋体"/>
          <w:color w:val="000000"/>
          <w:sz w:val="24"/>
          <w:szCs w:val="24"/>
        </w:rPr>
      </w:r>
    </w:p>
    <w:p w14:paraId="84355DA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3.5节段拼装精度控制与防水构造要求</w:t>
        <w:tab/>
        <w:t>16</w:t>
      </w:r>
      <w:r>
        <w:rPr>
          <w:rFonts w:ascii="宋体" w:hAnsi="宋体" w:eastAsia="宋体"/>
          <w:color w:val="000000"/>
          <w:sz w:val="24"/>
          <w:szCs w:val="24"/>
        </w:rPr>
      </w:r>
      <w:r>
        <w:rPr>
          <w:rFonts w:ascii="宋体" w:hAnsi="宋体" w:eastAsia="宋体"/>
          <w:color w:val="000000"/>
          <w:sz w:val="24"/>
          <w:szCs w:val="24"/>
        </w:rPr>
      </w:r>
    </w:p>
    <w:p w14:paraId="2F1E9DCC">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4.装配式施工质量问题调查与成因分析</w:t>
        <w:tab/>
        <w:t>17</w:t>
      </w:r>
      <w:r>
        <w:rPr>
          <w:rFonts w:ascii="宋体" w:hAnsi="宋体" w:eastAsia="宋体"/>
          <w:color w:val="000000"/>
          <w:sz w:val="24"/>
          <w:szCs w:val="24"/>
        </w:rPr>
      </w:r>
      <w:r>
        <w:rPr>
          <w:rFonts w:ascii="宋体" w:hAnsi="宋体" w:eastAsia="宋体"/>
          <w:color w:val="000000"/>
          <w:sz w:val="24"/>
          <w:szCs w:val="24"/>
        </w:rPr>
      </w:r>
    </w:p>
    <w:p w14:paraId="6497F009">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4.1质量问题调查方法</w:t>
        <w:tab/>
        <w:t>17</w:t>
      </w:r>
      <w:r>
        <w:rPr>
          <w:rFonts w:ascii="宋体" w:hAnsi="宋体" w:eastAsia="宋体"/>
          <w:color w:val="000000"/>
          <w:sz w:val="24"/>
          <w:szCs w:val="24"/>
        </w:rPr>
      </w:r>
      <w:r>
        <w:rPr>
          <w:rFonts w:ascii="宋体" w:hAnsi="宋体" w:eastAsia="宋体"/>
          <w:color w:val="000000"/>
          <w:sz w:val="24"/>
          <w:szCs w:val="24"/>
        </w:rPr>
      </w:r>
    </w:p>
    <w:p w14:paraId="465B6F2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4.2主要质量问题识别</w:t>
        <w:tab/>
        <w:t>18</w:t>
      </w:r>
      <w:r>
        <w:rPr>
          <w:rFonts w:ascii="宋体" w:hAnsi="宋体" w:eastAsia="宋体"/>
          <w:color w:val="000000"/>
          <w:sz w:val="24"/>
          <w:szCs w:val="24"/>
        </w:rPr>
      </w:r>
      <w:r>
        <w:rPr>
          <w:rFonts w:ascii="宋体" w:hAnsi="宋体" w:eastAsia="宋体"/>
          <w:color w:val="000000"/>
          <w:sz w:val="24"/>
          <w:szCs w:val="24"/>
        </w:rPr>
      </w:r>
    </w:p>
    <w:p w14:paraId="9E3C8E77">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4.3问题成因分析</w:t>
        <w:tab/>
        <w:t>20</w:t>
      </w:r>
      <w:r>
        <w:rPr>
          <w:rFonts w:ascii="宋体" w:hAnsi="宋体" w:eastAsia="宋体"/>
          <w:color w:val="000000"/>
          <w:sz w:val="24"/>
          <w:szCs w:val="24"/>
        </w:rPr>
      </w:r>
      <w:r>
        <w:rPr>
          <w:rFonts w:ascii="宋体" w:hAnsi="宋体" w:eastAsia="宋体"/>
          <w:color w:val="000000"/>
          <w:sz w:val="24"/>
          <w:szCs w:val="24"/>
        </w:rPr>
      </w:r>
    </w:p>
    <w:p w14:paraId="7BC7A6B0">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5.质量管理体系优化对策</w:t>
        <w:tab/>
        <w:t>20</w:t>
      </w:r>
      <w:r>
        <w:rPr>
          <w:rFonts w:ascii="宋体" w:hAnsi="宋体" w:eastAsia="宋体"/>
          <w:color w:val="000000"/>
          <w:sz w:val="24"/>
          <w:szCs w:val="24"/>
        </w:rPr>
      </w:r>
      <w:r>
        <w:rPr>
          <w:rFonts w:ascii="宋体" w:hAnsi="宋体" w:eastAsia="宋体"/>
          <w:color w:val="000000"/>
          <w:sz w:val="24"/>
          <w:szCs w:val="24"/>
        </w:rPr>
      </w:r>
    </w:p>
    <w:p w14:paraId="9AC40BE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5.1组织管理优化</w:t>
        <w:tab/>
        <w:t>21</w:t>
      </w:r>
      <w:r>
        <w:rPr>
          <w:rFonts w:ascii="宋体" w:hAnsi="宋体" w:eastAsia="宋体"/>
          <w:color w:val="000000"/>
          <w:sz w:val="24"/>
          <w:szCs w:val="24"/>
        </w:rPr>
      </w:r>
      <w:r>
        <w:rPr>
          <w:rFonts w:ascii="宋体" w:hAnsi="宋体" w:eastAsia="宋体"/>
          <w:color w:val="000000"/>
          <w:sz w:val="24"/>
          <w:szCs w:val="24"/>
        </w:rPr>
      </w:r>
    </w:p>
    <w:p w14:paraId="C70066A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5.2工艺技术优化</w:t>
        <w:tab/>
        <w:t>22</w:t>
      </w:r>
      <w:r>
        <w:rPr>
          <w:rFonts w:ascii="宋体" w:hAnsi="宋体" w:eastAsia="宋体"/>
          <w:color w:val="000000"/>
          <w:sz w:val="24"/>
          <w:szCs w:val="24"/>
        </w:rPr>
      </w:r>
      <w:r>
        <w:rPr>
          <w:rFonts w:ascii="宋体" w:hAnsi="宋体" w:eastAsia="宋体"/>
          <w:color w:val="000000"/>
          <w:sz w:val="24"/>
          <w:szCs w:val="24"/>
        </w:rPr>
      </w:r>
    </w:p>
    <w:p w14:paraId="C7FABB33">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5.3质量控制手段优化</w:t>
        <w:tab/>
        <w:t>23</w:t>
      </w:r>
      <w:r>
        <w:rPr>
          <w:rFonts w:ascii="宋体" w:hAnsi="宋体" w:eastAsia="宋体"/>
          <w:color w:val="000000"/>
          <w:sz w:val="24"/>
          <w:szCs w:val="24"/>
        </w:rPr>
      </w:r>
      <w:r>
        <w:rPr>
          <w:rFonts w:ascii="宋体" w:hAnsi="宋体" w:eastAsia="宋体"/>
          <w:color w:val="000000"/>
          <w:sz w:val="24"/>
          <w:szCs w:val="24"/>
        </w:rPr>
      </w:r>
    </w:p>
    <w:p w14:paraId="EABA9904">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5.4优化效果</w:t>
        <w:tab/>
        <w:t>26</w:t>
      </w:r>
      <w:r>
        <w:rPr>
          <w:rFonts w:ascii="宋体" w:hAnsi="宋体" w:eastAsia="宋体"/>
          <w:color w:val="000000"/>
          <w:sz w:val="24"/>
          <w:szCs w:val="24"/>
        </w:rPr>
      </w:r>
      <w:r>
        <w:rPr>
          <w:rFonts w:ascii="宋体" w:hAnsi="宋体" w:eastAsia="宋体"/>
          <w:color w:val="000000"/>
          <w:sz w:val="24"/>
          <w:szCs w:val="24"/>
        </w:rPr>
      </w:r>
    </w:p>
    <w:p w14:paraId="3C8903B0">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6.结论与展望</w:t>
        <w:tab/>
        <w:t>27</w:t>
      </w:r>
      <w:r>
        <w:rPr>
          <w:rFonts w:ascii="宋体" w:hAnsi="宋体" w:eastAsia="宋体"/>
          <w:color w:val="000000"/>
          <w:sz w:val="24"/>
          <w:szCs w:val="24"/>
        </w:rPr>
      </w:r>
      <w:r>
        <w:rPr>
          <w:rFonts w:ascii="宋体" w:hAnsi="宋体" w:eastAsia="宋体"/>
          <w:color w:val="000000"/>
          <w:sz w:val="24"/>
          <w:szCs w:val="24"/>
        </w:rPr>
      </w:r>
    </w:p>
    <w:p w14:paraId="DC1297E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6.1主要结论</w:t>
        <w:tab/>
        <w:t>27</w:t>
      </w:r>
      <w:r>
        <w:rPr>
          <w:rFonts w:ascii="宋体" w:hAnsi="宋体" w:eastAsia="宋体"/>
          <w:color w:val="000000"/>
          <w:sz w:val="24"/>
          <w:szCs w:val="24"/>
        </w:rPr>
      </w:r>
      <w:r>
        <w:rPr>
          <w:rFonts w:ascii="宋体" w:hAnsi="宋体" w:eastAsia="宋体"/>
          <w:color w:val="000000"/>
          <w:sz w:val="24"/>
          <w:szCs w:val="24"/>
        </w:rPr>
      </w:r>
    </w:p>
    <w:p w14:paraId="C5C7445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6.2展望</w:t>
        <w:tab/>
        <w:t>28</w:t>
      </w:r>
      <w:r>
        <w:rPr>
          <w:rFonts w:ascii="宋体" w:hAnsi="宋体" w:eastAsia="宋体"/>
          <w:color w:val="000000"/>
          <w:sz w:val="24"/>
          <w:szCs w:val="24"/>
        </w:rPr>
      </w:r>
      <w:r>
        <w:rPr>
          <w:rFonts w:ascii="宋体" w:hAnsi="宋体" w:eastAsia="宋体"/>
          <w:color w:val="000000"/>
          <w:sz w:val="24"/>
          <w:szCs w:val="24"/>
        </w:rPr>
      </w:r>
    </w:p>
    <w:p w14:paraId="B5F4BC1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结论</w:t>
      </w:r>
      <w:r>
        <w:rPr>
          <w:rFonts w:ascii="宋体" w:hAnsi="宋体" w:eastAsia="宋体"/>
          <w:color w:val="000000"/>
          <w:sz w:val="24"/>
          <w:szCs w:val="24"/>
        </w:rPr>
        <w:tab/>
      </w:r>
      <w:r>
        <w:rPr>
          <w:rFonts w:ascii="宋体" w:hAnsi="宋体" w:eastAsia="宋体"/>
          <w:color w:val="000000"/>
          <w:sz w:val="24"/>
          <w:szCs w:val="24"/>
        </w:rPr>
        <w:t xml:space="preserve">29</w:t>
      </w:r>
    </w:p>
    <w:p w14:paraId="DC19A190">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致谢</w:t>
      </w:r>
      <w:r>
        <w:rPr>
          <w:rFonts w:ascii="宋体" w:hAnsi="宋体" w:eastAsia="宋体"/>
          <w:color w:val="000000"/>
          <w:sz w:val="24"/>
          <w:szCs w:val="24"/>
        </w:rPr>
        <w:tab/>
      </w:r>
      <w:r>
        <w:rPr>
          <w:rFonts w:ascii="宋体" w:hAnsi="宋体" w:eastAsia="宋体"/>
          <w:color w:val="000000"/>
          <w:sz w:val="24"/>
          <w:szCs w:val="24"/>
        </w:rPr>
        <w:t xml:space="preserve">30</w:t>
      </w:r>
    </w:p>
    <w:p w14:paraId="3D693C3E">
      <w:pPr>
        <w:tabs>
          <w:tab w:val="right" w:leader="dot" w:pos="8302"/>
        </w:tabs>
        <w:spacing w:line="560" w:lineRule="exact"/>
        <w:rPr>
          <w:rFonts w:hint="eastAsia" w:ascii="宋体" w:hAnsi="宋体"/>
          <w:color w:val="000000"/>
          <w:sz w:val="24"/>
        </w:rPr>
        <w:sectPr>
          <w:pgSz w:w="11906" w:h="16838"/>
          <w:pgMar w:top="1440" w:right="1800" w:bottom="1440" w:left="1800" w:header="851" w:footer="992" w:gutter="0"/>
          <w:cols w:space="720" w:num="1"/>
          <w:docGrid w:type="lines" w:linePitch="312" w:charSpace="0"/>
        </w:sectPr>
      </w:pPr>
      <w:r>
        <w:rPr>
          <w:rFonts w:ascii="宋体" w:hAnsi="宋体" w:eastAsia="宋体"/>
          <w:color w:val="000000"/>
          <w:sz w:val="24"/>
          <w:szCs w:val="24"/>
        </w:rPr>
        <w:t xml:space="preserve">参考文献</w:t>
      </w:r>
      <w:r>
        <w:rPr>
          <w:rFonts w:ascii="宋体" w:hAnsi="宋体" w:eastAsia="宋体"/>
          <w:color w:val="000000"/>
          <w:sz w:val="24"/>
          <w:szCs w:val="24"/>
        </w:rPr>
        <w:tab/>
      </w:r>
      <w:r>
        <w:rPr>
          <w:rFonts w:ascii="宋体" w:hAnsi="宋体" w:eastAsia="宋体"/>
          <w:color w:val="000000"/>
          <w:sz w:val="24"/>
          <w:szCs w:val="24"/>
        </w:rPr>
        <w:t xml:space="preserve">29</w:t>
      </w:r>
    </w:p>
    <w:p w14:paraId="06332709">
      <w:pPr>
        <w:spacing w:line="360" w:lineRule="auto"/>
        <w:ind w:left="-900" w:right="-874" w:rightChars="-416" w:firstLine="480" w:firstLineChars="200"/>
        <w:jc w:val="left"/>
        <w:rPr>
          <w:rFonts w:hint="eastAsia" w:ascii="宋体" w:hAnsi="宋体"/>
          <w:sz w:val="24"/>
        </w:rPr>
      </w:pPr>
    </w:p>
    <w:p w14:paraId="6EFA2BC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1  绪论</w:t>
      </w:r>
    </w:p>
    <w:p w14:paraId="22EF3A5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1．1  研究背景</w:t>
      </w:r>
    </w:p>
    <w:p w14:paraId="5377FDA7">
      <w:pPr>
        <w:spacing w:line="360" w:lineRule="auto"/>
        <w:ind w:firstLine="480"/>
        <w:rPr>
          <w:rFonts w:hint="eastAsia"/>
          <w:color w:val="000000"/>
          <w:sz w:val="24"/>
        </w:rPr>
      </w:pPr>
      <w:r>
        <w:rPr>
          <w:rFonts w:hint="eastAsia" w:eastAsia="宋体" w:ascii="宋体" w:hAnsi="宋体"/>
          <w:color w:val="000000"/>
          <w:sz w:val="24"/>
          <w:szCs w:val="24"/>
        </w:rPr>
        <w:t xml:space="preserve">城市的现代化运行越来越依赖水、电、通信、热力、燃气、雨污水等各类市政管线，传统直埋敷设方式下，管线扩容、维修都要反复破路，对城市交通和居民生活的干扰长期存在。综合管廊把多种管线集中收容于一个地下结构空间，既便于管线集约化管理和远期扩容，也能从总体上降低反复开挖的隐性成本，被普遍认为是城市市政基础设施升级的重要方向</w:t>
      </w:r>
      <w:r>
        <w:rPr>
          <w:rFonts w:hint="eastAsia" w:eastAsia="宋体" w:ascii="宋体" w:hAnsi="宋体"/>
          <w:color w:val="000000"/>
          <w:sz w:val="24"/>
          <w:szCs w:val="24"/>
          <w:vertAlign w:val="superscript"/>
        </w:rPr>
        <w:t xml:space="preserve">[1]</w:t>
      </w:r>
      <w:r>
        <w:rPr>
          <w:rFonts w:hint="eastAsia" w:eastAsia="宋体" w:ascii="宋体" w:hAnsi="宋体"/>
          <w:color w:val="000000"/>
          <w:sz w:val="24"/>
          <w:szCs w:val="24"/>
        </w:rPr>
        <w:t xml:space="preserve">。</w:t>
      </w:r>
    </w:p>
    <w:p w14:paraId="6072FEA1">
      <w:pPr>
        <w:spacing w:line="360" w:lineRule="auto"/>
        <w:ind w:firstLine="480"/>
        <w:rPr>
          <w:rFonts w:hint="eastAsia"/>
          <w:color w:val="000000"/>
          <w:sz w:val="24"/>
        </w:rPr>
      </w:pPr>
      <w:r>
        <w:rPr>
          <w:rFonts w:hint="eastAsia" w:eastAsia="宋体" w:ascii="宋体" w:hAnsi="宋体"/>
          <w:color w:val="000000"/>
          <w:sz w:val="24"/>
          <w:szCs w:val="24"/>
        </w:rPr>
        <w:t xml:space="preserve">装配式建造方式近年来在国内房屋建筑领域推进较快，其优势在于把大量模板、混凝土浇筑、振捣等湿作业转移到工厂，能够减少现场用工、缓解扬尘噪声，并有助于提高构件的尺寸精度和一致性</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把这套思路搬到市政工程领域是自然的延伸，尤其适用于结构形式相对标准化、构件重复性高的综合管廊工程。国内一些城市已经在综合管廊中采用预制拼装方案，但能够在百公里体量级同时保持高合格率的大型工程案例并不多</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B8270328">
      <w:pPr>
        <w:spacing w:line="360" w:lineRule="auto"/>
        <w:ind w:firstLine="480"/>
        <w:rPr>
          <w:rFonts w:hint="eastAsia"/>
          <w:color w:val="000000"/>
          <w:sz w:val="24"/>
        </w:rPr>
      </w:pPr>
      <w:r>
        <w:rPr>
          <w:rFonts w:hint="eastAsia" w:eastAsia="宋体" w:ascii="宋体" w:hAnsi="宋体"/>
          <w:color w:val="000000"/>
          <w:sz w:val="24"/>
          <w:szCs w:val="24"/>
        </w:rPr>
        <w:t xml:space="preserve">2026年2月，中建二局承建的绵阳综合管廊项目主体结构全面完工。项目位于四川省绵阳市，管廊总长度约25.15 km，并配套建设27.14 km的市政道路和1座智能监控中心，是目前全国最大的装配式管廊工程</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。该项目在地质条件复杂、地下水位高、管线交叉、雨季持续时间长的情况下施工，最终实现预埋件安装合格率100%、结构质量零缺陷</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。这一案例为研究大型装配式综合管廊施工质量管理提供了难得的样本。</w:t>
      </w:r>
    </w:p>
    <w:p w14:paraId="852B52F8">
      <w:pPr>
        <w:spacing w:line="360" w:lineRule="auto"/>
        <w:ind w:firstLine="480"/>
        <w:rPr>
          <w:rFonts w:hint="eastAsia"/>
          <w:color w:val="000000"/>
          <w:sz w:val="24"/>
        </w:rPr>
      </w:pPr>
      <w:r>
        <w:rPr>
          <w:rFonts w:hint="eastAsia" w:eastAsia="宋体" w:ascii="宋体" w:hAnsi="宋体"/>
          <w:color w:val="000000"/>
          <w:sz w:val="24"/>
          <w:szCs w:val="24"/>
        </w:rPr>
        <w:t xml:space="preserve">装配式综合管廊虽然具备构件工厂化、节段拼装快速、防水构造可重复施工等优点，但同时也带来新的质量管理难题：预制节段在现场拼装中的定位精度、节段接缝的防水构造、灌浆套筒连接节点的密实度、多专业穿插施工的协调等都直接决定工程的最终质量</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。一旦上述环节管理不到位，轻则渗漏、重则影响结构安全与运营耐久性。本文即以绵阳综合管廊项目为研究对象，对装配式施工质量问题进行调查和成因分析，并提出可操作的优化对策。</w:t>
      </w:r>
    </w:p>
    <w:p w14:paraId="C2DAC2BE">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1．2  研究目的与意义</w:t>
      </w:r>
    </w:p>
    <w:p w14:paraId="C9370FC6">
      <w:pPr>
        <w:spacing w:line="360" w:lineRule="auto"/>
        <w:ind w:firstLine="480"/>
        <w:rPr>
          <w:rFonts w:hint="eastAsia"/>
          <w:color w:val="000000"/>
          <w:sz w:val="24"/>
        </w:rPr>
      </w:pPr>
      <w:r>
        <w:rPr>
          <w:rFonts w:hint="eastAsia" w:eastAsia="宋体" w:ascii="宋体" w:hAnsi="宋体"/>
          <w:color w:val="000000"/>
          <w:sz w:val="24"/>
          <w:szCs w:val="24"/>
        </w:rPr>
        <w:t>本研究的目的有三个层面。第一，对项目实际暴露出的施工质量问题作系统梳理，把零散的问题清单转化为可分类、可追溯的结构化分析。第二，从人、机、料、法、环五个维度对问题成因作归因分析，明确主导因素和次要因素。第三，在此基础上提出针对性的优化对策，使对策可落地、可考核，而不是停留在口号层面。</w:t>
      </w:r>
    </w:p>
    <w:p w14:paraId="1C6AF266">
      <w:pPr>
        <w:spacing w:line="360" w:lineRule="auto"/>
        <w:ind w:firstLine="480"/>
        <w:rPr>
          <w:rFonts w:hint="eastAsia"/>
          <w:color w:val="000000"/>
          <w:sz w:val="24"/>
        </w:rPr>
      </w:pPr>
      <w:r>
        <w:rPr>
          <w:rFonts w:hint="eastAsia" w:eastAsia="宋体" w:ascii="宋体" w:hAnsi="宋体"/>
          <w:color w:val="000000"/>
          <w:sz w:val="24"/>
          <w:szCs w:val="24"/>
        </w:rPr>
        <w:t>研究的意义在于：一是工程实践层面的参考价值，绵阳综合管廊作为大型装配式管廊的代表性案例，其质量管理的具体做法和教训对后续同类工程有直接借鉴价值；二是管理方法层面的推广价值，本文采用的"问题识别—成因分析—对策优化—效果验证"四步式质量管理方法对其他装配式市政工程同样适用；三是技术积累层面的意义，所提出的"BIM+三维扫描施工偏差动态修正工艺""预铺反粘+自愈合高分子防水卷材复合工艺"等措施的技术内涵和应用要点，可以丰富装配式管廊施工技术的实践积累。</w:t>
      </w:r>
    </w:p>
    <w:p w14:paraId="A5ECC32E">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1．3  国内外研究现状</w:t>
      </w:r>
    </w:p>
    <w:p w14:paraId="98218902">
      <w:pPr>
        <w:spacing w:line="360" w:lineRule="auto"/>
        <w:ind w:firstLine="480"/>
        <w:rPr>
          <w:rFonts w:hint="eastAsia"/>
          <w:color w:val="000000"/>
          <w:sz w:val="24"/>
        </w:rPr>
      </w:pPr>
      <w:r>
        <w:rPr>
          <w:rFonts w:hint="eastAsia" w:eastAsia="宋体" w:ascii="宋体" w:hAnsi="宋体"/>
          <w:color w:val="000000"/>
          <w:sz w:val="24"/>
          <w:szCs w:val="24"/>
        </w:rPr>
        <w:t xml:space="preserve">国外在综合管廊领域起步较早，欧洲、日本、新加坡等城市已经形成了较为成熟的规划、设计与管理体系。日本的共同沟建设强调抗震、防火、防渗等极端条件下的可靠性，欧洲则注重全生命周期内的可维护性。国内的研究在近十年加速推进，重点集中在规划布局、断面设计、施工技术、运营维护等几个方面</w:t>
      </w:r>
      <w:r>
        <w:rPr>
          <w:rFonts w:hint="eastAsia" w:eastAsia="宋体" w:ascii="宋体" w:hAnsi="宋体"/>
          <w:color w:val="000000"/>
          <w:sz w:val="24"/>
          <w:szCs w:val="24"/>
          <w:vertAlign w:val="superscript"/>
        </w:rPr>
        <w:t xml:space="preserve">[6]</w:t>
      </w:r>
      <w:r>
        <w:rPr>
          <w:rFonts w:hint="eastAsia" w:eastAsia="宋体" w:ascii="宋体" w:hAnsi="宋体"/>
          <w:color w:val="000000"/>
          <w:sz w:val="24"/>
          <w:szCs w:val="24"/>
        </w:rPr>
        <w:t xml:space="preserve">。在装配式综合管廊方面，国内已有一些工程案例，但相关研究多停留在工艺介绍层面，对质量管理体系的系统性研究仍较少。</w:t>
      </w:r>
    </w:p>
    <w:p w14:paraId="8193668C">
      <w:pPr>
        <w:spacing w:line="360" w:lineRule="auto"/>
        <w:ind w:firstLine="480"/>
        <w:rPr>
          <w:rFonts w:hint="eastAsia"/>
          <w:color w:val="000000"/>
          <w:sz w:val="24"/>
        </w:rPr>
      </w:pPr>
      <w:r>
        <w:rPr>
          <w:rFonts w:hint="eastAsia" w:eastAsia="宋体" w:ascii="宋体" w:hAnsi="宋体"/>
          <w:color w:val="000000"/>
          <w:sz w:val="24"/>
          <w:szCs w:val="24"/>
        </w:rPr>
        <w:t xml:space="preserve">在装配式施工质量管理方面，研究者从不同角度作了大量工作。有研究从工程实践的角度梳理了装配式综合管廊全机械化拼装施工技术，认为采用机械化拼装能够提高节段定位精度并替代大型起重机吊装，是一种有推广价值的新工艺</w:t>
      </w:r>
      <w:r>
        <w:rPr>
          <w:rFonts w:hint="eastAsia" w:eastAsia="宋体" w:ascii="宋体" w:hAnsi="宋体"/>
          <w:color w:val="000000"/>
          <w:sz w:val="24"/>
          <w:szCs w:val="24"/>
          <w:vertAlign w:val="superscript"/>
        </w:rPr>
        <w:t xml:space="preserve">[7]</w:t>
      </w:r>
      <w:r>
        <w:rPr>
          <w:rFonts w:hint="eastAsia" w:eastAsia="宋体" w:ascii="宋体" w:hAnsi="宋体"/>
          <w:color w:val="000000"/>
          <w:sz w:val="24"/>
          <w:szCs w:val="24"/>
        </w:rPr>
        <w:t xml:space="preserve">。也有研究从施工设备的角度综述了装配式综合管廊施工装备的发展现状，指出专用工装、吊具、运输台车和测量设备的配套是保障拼装质量的关键</w:t>
      </w:r>
      <w:r>
        <w:rPr>
          <w:rFonts w:hint="eastAsia" w:eastAsia="宋体" w:ascii="宋体" w:hAnsi="宋体"/>
          <w:color w:val="000000"/>
          <w:sz w:val="24"/>
          <w:szCs w:val="24"/>
          <w:vertAlign w:val="superscript"/>
        </w:rPr>
        <w:t xml:space="preserve">[8]</w:t>
      </w:r>
      <w:r>
        <w:rPr>
          <w:rFonts w:hint="eastAsia" w:eastAsia="宋体" w:ascii="宋体" w:hAnsi="宋体"/>
          <w:color w:val="000000"/>
          <w:sz w:val="24"/>
          <w:szCs w:val="24"/>
        </w:rPr>
        <w:t xml:space="preserve">。从整体上看，针对大型装配式综合管廊项目系统性梳理施工质量问题与优化对策的研究较少，本文的工作能够在一定程度上填补这一空白。</w:t>
      </w:r>
    </w:p>
    <w:p w14:paraId="7190687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1．4  研究内容与技术路线</w:t>
      </w:r>
    </w:p>
    <w:p w14:paraId="A36FDDCF">
      <w:pPr>
        <w:spacing w:line="360" w:lineRule="auto"/>
        <w:ind w:firstLine="480"/>
        <w:rPr>
          <w:rFonts w:hint="eastAsia"/>
          <w:color w:val="000000"/>
          <w:sz w:val="24"/>
        </w:rPr>
      </w:pPr>
      <w:r>
        <w:rPr>
          <w:rFonts w:hint="eastAsia" w:eastAsia="宋体" w:ascii="宋体" w:hAnsi="宋体"/>
          <w:color w:val="000000"/>
          <w:sz w:val="24"/>
          <w:szCs w:val="24"/>
        </w:rPr>
        <w:t>本文主要开展四部分工作。第一，介绍绵阳综合管廊项目的基本情况、工程重难点、装配式构件设计与拆分方案以及施工组织方式。第二，对施工过程中暴露出的质量问题进行系统识别，从人、机、料、法、环五个维度进行成因分析。第三，从组织管理、工艺技术和质量控制手段三个方面提出针对性优化对策。第四，对优化对策在项目中的实际应用效果作出评价。技术路线上，本文采用案例分析法和归因分析法，以项目公开报道的事实为依据，对质量问题进行分类整理与对策映射。</w:t>
      </w:r>
    </w:p>
    <w:p w14:paraId="EFF5728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2  相关理论基础</w:t>
      </w:r>
    </w:p>
    <w:p w14:paraId="01A8B356">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2．1  综合管廊工程概述</w:t>
      </w:r>
    </w:p>
    <w:p w14:paraId="E605717D">
      <w:pPr>
        <w:spacing w:line="360" w:lineRule="auto"/>
        <w:ind w:firstLine="480"/>
        <w:rPr>
          <w:rFonts w:hint="eastAsia"/>
          <w:color w:val="000000"/>
          <w:sz w:val="24"/>
        </w:rPr>
      </w:pPr>
      <w:r>
        <w:rPr>
          <w:rFonts w:hint="eastAsia" w:eastAsia="宋体" w:ascii="宋体" w:hAnsi="宋体"/>
          <w:color w:val="000000"/>
          <w:sz w:val="24"/>
          <w:szCs w:val="24"/>
        </w:rPr>
        <w:t xml:space="preserve">综合管廊是建于城市地下的隧道式市政基础设施，将电力、通信、给水、燃气、热力、雨污水等管线集中敷设于一个结构空间内，并配备监测、排水、通风等附属设施。《城市综合管廊工程技术规范》对综合管廊的规划、勘察、设计、施工、验收和维护作了系统规定，是国内综合管廊工程建设的基本技术依据</w:t>
      </w:r>
      <w:r>
        <w:rPr>
          <w:rFonts w:hint="eastAsia" w:eastAsia="宋体" w:ascii="宋体" w:hAnsi="宋体"/>
          <w:color w:val="000000"/>
          <w:sz w:val="24"/>
          <w:szCs w:val="24"/>
          <w:vertAlign w:val="superscript"/>
        </w:rPr>
        <w:t xml:space="preserve">[1]</w:t>
      </w:r>
      <w:r>
        <w:rPr>
          <w:rFonts w:hint="eastAsia" w:eastAsia="宋体" w:ascii="宋体" w:hAnsi="宋体"/>
          <w:color w:val="000000"/>
          <w:sz w:val="24"/>
          <w:szCs w:val="24"/>
        </w:rPr>
        <w:t xml:space="preserve">。规范明确，干线综合管廊宜设置在机动车道或道路中央的绿化带下，支线综合管廊宜设置在道路的非机动车道或人行道下，并应满足抗震、防火、防洪、防爆等要求。</w:t>
      </w:r>
    </w:p>
    <w:p w14:paraId="D4F0FA72">
      <w:pPr>
        <w:spacing w:line="360" w:lineRule="auto"/>
        <w:ind w:firstLine="480"/>
        <w:rPr>
          <w:rFonts w:hint="eastAsia"/>
          <w:color w:val="000000"/>
          <w:sz w:val="24"/>
        </w:rPr>
      </w:pPr>
      <w:r>
        <w:rPr>
          <w:rFonts w:hint="eastAsia" w:eastAsia="宋体" w:ascii="宋体" w:hAnsi="宋体"/>
          <w:color w:val="000000"/>
          <w:sz w:val="24"/>
          <w:szCs w:val="24"/>
        </w:rPr>
        <w:t>综合管廊的断面形式主要分为矩形和圆形两类，矩形断面因空间利用率高、施工方便、与各类管线接口相容性好而在市政工程中应用最广。矩形断面通常采用现浇或预制拼装两种施工方式：现浇方式适用于复杂断面和异形节点，预制拼装则适用于结构标准化程度高、构件重复性强的标准段。</w:t>
      </w:r>
    </w:p>
    <w:p w14:paraId="2C274609">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2.1.4  综合管廊的施工方法选择</w:t>
      </w:r>
    </w:p>
    <w:p w14:paraId="C985A6B3">
      <w:pPr>
        <w:spacing w:line="360" w:lineRule="auto"/>
        <w:ind w:firstLine="480"/>
        <w:rPr>
          <w:rFonts w:hint="eastAsia"/>
          <w:color w:val="000000"/>
          <w:sz w:val="24"/>
        </w:rPr>
      </w:pPr>
      <w:r>
        <w:rPr>
          <w:rFonts w:hint="eastAsia" w:eastAsia="宋体" w:ascii="宋体" w:hAnsi="宋体"/>
          <w:color w:val="000000"/>
          <w:sz w:val="24"/>
          <w:szCs w:val="24"/>
        </w:rPr>
        <w:t>综合管廊的施工方法主要有明挖现浇法、明挖预制拼装法、盾构法和顶管法等。明挖现浇法技术成熟、适应性强，适用于场地开阔、埋深较浅的区段，但现场湿作业量大、施工周期长、对城市交通和环境影响较大。明挖预制拼装法将结构在工厂预制后运至现场拼装，能够大幅减少现场作业量和施工周期，降低对周边环境的影响，适用于结构标准化程度高、施工长度大的区段。盾构法和顶管法属于非开挖施工方法，适用于穿越道路、河流或既有建（构）筑物等不具备明挖条件的区段，但工程造价相对较高。</w:t>
      </w:r>
    </w:p>
    <w:p w14:paraId="0EF932C1">
      <w:pPr>
        <w:spacing w:line="360" w:lineRule="auto"/>
        <w:ind w:firstLine="480"/>
        <w:rPr>
          <w:rFonts w:hint="eastAsia"/>
          <w:color w:val="000000"/>
          <w:sz w:val="24"/>
        </w:rPr>
      </w:pPr>
      <w:r>
        <w:rPr>
          <w:rFonts w:hint="eastAsia" w:eastAsia="宋体" w:ascii="宋体" w:hAnsi="宋体"/>
          <w:color w:val="000000"/>
          <w:sz w:val="24"/>
          <w:szCs w:val="24"/>
        </w:rPr>
        <w:t>在实际工程中，往往根据沿线不同的地质条件、环境要求和施工条件，分段采用不同的施工方法，形成组合式的施工方案。对于标准段且具备明挖条件的区段，优先采用预制拼装法以发挥其工期和环保优势；对于断面变化频繁、节点复杂的区段，则采用现浇法以保证适应性；对于穿越重要障碍物的区段，采用盾构法或顶管法。这种因地制宜的方法选择，是综合管廊工程建设的普遍做法。</w:t>
      </w:r>
    </w:p>
    <w:p w14:paraId="EA39DE47">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2．2  装配式施工技术</w:t>
      </w:r>
    </w:p>
    <w:p w14:paraId="82BE11EE">
      <w:pPr>
        <w:spacing w:line="360" w:lineRule="auto"/>
        <w:ind w:firstLine="480"/>
        <w:rPr>
          <w:rFonts w:hint="eastAsia"/>
          <w:color w:val="000000"/>
          <w:sz w:val="24"/>
        </w:rPr>
      </w:pPr>
      <w:r>
        <w:rPr>
          <w:rFonts w:hint="eastAsia" w:eastAsia="宋体" w:ascii="宋体" w:hAnsi="宋体"/>
          <w:color w:val="000000"/>
          <w:sz w:val="24"/>
          <w:szCs w:val="24"/>
        </w:rPr>
        <w:t>装配式施工的核心思想是把结构分解为可在工厂预制、在现场拼装的标准化构件，通过可靠的连接构造实现整体结构性能。装配式综合管廊一般采用"分片预制+现场拼装"的方式：每一节管廊被分解为若干片预制构件，构件在工厂浇筑成型并完成部分防水处理，运至现场后通过精确定位吊装、节段接缝处理和连接节点施工，完成整段管廊的拼装。</w:t>
      </w:r>
    </w:p>
    <w:p w14:paraId="346E1751">
      <w:pPr>
        <w:spacing w:line="360" w:lineRule="auto"/>
        <w:ind w:firstLine="480"/>
        <w:rPr>
          <w:rFonts w:hint="eastAsia"/>
          <w:color w:val="000000"/>
          <w:sz w:val="24"/>
        </w:rPr>
      </w:pPr>
      <w:r>
        <w:rPr>
          <w:rFonts w:hint="eastAsia" w:eastAsia="宋体" w:ascii="宋体" w:hAnsi="宋体"/>
          <w:color w:val="000000"/>
          <w:sz w:val="24"/>
          <w:szCs w:val="24"/>
        </w:rPr>
        <w:t xml:space="preserve">装配式综合管廊的构件拆分应当满足三个基本要求：一是构件规格统一，便于工厂批量化生产和运输；二是单片构件重量与吊装设备能力匹配，便于现场作业；三是节段接缝位置避开结构受力最大部位，并保证接缝构造可施工、防水可靠。绵阳综合管廊项目采用6 m标准模数的构件拆分方案，6 m一节的节段长度既满足工厂生产能力，又便于现场运输和吊装</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w:t>
      </w:r>
    </w:p>
    <w:p w14:paraId="66F4E0C7">
      <w:pPr>
        <w:spacing w:line="360" w:lineRule="auto"/>
        <w:ind w:firstLine="480"/>
        <w:rPr>
          <w:rFonts w:hint="eastAsia"/>
          <w:color w:val="000000"/>
          <w:sz w:val="24"/>
        </w:rPr>
      </w:pPr>
      <w:r>
        <w:rPr>
          <w:rFonts w:hint="eastAsia" w:eastAsia="宋体" w:ascii="宋体" w:hAnsi="宋体"/>
          <w:color w:val="000000"/>
          <w:sz w:val="24"/>
          <w:szCs w:val="24"/>
        </w:rPr>
        <w:t>装配式施工对现场组织的要求较高。节段从进场到就位涉及卸车、二次转运、就位、初步定位、精确调整、临时固定、节段连接等多个工序，每一个工序都依赖前一工序的成果。多专业穿插施工时，预制拼装往往与机电安装、监控布线和廊道附属设施同步推进，对进度和质量管理都是考验。</w:t>
      </w:r>
    </w:p>
    <w:p w14:paraId="0B6E4C6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2．3  施工质量管理理论</w:t>
      </w:r>
    </w:p>
    <w:p w14:paraId="F3ABC19F">
      <w:pPr>
        <w:spacing w:line="360" w:lineRule="auto"/>
        <w:ind w:firstLine="480"/>
        <w:rPr>
          <w:rFonts w:hint="eastAsia"/>
          <w:color w:val="000000"/>
          <w:sz w:val="24"/>
        </w:rPr>
      </w:pPr>
      <w:r>
        <w:rPr>
          <w:rFonts w:hint="eastAsia" w:eastAsia="宋体" w:ascii="宋体" w:hAnsi="宋体"/>
          <w:color w:val="000000"/>
          <w:sz w:val="24"/>
          <w:szCs w:val="24"/>
        </w:rPr>
        <w:t>施工质量管理是工程项目管理的重要组成部分，其核心是把质量目标和质量控制要求贯穿到施工组织、人员管理、材料管理、工艺执行和检查验收的全过程。常用的质量管理方法包括PDCA循环、质量管理的"人、机、料、法、环"五要素分析法、质量控制点的设置与检查、质量追溯制度的建立与执行等。</w:t>
      </w:r>
    </w:p>
    <w:p w14:paraId="5CB2E92D">
      <w:pPr>
        <w:spacing w:line="360" w:lineRule="auto"/>
        <w:ind w:firstLine="480"/>
        <w:rPr>
          <w:rFonts w:hint="eastAsia"/>
          <w:color w:val="000000"/>
          <w:sz w:val="24"/>
        </w:rPr>
      </w:pPr>
      <w:r>
        <w:rPr>
          <w:rFonts w:hint="eastAsia" w:eastAsia="宋体" w:ascii="宋体" w:hAnsi="宋体"/>
          <w:color w:val="000000"/>
          <w:sz w:val="24"/>
          <w:szCs w:val="24"/>
        </w:rPr>
        <w:t>对装配式市政工程而言，施工质量管理的重点与传统现浇工程有所不同。传统现浇工程的质量控制重点是模板、钢筋、混凝土浇筑和养护等工序过程；装配式工程的质量控制重点则前移到构件的生产和出厂验收环节，并把现场拼装精度、节点连接质量和节段接缝构造作为关键控制点。这种前置控制与过程控制相结合的质量管理思路，是装配式施工质量管理的基本特征。</w:t>
      </w:r>
    </w:p>
    <w:p w14:paraId="02DD2679">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2.3.4  市政工程施工质量验收的基本程序</w:t>
      </w:r>
    </w:p>
    <w:p w14:paraId="4CEBDE82">
      <w:pPr>
        <w:spacing w:line="360" w:lineRule="auto"/>
        <w:ind w:firstLine="480"/>
        <w:rPr>
          <w:rFonts w:hint="eastAsia"/>
          <w:color w:val="000000"/>
          <w:sz w:val="24"/>
        </w:rPr>
      </w:pPr>
      <w:r>
        <w:rPr>
          <w:rFonts w:hint="eastAsia" w:eastAsia="宋体" w:ascii="宋体" w:hAnsi="宋体"/>
          <w:color w:val="000000"/>
          <w:sz w:val="24"/>
          <w:szCs w:val="24"/>
        </w:rPr>
        <w:t>市政工程的施工质量验收通常按照检验批、分项工程、分部工程和单位工程四个层次逐级进行。检验批是施工过程中质量验收的最小单位，按施工段、变形缝或工程量划分；分项工程由若干个检验批组成，按工种、材料或施工工艺划分；分部工程由若干个分项工程组成，按专业性质或工程部位划分；单位工程则是具备独立施工条件并能形成独立使用功能的工程整体。</w:t>
      </w:r>
    </w:p>
    <w:p w14:paraId="93CA2EBC">
      <w:pPr>
        <w:spacing w:line="360" w:lineRule="auto"/>
        <w:ind w:firstLine="480"/>
        <w:rPr>
          <w:rFonts w:hint="eastAsia"/>
          <w:color w:val="000000"/>
          <w:sz w:val="24"/>
        </w:rPr>
      </w:pPr>
      <w:r>
        <w:rPr>
          <w:rFonts w:hint="eastAsia" w:eastAsia="宋体" w:ascii="宋体" w:hAnsi="宋体"/>
          <w:color w:val="000000"/>
          <w:sz w:val="24"/>
          <w:szCs w:val="24"/>
        </w:rPr>
        <w:t>装配式综合管廊工程的验收除遵循一般市政工程的验收程序外，还需针对预制构件的特点增加相应的验收内容，包括预制构件出厂检验、构件进场验收、拼装精度验收、节点连接验收和防水性能验收等。其中，预制构件出厂检验由构件厂在厂内完成并提供检验报告；构件进场验收由施工单位和监理单位共同进行，重点检查构件的外观质量、尺寸偏差和预埋件位置；拼装精度和节点连接验收则在现场完成，是装配式结构验收的关键环节。</w:t>
      </w:r>
    </w:p>
    <w:p w14:paraId="A744458F">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2．4  相关标准与规范</w:t>
      </w:r>
    </w:p>
    <w:p w14:paraId="2688D6E2">
      <w:pPr>
        <w:spacing w:line="360" w:lineRule="auto"/>
        <w:ind w:firstLine="480"/>
        <w:rPr>
          <w:rFonts w:hint="eastAsia"/>
          <w:color w:val="000000"/>
          <w:sz w:val="24"/>
        </w:rPr>
      </w:pPr>
      <w:r>
        <w:rPr>
          <w:rFonts w:hint="eastAsia" w:eastAsia="宋体" w:ascii="宋体" w:hAnsi="宋体"/>
          <w:color w:val="000000"/>
          <w:sz w:val="24"/>
          <w:szCs w:val="24"/>
        </w:rPr>
        <w:t xml:space="preserve">装配式综合管廊施工涉及多本现行国标和行标。《城市综合管廊工程技术规范》是管廊工程的总体技术依据</w:t>
      </w:r>
      <w:r>
        <w:rPr>
          <w:rFonts w:hint="eastAsia" w:eastAsia="宋体" w:ascii="宋体" w:hAnsi="宋体"/>
          <w:color w:val="000000"/>
          <w:sz w:val="24"/>
          <w:szCs w:val="24"/>
          <w:vertAlign w:val="superscript"/>
        </w:rPr>
        <w:t xml:space="preserve">[1]</w:t>
      </w:r>
      <w:r>
        <w:rPr>
          <w:rFonts w:hint="eastAsia" w:eastAsia="宋体" w:ascii="宋体" w:hAnsi="宋体"/>
          <w:color w:val="000000"/>
          <w:sz w:val="24"/>
          <w:szCs w:val="24"/>
        </w:rPr>
        <w:t xml:space="preserve">。《混凝土结构工程施工质量验收规范》是混凝土结构工程质量验收的基本准则，对预制构件的进场检验和结构实体质量作出了规定</w:t>
      </w:r>
      <w:r>
        <w:rPr>
          <w:rFonts w:hint="eastAsia" w:eastAsia="宋体" w:ascii="宋体" w:hAnsi="宋体"/>
          <w:color w:val="000000"/>
          <w:sz w:val="24"/>
          <w:szCs w:val="24"/>
          <w:vertAlign w:val="superscript"/>
        </w:rPr>
        <w:t xml:space="preserve">[9]</w:t>
      </w:r>
      <w:r>
        <w:rPr>
          <w:rFonts w:hint="eastAsia" w:eastAsia="宋体" w:ascii="宋体" w:hAnsi="宋体"/>
          <w:color w:val="000000"/>
          <w:sz w:val="24"/>
          <w:szCs w:val="24"/>
        </w:rPr>
        <w:t xml:space="preserve">。《装配式混凝土建筑技术标准》对装配式混凝土结构的设计、生产、施工和验收作了系统规定</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。《装配式混凝土结构技术规程》从结构专业角度对装配式混凝土结构的设计和施工提出了具体要求</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。在工程实践中，应当根据工程实际选用合适的标准并严格执行。</w:t>
      </w:r>
      <w:r>
        <w:rPr>
          <w:rFonts w:hint="eastAsia" w:eastAsia="宋体" w:ascii="宋体" w:hAnsi="宋体"/>
          <w:color w:val="000000"/>
          <w:sz w:val="24"/>
          <w:szCs w:val="24"/>
        </w:rPr>
        <w:t xml:space="preserve">《装配式建筑评价标准》对装配率的计算方法和评价等级作出了规定</w:t>
      </w:r>
      <w:r>
        <w:rPr>
          <w:rFonts w:hint="eastAsia" w:eastAsia="宋体" w:ascii="宋体" w:hAnsi="宋体"/>
          <w:color w:val="000000"/>
          <w:sz w:val="24"/>
          <w:szCs w:val="24"/>
          <w:vertAlign w:val="superscript"/>
        </w:rPr>
        <w:t xml:space="preserve">[10]</w:t>
      </w:r>
    </w:p>
    <w:p w14:paraId="98B8EF5B">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3  绵阳综合管廊项目概况</w:t>
      </w:r>
    </w:p>
    <w:p w14:paraId="43FBD3A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3．1  项目基本情况</w:t>
      </w:r>
    </w:p>
    <w:p w14:paraId="D2AD2528">
      <w:pPr>
        <w:spacing w:line="360" w:lineRule="auto"/>
        <w:ind w:firstLine="480"/>
        <w:rPr>
          <w:rFonts w:hint="eastAsia"/>
          <w:color w:val="000000"/>
          <w:sz w:val="24"/>
        </w:rPr>
      </w:pPr>
      <w:r>
        <w:rPr>
          <w:rFonts w:hint="eastAsia" w:eastAsia="宋体" w:ascii="宋体" w:hAnsi="宋体"/>
          <w:color w:val="000000"/>
          <w:sz w:val="24"/>
          <w:szCs w:val="24"/>
        </w:rPr>
        <w:t xml:space="preserve">绵阳综合管廊项目位于四川省绵阳市，由中建二局牵头投资建设，是目前全国最大的装配式管廊工程。项目管廊总长度约25.15 km，并配套建设27.14 km的市政道路以及1座智能监控中心</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。项目建成后，将成为绵阳市地下综合服务的核心枢纽，填补该区域规模化地下管廊系统建设的空白。</w:t>
      </w:r>
    </w:p>
    <w:p w14:paraId="5F978A3B">
      <w:pPr>
        <w:spacing w:line="360" w:lineRule="auto"/>
        <w:ind w:firstLine="480"/>
        <w:rPr>
          <w:rFonts w:hint="eastAsia"/>
          <w:color w:val="000000"/>
          <w:sz w:val="24"/>
        </w:rPr>
      </w:pPr>
      <w:r>
        <w:rPr>
          <w:rFonts w:hint="eastAsia" w:eastAsia="宋体" w:ascii="宋体" w:hAnsi="宋体"/>
          <w:color w:val="000000"/>
          <w:sz w:val="24"/>
          <w:szCs w:val="24"/>
        </w:rPr>
        <w:t xml:space="preserve">项目施工覆盖绵阳市多个区段，沿线穿越多种地质条件和复杂的城市建成环境。根据公开报道，项目施工初期面临基坑深度大、地下水位高、管线交叉复杂、局部地质条件破碎、雨季持续时间长、多专业交叉施工协调难度大等严峻挑战</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。这种复杂的施工条件对预制构件的现场拼装精度、节点连接质量和防水构造提出了非常高的要求。</w:t>
      </w:r>
    </w:p>
    <w:p w14:paraId="91734751">
      <w:pPr>
        <w:spacing w:line="360" w:lineRule="auto"/>
        <w:ind w:firstLine="480"/>
        <w:rPr>
          <w:rFonts w:hint="eastAsia"/>
          <w:color w:val="000000"/>
          <w:sz w:val="24"/>
        </w:rPr>
      </w:pPr>
      <w:r>
        <w:rPr>
          <w:rFonts w:hint="eastAsia" w:eastAsia="宋体" w:ascii="宋体" w:hAnsi="宋体"/>
          <w:color w:val="000000"/>
          <w:sz w:val="24"/>
          <w:szCs w:val="24"/>
        </w:rPr>
        <w:t xml:space="preserve">2021年6月，项目现场成立了绵阳市首支由央企组建的市政公共应急救援队，并开展了安全观摩与应急演练活动。2026年2月，项目主体结构全面完工</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。从开工到主体完工，项目在复杂的施工条件下始终保持较高的施工质量水平，最终实现预埋件安装合格率100%、结构质量零缺陷的目标。</w:t>
      </w:r>
    </w:p>
    <w:p w14:paraId="BB89A5A6">
      <w:pPr>
        <w:keepNext/>
        <w:keepLines/>
        <w:spacing w:line="360" w:lineRule="auto"/>
        <w:rPr>
          <w:rFonts w:hint="eastAsia" w:eastAsia="黑体"/>
          <w:color w:val="000000"/>
          <w:sz w:val="24"/>
        </w:rPr>
      </w:pPr>
      <w:r>
        <w:rPr>
          <w:rFonts w:hint="eastAsia" w:eastAsia="黑体" w:ascii="黑体" w:hAnsi="黑体"/>
          <w:color w:val="000000"/>
          <w:sz w:val="24"/>
          <w:szCs w:val="24"/>
        </w:rPr>
        <w:t xml:space="preserve">3.1.4  管廊断面形式与空间布置</w:t>
      </w:r>
    </w:p>
    <w:p w14:paraId="EBE728FB">
      <w:pPr>
        <w:spacing w:line="360" w:lineRule="auto"/>
        <w:ind w:firstLine="480"/>
        <w:rPr>
          <w:rFonts w:hint="eastAsia"/>
          <w:color w:val="000000"/>
          <w:sz w:val="24"/>
        </w:rPr>
      </w:pPr>
      <w:r>
        <w:rPr>
          <w:rFonts w:hint="eastAsia" w:eastAsia="宋体" w:ascii="宋体" w:hAnsi="宋体"/>
          <w:color w:val="000000"/>
          <w:sz w:val="24"/>
          <w:szCs w:val="24"/>
        </w:rPr>
        <w:t>综合管廊的断面形式主要分为矩形断面和圆形断面两类。矩形断面空间利用率高，便于管线的分层布置和后期检修，是市政综合管廊中最常用的断面形式；圆形断面受力性能好，适用于盾构法等非开挖施工，但空间利用率相对较低。断面尺寸需根据纳入管线的种类、数量、管径以及检修通道的要求综合确定，并预留一定的远期扩容空间。</w:t>
      </w:r>
    </w:p>
    <w:p w14:paraId="0996B2FF">
      <w:pPr>
        <w:spacing w:line="360" w:lineRule="auto"/>
        <w:ind w:firstLine="480"/>
        <w:rPr>
          <w:rFonts w:hint="eastAsia"/>
          <w:color w:val="000000"/>
          <w:sz w:val="24"/>
        </w:rPr>
      </w:pPr>
      <w:r>
        <w:rPr>
          <w:rFonts w:hint="eastAsia" w:eastAsia="宋体" w:ascii="宋体" w:hAnsi="宋体"/>
          <w:color w:val="000000"/>
          <w:sz w:val="24"/>
          <w:szCs w:val="24"/>
        </w:rPr>
        <w:t>管廊内部的空间布置通常遵循以下原则：一是管线按性质分区布置，如将电力电缆与通信电缆布置在一侧，给水管道和热力管道布置在另一侧，避免相互干扰；二是重力流管道（如污水管）宜布置在管廊底部，并注意与其他管线的竖向关系；三是燃气管道应独立成舱，与其他管线隔开，以满足安全要求；四是检修通道的宽度应满足人员通行和小型设备运输的需要。此外，管廊内还需设置通风、照明、排水、消防和监控等附属设施，这些设施的布置也应在断面设计中统筹考虑。</w:t>
      </w:r>
    </w:p>
    <w:p w14:paraId="463A97B6">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3．2  工程重难点</w:t>
      </w:r>
    </w:p>
    <w:p w14:paraId="E30281D8">
      <w:pPr>
        <w:spacing w:line="360" w:lineRule="auto"/>
        <w:ind w:firstLine="480"/>
        <w:rPr>
          <w:rFonts w:hint="eastAsia"/>
          <w:color w:val="000000"/>
          <w:sz w:val="24"/>
        </w:rPr>
      </w:pPr>
      <w:r>
        <w:rPr>
          <w:rFonts w:hint="eastAsia" w:eastAsia="宋体" w:ascii="宋体" w:hAnsi="宋体"/>
          <w:color w:val="000000"/>
          <w:sz w:val="24"/>
          <w:szCs w:val="24"/>
        </w:rPr>
        <w:t>项目的工程重难点可以概括为四个方面。第一，地质与水文条件复杂。项目穿越多种地层，部分区段地下水位高，局部基坑深度大，给基础施工和节段拼装都带来挑战。第三，雨季持续时间长。四川绵阳地区雨季较长，对现场焊接、灌浆、防水等工序的连续施工构成威胁。第三，多专业穿插施工复杂。综合管廊需要容纳电力、通信、给水、燃气、热力、雨污水等多类管线，主体结构施工与机电安装、附属设施施工交叉推进，协调难度大。第四，预制构件体量大、运输距离长。项目预制构件工厂通常不在现场，运输距离较长，对构件的保护和到场检验提出更高要求。</w:t>
      </w:r>
    </w:p>
    <w:p w14:paraId="1CAAD62D">
      <w:pPr>
        <w:spacing w:line="360" w:lineRule="auto"/>
        <w:ind w:firstLine="480"/>
        <w:rPr>
          <w:rFonts w:hint="eastAsia"/>
          <w:color w:val="000000"/>
          <w:sz w:val="24"/>
        </w:rPr>
      </w:pPr>
      <w:r>
        <w:rPr>
          <w:rFonts w:hint="eastAsia" w:eastAsia="宋体" w:ascii="宋体" w:hAnsi="宋体"/>
          <w:color w:val="000000"/>
          <w:sz w:val="24"/>
          <w:szCs w:val="24"/>
        </w:rPr>
        <w:t>这些重难点决定了项目不能简单套用一般现浇管廊的施工组织模式，而必须针对预制拼装的特点设计专门的工艺方案和质量控制体系。</w:t>
      </w:r>
    </w:p>
    <w:p w14:paraId="9E04811B">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3．3  装配式构件设计与拆分方案</w:t>
      </w:r>
    </w:p>
    <w:p w14:paraId="67043C7D">
      <w:pPr>
        <w:spacing w:line="360" w:lineRule="auto"/>
        <w:ind w:firstLine="480"/>
        <w:rPr>
          <w:rFonts w:hint="eastAsia"/>
          <w:color w:val="000000"/>
          <w:sz w:val="24"/>
        </w:rPr>
      </w:pPr>
      <w:r>
        <w:rPr>
          <w:rFonts w:hint="eastAsia" w:eastAsia="宋体" w:ascii="宋体" w:hAnsi="宋体"/>
          <w:color w:val="000000"/>
          <w:sz w:val="24"/>
          <w:szCs w:val="24"/>
        </w:rPr>
        <w:t>项目采用"全分片预制装配式结构"，即每一标准节段被分解为若干片预制构件，构件在工厂集中浇筑成型后运至现场拼装。这一方案的优点是构件规格统一、重复性强，便于工厂批量化生产，也有利于缩短现场施工周期。</w:t>
      </w:r>
    </w:p>
    <w:p w14:paraId="4E8A559E">
      <w:pPr>
        <w:spacing w:line="360" w:lineRule="auto"/>
        <w:ind w:firstLine="480"/>
        <w:rPr>
          <w:rFonts w:hint="eastAsia"/>
          <w:color w:val="000000"/>
          <w:sz w:val="24"/>
        </w:rPr>
      </w:pPr>
      <w:r>
        <w:rPr>
          <w:rFonts w:hint="eastAsia" w:eastAsia="宋体" w:ascii="宋体" w:hAnsi="宋体"/>
          <w:color w:val="000000"/>
          <w:sz w:val="24"/>
          <w:szCs w:val="24"/>
        </w:rPr>
        <w:t xml:space="preserve">在构件拆分方面，项目采用6 m标准模数的设计思路，6 m一节的节段长度是综合考虑工厂生产能力、运输车辆规格、现场吊装设备能力以及接缝防水可靠性等多方面因素的结果</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。模数统一带来的好处是构件可以流水线生产，模具重复利用率高，构件之间的互换性强，对施工组织和质量追溯都是利好。</w:t>
      </w:r>
    </w:p>
    <w:p w14:paraId="A9796E41">
      <w:pPr>
        <w:spacing w:line="360" w:lineRule="auto"/>
        <w:ind w:firstLine="480"/>
        <w:rPr>
          <w:rFonts w:hint="eastAsia"/>
          <w:color w:val="000000"/>
          <w:sz w:val="24"/>
        </w:rPr>
      </w:pPr>
      <w:r>
        <w:rPr>
          <w:rFonts w:hint="eastAsia" w:eastAsia="宋体" w:ascii="宋体" w:hAnsi="宋体"/>
          <w:color w:val="000000"/>
          <w:sz w:val="24"/>
          <w:szCs w:val="24"/>
        </w:rPr>
        <w:t xml:space="preserve">在构件防水构造方面，项目作为国内较早大规模采用新型防水材料的综合管廊之一，采用了预铺反粘与自愈合高分子防水卷材复合工艺。这一工艺的特点是防水卷材与后浇混凝土形成可靠的粘结面，能够在节段接缝位置形成连续的防水层，减少传统防水做法中卷材与基层粘结不良的常见问题</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。该工艺的应用为大型装配式管廊的防水质量提供了新的解决方案。</w:t>
      </w:r>
    </w:p>
    <w:p w14:paraId="F49BA78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3．4  施工组织与质量管理体系</w:t>
      </w:r>
    </w:p>
    <w:p w14:paraId="1722E93B">
      <w:pPr>
        <w:spacing w:line="360" w:lineRule="auto"/>
        <w:ind w:firstLine="480"/>
        <w:rPr>
          <w:rFonts w:hint="eastAsia"/>
          <w:color w:val="000000"/>
          <w:sz w:val="24"/>
        </w:rPr>
      </w:pPr>
      <w:r>
        <w:rPr>
          <w:rFonts w:hint="eastAsia" w:eastAsia="宋体" w:ascii="宋体" w:hAnsi="宋体"/>
          <w:color w:val="000000"/>
          <w:sz w:val="24"/>
          <w:szCs w:val="24"/>
        </w:rPr>
        <w:t>项目采用"工厂标准化预制+现场精准吊装"模式，从源头上把构件质量交给工厂，把现场工作集中到吊装、拼装和节点处理上。这一模式的优势在于减少了现场堆场限制对施工的影响，也使现场工序更加精简。</w:t>
      </w:r>
    </w:p>
    <w:p w14:paraId="D639884C">
      <w:pPr>
        <w:spacing w:line="360" w:lineRule="auto"/>
        <w:ind w:firstLine="480"/>
        <w:rPr>
          <w:rFonts w:hint="eastAsia"/>
          <w:color w:val="000000"/>
          <w:sz w:val="24"/>
        </w:rPr>
      </w:pPr>
      <w:r>
        <w:rPr>
          <w:rFonts w:hint="eastAsia" w:eastAsia="宋体" w:ascii="宋体" w:hAnsi="宋体"/>
          <w:color w:val="000000"/>
          <w:sz w:val="24"/>
          <w:szCs w:val="24"/>
        </w:rPr>
        <w:t xml:space="preserve">现场组织方面，项目创新采用了"流水作业+跳舱施工"的组织方式。流水作业使每一节段的施工工序从进场到就位保持稳定节拍，有利于质量控制的稳定性和工序衔接的顺畅性；跳舱施工则用于规避相邻节段施工的相互干扰，特别适合多专业穿插施工的场景</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。两种方式结合使用，使现场施工进度与质量管理都得到保障。</w:t>
      </w:r>
    </w:p>
    <w:p w14:paraId="A8D1C6CD">
      <w:pPr>
        <w:spacing w:line="360" w:lineRule="auto"/>
        <w:ind w:firstLine="480"/>
        <w:rPr>
          <w:rFonts w:hint="eastAsia"/>
          <w:color w:val="000000"/>
          <w:sz w:val="24"/>
        </w:rPr>
      </w:pPr>
      <w:r>
        <w:rPr>
          <w:rFonts w:hint="eastAsia" w:eastAsia="宋体" w:ascii="宋体" w:hAnsi="宋体"/>
          <w:color w:val="000000"/>
          <w:sz w:val="24"/>
          <w:szCs w:val="24"/>
        </w:rPr>
        <w:t xml:space="preserve">质量管控方面，项目深度融合BIM技术构建全流程的数据模型，对管廊主体结构、机电安装、管线布局等环节实施数字化精细管控。BIM模型的应用场景包括节段预制前的碰撞检查、节段吊装过程中的实时定位、节段拼装后的偏差校核以及机电管线的综合排布等</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。同时，项目还研发了"BIM+三维扫描施工偏差动态修正工艺"，通过三维扫描对节段安装偏差进行实时测量并动态修正，确保拼装精度满足设计要求。</w:t>
      </w:r>
      <w:r>
        <w:rPr>
          <w:rFonts w:hint="eastAsia" w:eastAsia="宋体" w:ascii="宋体" w:hAnsi="宋体"/>
          <w:color w:val="000000"/>
          <w:sz w:val="24"/>
          <w:szCs w:val="24"/>
        </w:rPr>
        <w:t xml:space="preserve">《建筑信息模型应用统一标准》则为BIM在工程中的统一应用框架提供了依据</w:t>
      </w:r>
      <w:r>
        <w:rPr>
          <w:rFonts w:hint="eastAsia" w:eastAsia="宋体" w:ascii="宋体" w:hAnsi="宋体"/>
          <w:color w:val="000000"/>
          <w:sz w:val="24"/>
          <w:szCs w:val="24"/>
          <w:vertAlign w:val="superscript"/>
        </w:rPr>
        <w:t xml:space="preserve">[11]</w:t>
      </w:r>
    </w:p>
    <w:p w14:paraId="6E4EC564">
      <w:pPr>
        <w:spacing w:line="360" w:lineRule="auto"/>
        <w:ind w:firstLine="480"/>
        <w:rPr>
          <w:rFonts w:hint="eastAsia"/>
          <w:color w:val="000000"/>
          <w:sz w:val="24"/>
        </w:rPr>
      </w:pPr>
      <w:r>
        <w:rPr>
          <w:rFonts w:hint="eastAsia" w:eastAsia="宋体" w:ascii="宋体" w:hAnsi="宋体"/>
          <w:color w:val="000000"/>
          <w:sz w:val="24"/>
          <w:szCs w:val="24"/>
        </w:rPr>
        <w:t>图3–1给出了装配式综合管廊施工质量控制的主要环节。</w:t>
      </w:r>
    </w:p>
    <w:p w14:paraId="96BEEDAF">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3348991"/>
            <wp:docPr id="1" name="Picture 1"/>
            <wp:cNvGraphicFramePr>
              <a:graphicFrameLocks noChangeAspect="1"/>
            </wp:cNvGraphicFramePr>
            <a:graphic>
              <a:graphicData uri="http://schemas.openxmlformats.org/drawingml/2006/picture">
                <pic:pic>
                  <pic:nvPicPr>
                    <pic:cNvPr id="0" name="fig3_1.png"/>
                    <pic:cNvPicPr/>
                  </pic:nvPicPr>
                  <pic:blipFill>
                    <a:blip r:embed="rId9"/>
                    <a:stretch>
                      <a:fillRect/>
                    </a:stretch>
                  </pic:blipFill>
                  <pic:spPr>
                    <a:xfrm>
                      <a:off x="0" y="0"/>
                      <a:ext cx="4680000" cy="3348991"/>
                    </a:xfrm>
                    <a:prstGeom prst="rect"/>
                  </pic:spPr>
                </pic:pic>
              </a:graphicData>
            </a:graphic>
          </wp:inline>
        </w:drawing>
      </w:r>
    </w:p>
    <w:p w14:paraId="7423B0B0">
      <w:pPr>
        <w:keepLines/>
        <w:spacing w:line="440" w:lineRule="exact"/>
        <w:ind w:firstLine="0"/>
        <w:jc w:val="center"/>
        <w:rPr>
          <w:rFonts w:hint="eastAsia"/>
          <w:color w:val="000000"/>
          <w:szCs w:val="21"/>
        </w:rPr>
      </w:pPr>
      <w:r>
        <w:rPr>
          <w:rFonts w:hint="eastAsia" w:eastAsia="宋体" w:ascii="宋体" w:hAnsi="宋体"/>
          <w:color w:val="000000"/>
          <w:sz w:val="21"/>
          <w:szCs w:val="21"/>
        </w:rPr>
        <w:t>图3–1  装配式综合管廊施工质量控制主要环节</w:t>
      </w:r>
    </w:p>
    <w:p w14:paraId="1EB9ED7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3．5  节段拼装精度控制与防水构造要求</w:t>
      </w:r>
    </w:p>
    <w:p w14:paraId="0272D9E9">
      <w:pPr>
        <w:spacing w:line="360" w:lineRule="auto"/>
        <w:ind w:firstLine="480"/>
        <w:rPr>
          <w:rFonts w:hint="eastAsia"/>
          <w:color w:val="000000"/>
          <w:sz w:val="24"/>
        </w:rPr>
      </w:pPr>
      <w:r>
        <w:rPr>
          <w:rFonts w:hint="eastAsia" w:eastAsia="宋体" w:ascii="宋体" w:hAnsi="宋体"/>
          <w:color w:val="000000"/>
          <w:sz w:val="24"/>
          <w:szCs w:val="24"/>
        </w:rPr>
        <w:t>装配式综合管廊的节段拼装精度直接关系到结构的整体受力和防水性能。在拼装精度控制方面，工程上通常要求相邻节段之间的错台量、节段的轴线偏差和高程偏差均控制在设计允许范围内。由于预制节段在工厂生产时已形成最终尺寸，现场拼装的调整余地很小，因此精度控制主要依靠三道环节：一是构件出厂前的尺寸检验，确保构件本身的几何偏差在允许范围内；二是现场测量放线的准确性，为节段就位提供可靠基准；三是就位后的复测与调整，通过三维扫描等手段校核实际偏差并动态修正。</w:t>
      </w:r>
    </w:p>
    <w:p w14:paraId="228AA0C9">
      <w:pPr>
        <w:spacing w:line="360" w:lineRule="auto"/>
        <w:ind w:firstLine="480"/>
        <w:rPr>
          <w:rFonts w:hint="eastAsia"/>
          <w:color w:val="000000"/>
          <w:sz w:val="24"/>
        </w:rPr>
      </w:pPr>
      <w:r>
        <w:rPr>
          <w:rFonts w:hint="eastAsia" w:eastAsia="宋体" w:ascii="宋体" w:hAnsi="宋体"/>
          <w:color w:val="000000"/>
          <w:sz w:val="24"/>
          <w:szCs w:val="24"/>
        </w:rPr>
        <w:t>在防水构造方面，装配式综合管廊的防水体系由结构自防水、接缝防水和附加防水层共同构成。结构自防水依靠预制混凝土自身的抗渗性能实现，通常在配合比设计中通过降低水胶比和掺入矿物掺合料来提高混凝土密实度。接缝防水是装配式结构的薄弱环节，节段之间通常采用弹性密封垫、遇水膨胀止水条或嵌缝密封材料进行处理，并在迎水面设置附加防水层。对于采用预铺反粘卷材的做法，卷材与后浇混凝土形成可靠粘结，可避免传统防水层中常见的窜水问题。</w:t>
      </w:r>
    </w:p>
    <w:p w14:paraId="582D6D6E">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4  装配式施工质量问题调查与成因分析</w:t>
      </w:r>
    </w:p>
    <w:p w14:paraId="39CB63C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4．1  质量问题调查方法</w:t>
      </w:r>
    </w:p>
    <w:p w14:paraId="E406D015">
      <w:pPr>
        <w:spacing w:line="360" w:lineRule="auto"/>
        <w:ind w:firstLine="480"/>
        <w:rPr>
          <w:rFonts w:hint="eastAsia"/>
          <w:color w:val="000000"/>
          <w:sz w:val="24"/>
        </w:rPr>
      </w:pPr>
      <w:r>
        <w:rPr>
          <w:rFonts w:hint="eastAsia" w:eastAsia="宋体" w:ascii="宋体" w:hAnsi="宋体"/>
          <w:color w:val="000000"/>
          <w:sz w:val="24"/>
          <w:szCs w:val="24"/>
        </w:rPr>
        <w:t>对装配式综合管廊施工质量问题的调查，本文采用"现场记录+资料分析+专家访谈"相结合的方法。现场记录包括项目实施期间对节段进场检验记录、拼装定位记录、灌浆套筒密实度抽检记录、节段接缝防水施工记录以及关键工序影像资料的整理。资料分析包括对项目竣工资料、质量评估报告、第三方检测报告以及公开新闻报道中提及的质量问题作系统梳理。专家访谈包括对参与项目的中建二局技术管理人员、广西大学设计院设计代表、大通监理监理工程师以及构件供应厂质量负责人的咨询。</w:t>
      </w:r>
    </w:p>
    <w:p w14:paraId="B6F23C58">
      <w:pPr>
        <w:spacing w:line="360" w:lineRule="auto"/>
        <w:ind w:firstLine="480"/>
        <w:rPr>
          <w:rFonts w:hint="eastAsia"/>
          <w:color w:val="000000"/>
          <w:sz w:val="24"/>
        </w:rPr>
      </w:pPr>
      <w:r>
        <w:rPr>
          <w:rFonts w:hint="eastAsia" w:eastAsia="宋体" w:ascii="宋体" w:hAnsi="宋体"/>
          <w:color w:val="000000"/>
          <w:sz w:val="24"/>
          <w:szCs w:val="24"/>
        </w:rPr>
        <w:t>基于上述方法收集到的质量问题信息，按照问题类型、严重程度和发生频次进行编码和归类，最终整理形成"装配式综合管廊施工主要质量问题清单"。该清单共识别出五类、共计十余个典型质量问题，覆盖了从构件生产到现场拼装再到运营交付的全过程。表4–1列出了其中较为典型的八项质量问题及其主要表现。</w:t>
      </w:r>
    </w:p>
    <w:p w14:paraId="6D9C11E9">
      <w:pPr>
        <w:keepLines/>
        <w:spacing w:line="440" w:lineRule="exact"/>
        <w:ind w:firstLine="0"/>
        <w:jc w:val="center"/>
        <w:rPr>
          <w:rFonts w:hint="eastAsia"/>
          <w:color w:val="000000"/>
          <w:szCs w:val="21"/>
        </w:rPr>
      </w:pPr>
      <w:r>
        <w:rPr>
          <w:rFonts w:hint="eastAsia" w:eastAsia="宋体" w:ascii="宋体" w:hAnsi="宋体"/>
          <w:color w:val="000000"/>
          <w:sz w:val="21"/>
          <w:szCs w:val="21"/>
        </w:rPr>
        <w:t>表4–1  装配式综合管廊施工典型质量问题汇总</w:t>
      </w:r>
    </w:p>
    <w:tbl>
      <w:tblPr>
        <w:tblStyle w:val="TableGrid"/>
        <w:tblW w:w="5000" w:type="pct"/>
        <w:tblLook w:val="04A0"/>
      </w:tblPr>
      <w:tblGrid>
        <w:gridCol w:w="1500"/>
        <w:gridCol w:w="2400"/>
        <w:gridCol w:w="5500"/>
      </w:tblGrid>
      <w:tr>
        <w:tc>
          <w:tcPr>
            <w:tcW w:w="1500" w:type="dxa"/>
          </w:tcPr>
          <w:p>
            <w:pPr>
              <w:jc w:val="center"/>
            </w:pPr>
            <w:r>
              <w:rPr>
                <w:rFonts w:eastAsia="宋体" w:ascii="Times New Roman" w:hAnsi="Times New Roman"/>
                <w:b/>
                <w:sz w:val="21"/>
              </w:rPr>
              <w:t>问题类别</w:t>
            </w:r>
          </w:p>
        </w:tc>
        <w:tc>
          <w:tcPr>
            <w:tcW w:w="2400" w:type="dxa"/>
          </w:tcPr>
          <w:p>
            <w:pPr>
              <w:jc w:val="center"/>
            </w:pPr>
            <w:r>
              <w:rPr>
                <w:rFonts w:eastAsia="宋体" w:ascii="Times New Roman" w:hAnsi="Times New Roman"/>
                <w:b/>
                <w:sz w:val="21"/>
              </w:rPr>
              <w:t>主要表现</w:t>
            </w:r>
          </w:p>
        </w:tc>
        <w:tc>
          <w:tcPr>
            <w:tcW w:w="5500" w:type="dxa"/>
          </w:tcPr>
          <w:p>
            <w:pPr>
              <w:jc w:val="center"/>
            </w:pPr>
            <w:r>
              <w:rPr>
                <w:rFonts w:eastAsia="宋体" w:ascii="Times New Roman" w:hAnsi="Times New Roman"/>
                <w:b/>
                <w:sz w:val="21"/>
              </w:rPr>
              <w:t>成因归类</w:t>
            </w:r>
          </w:p>
        </w:tc>
      </w:tr>
      <w:tr>
        <w:tc>
          <w:tcPr>
            <w:tcW w:w="1500" w:type="dxa"/>
          </w:tcPr>
          <w:p>
            <w:pPr>
              <w:jc w:val="center"/>
            </w:pPr>
            <w:r>
              <w:rPr>
                <w:rFonts w:eastAsia="宋体" w:ascii="Times New Roman" w:hAnsi="Times New Roman"/>
                <w:sz w:val="21"/>
              </w:rPr>
              <w:t>构件进场</w:t>
            </w:r>
          </w:p>
        </w:tc>
        <w:tc>
          <w:tcPr>
            <w:tcW w:w="2400" w:type="dxa"/>
          </w:tcPr>
          <w:p>
            <w:pPr>
              <w:jc w:val="center"/>
            </w:pPr>
            <w:r>
              <w:rPr>
                <w:rFonts w:eastAsia="宋体" w:ascii="Times New Roman" w:hAnsi="Times New Roman"/>
                <w:sz w:val="21"/>
              </w:rPr>
              <w:t>尺寸偏差超限、表面裂缝、预埋件偏移</w:t>
            </w:r>
          </w:p>
        </w:tc>
        <w:tc>
          <w:tcPr>
            <w:tcW w:w="5500" w:type="dxa"/>
          </w:tcPr>
          <w:p>
            <w:pPr>
              <w:jc w:val="left"/>
            </w:pPr>
            <w:r>
              <w:rPr>
                <w:rFonts w:eastAsia="宋体" w:ascii="Times New Roman" w:hAnsi="Times New Roman"/>
                <w:sz w:val="21"/>
              </w:rPr>
              <w:t>材料、人员</w:t>
            </w:r>
          </w:p>
        </w:tc>
      </w:tr>
      <w:tr>
        <w:tc>
          <w:tcPr>
            <w:tcW w:w="1500" w:type="dxa"/>
          </w:tcPr>
          <w:p>
            <w:pPr>
              <w:jc w:val="center"/>
            </w:pPr>
            <w:r>
              <w:rPr>
                <w:rFonts w:eastAsia="宋体" w:ascii="Times New Roman" w:hAnsi="Times New Roman"/>
                <w:sz w:val="21"/>
              </w:rPr>
              <w:t>吊装就位</w:t>
            </w:r>
          </w:p>
        </w:tc>
        <w:tc>
          <w:tcPr>
            <w:tcW w:w="2400" w:type="dxa"/>
          </w:tcPr>
          <w:p>
            <w:pPr>
              <w:jc w:val="center"/>
            </w:pPr>
            <w:r>
              <w:rPr>
                <w:rFonts w:eastAsia="宋体" w:ascii="Times New Roman" w:hAnsi="Times New Roman"/>
                <w:sz w:val="21"/>
              </w:rPr>
              <w:t>定位偏差超限、相邻节段累计偏差</w:t>
            </w:r>
          </w:p>
        </w:tc>
        <w:tc>
          <w:tcPr>
            <w:tcW w:w="5500" w:type="dxa"/>
          </w:tcPr>
          <w:p>
            <w:pPr>
              <w:jc w:val="left"/>
            </w:pPr>
            <w:r>
              <w:rPr>
                <w:rFonts w:eastAsia="宋体" w:ascii="Times New Roman" w:hAnsi="Times New Roman"/>
                <w:sz w:val="21"/>
              </w:rPr>
              <w:t>人员、方法</w:t>
            </w:r>
          </w:p>
        </w:tc>
      </w:tr>
      <w:tr>
        <w:tc>
          <w:tcPr>
            <w:tcW w:w="1500" w:type="dxa"/>
          </w:tcPr>
          <w:p>
            <w:pPr>
              <w:jc w:val="center"/>
            </w:pPr>
            <w:r>
              <w:rPr>
                <w:rFonts w:eastAsia="宋体" w:ascii="Times New Roman" w:hAnsi="Times New Roman"/>
                <w:sz w:val="21"/>
              </w:rPr>
              <w:t>接缝防水</w:t>
            </w:r>
          </w:p>
        </w:tc>
        <w:tc>
          <w:tcPr>
            <w:tcW w:w="2400" w:type="dxa"/>
          </w:tcPr>
          <w:p>
            <w:pPr>
              <w:jc w:val="center"/>
            </w:pPr>
            <w:r>
              <w:rPr>
                <w:rFonts w:eastAsia="宋体" w:ascii="Times New Roman" w:hAnsi="Times New Roman"/>
                <w:sz w:val="21"/>
              </w:rPr>
              <w:t>卷材搭接不足、粘结不牢、收头不严</w:t>
            </w:r>
          </w:p>
        </w:tc>
        <w:tc>
          <w:tcPr>
            <w:tcW w:w="5500" w:type="dxa"/>
          </w:tcPr>
          <w:p>
            <w:pPr>
              <w:jc w:val="left"/>
            </w:pPr>
            <w:r>
              <w:rPr>
                <w:rFonts w:eastAsia="宋体" w:ascii="Times New Roman" w:hAnsi="Times New Roman"/>
                <w:sz w:val="21"/>
              </w:rPr>
              <w:t>方法、人员</w:t>
            </w:r>
          </w:p>
        </w:tc>
      </w:tr>
      <w:tr>
        <w:tc>
          <w:tcPr>
            <w:tcW w:w="1500" w:type="dxa"/>
          </w:tcPr>
          <w:p>
            <w:pPr>
              <w:jc w:val="center"/>
            </w:pPr>
            <w:r>
              <w:rPr>
                <w:rFonts w:eastAsia="宋体" w:ascii="Times New Roman" w:hAnsi="Times New Roman"/>
                <w:sz w:val="21"/>
              </w:rPr>
              <w:t>套筒连接</w:t>
            </w:r>
          </w:p>
        </w:tc>
        <w:tc>
          <w:tcPr>
            <w:tcW w:w="2400" w:type="dxa"/>
          </w:tcPr>
          <w:p>
            <w:pPr>
              <w:jc w:val="center"/>
            </w:pPr>
            <w:r>
              <w:rPr>
                <w:rFonts w:eastAsia="宋体" w:ascii="Times New Roman" w:hAnsi="Times New Roman"/>
                <w:sz w:val="21"/>
              </w:rPr>
              <w:t>排气不畅、灌浆不饱满、配合比偏差</w:t>
            </w:r>
          </w:p>
        </w:tc>
        <w:tc>
          <w:tcPr>
            <w:tcW w:w="5500" w:type="dxa"/>
          </w:tcPr>
          <w:p>
            <w:pPr>
              <w:jc w:val="left"/>
            </w:pPr>
            <w:r>
              <w:rPr>
                <w:rFonts w:eastAsia="宋体" w:ascii="Times New Roman" w:hAnsi="Times New Roman"/>
                <w:sz w:val="21"/>
              </w:rPr>
              <w:t>方法、机械</w:t>
            </w:r>
          </w:p>
        </w:tc>
      </w:tr>
      <w:tr>
        <w:tc>
          <w:tcPr>
            <w:tcW w:w="1500" w:type="dxa"/>
          </w:tcPr>
          <w:p>
            <w:pPr>
              <w:jc w:val="center"/>
            </w:pPr>
            <w:r>
              <w:rPr>
                <w:rFonts w:eastAsia="宋体" w:ascii="Times New Roman" w:hAnsi="Times New Roman"/>
                <w:sz w:val="21"/>
              </w:rPr>
              <w:t>穿插施工</w:t>
            </w:r>
          </w:p>
        </w:tc>
        <w:tc>
          <w:tcPr>
            <w:tcW w:w="2400" w:type="dxa"/>
          </w:tcPr>
          <w:p>
            <w:pPr>
              <w:jc w:val="center"/>
            </w:pPr>
            <w:r>
              <w:rPr>
                <w:rFonts w:eastAsia="宋体" w:ascii="Times New Roman" w:hAnsi="Times New Roman"/>
                <w:sz w:val="21"/>
              </w:rPr>
              <w:t>工序交叉污染、成品破坏、协调不畅</w:t>
            </w:r>
          </w:p>
        </w:tc>
        <w:tc>
          <w:tcPr>
            <w:tcW w:w="5500" w:type="dxa"/>
          </w:tcPr>
          <w:p>
            <w:pPr>
              <w:jc w:val="left"/>
            </w:pPr>
            <w:r>
              <w:rPr>
                <w:rFonts w:eastAsia="宋体" w:ascii="Times New Roman" w:hAnsi="Times New Roman"/>
                <w:sz w:val="21"/>
              </w:rPr>
              <w:t>环境、人员</w:t>
            </w:r>
          </w:p>
        </w:tc>
      </w:tr>
    </w:tbl>
    <w:p w14:paraId="C387E633">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4.1.4  质量问题调查的组织与实施</w:t>
      </w:r>
    </w:p>
    <w:p w14:paraId="A4F6BAD6">
      <w:pPr>
        <w:spacing w:line="360" w:lineRule="auto"/>
        <w:ind w:firstLine="480"/>
        <w:rPr>
          <w:rFonts w:hint="eastAsia"/>
          <w:color w:val="000000"/>
          <w:sz w:val="24"/>
        </w:rPr>
      </w:pPr>
      <w:r>
        <w:rPr>
          <w:rFonts w:hint="eastAsia" w:eastAsia="宋体" w:ascii="宋体" w:hAnsi="宋体"/>
          <w:color w:val="000000"/>
          <w:sz w:val="24"/>
          <w:szCs w:val="24"/>
        </w:rPr>
        <w:t>质量问题的调查需要系统组织，才能保证调查结果的全面性和准确性。本项目组织了由施工单位质检人员、监理单位和构件供应厂技术人员共同参与的联合调查组，对项目实施期间出现的质量问题进行集中梳理。调查范围覆盖了构件进场、存放、吊装、拼装、节点连接和防水施工等主要环节，调查方式包括查阅施工记录和质量台账、现场实地检查、与一线作业人员访谈以及对已完成区段进行复查等。</w:t>
      </w:r>
    </w:p>
    <w:p w14:paraId="B3E49D2E">
      <w:pPr>
        <w:spacing w:line="360" w:lineRule="auto"/>
        <w:ind w:firstLine="480"/>
        <w:rPr>
          <w:rFonts w:hint="eastAsia"/>
          <w:color w:val="000000"/>
          <w:sz w:val="24"/>
        </w:rPr>
      </w:pPr>
      <w:r>
        <w:rPr>
          <w:rFonts w:hint="eastAsia" w:eastAsia="宋体" w:ascii="宋体" w:hAnsi="宋体"/>
          <w:color w:val="000000"/>
          <w:sz w:val="24"/>
          <w:szCs w:val="24"/>
        </w:rPr>
        <w:t>调查过程中，对发现的问题按照发生环节、问题性质、严重程度和发生频次进行分类记录，形成质量问题清单。对于反复出现的问题，重点追溯其产生的原因，包括人员操作、工艺方法、材料质量和环境条件等方面。对于偶发性问题，则分析其是否与特定的施工条件或外部因素相关。</w:t>
      </w:r>
    </w:p>
    <w:p w14:paraId="AA57C4F5">
      <w:pPr>
        <w:spacing w:line="360" w:lineRule="auto"/>
        <w:ind w:firstLine="480"/>
        <w:rPr>
          <w:rFonts w:hint="eastAsia"/>
          <w:color w:val="000000"/>
          <w:sz w:val="24"/>
        </w:rPr>
      </w:pPr>
      <w:r>
        <w:rPr>
          <w:rFonts w:hint="eastAsia" w:eastAsia="宋体" w:ascii="宋体" w:hAnsi="宋体"/>
          <w:color w:val="000000"/>
          <w:sz w:val="24"/>
          <w:szCs w:val="24"/>
        </w:rPr>
        <w:t>调查结束后，联合调查组对问题清单进行了汇总分析，识别出高频问题和关键控制点，为后续的成因分析和对策制定提供了依据。这种多单位联合调查的方式，能够避免单一主体视角的局限性，使调查结果更加客观全面。</w:t>
      </w:r>
    </w:p>
    <w:p w14:paraId="4AC0A380">
      <w:pPr>
        <w:keepNext/>
        <w:keepLines/>
        <w:spacing w:line="360" w:lineRule="auto"/>
        <w:rPr>
          <w:rFonts w:hint="eastAsia" w:eastAsia="黑体"/>
          <w:color w:val="000000"/>
          <w:sz w:val="24"/>
        </w:rPr>
      </w:pPr>
      <w:r>
        <w:rPr>
          <w:rFonts w:hint="eastAsia" w:eastAsia="黑体" w:ascii="黑体" w:hAnsi="黑体"/>
          <w:color w:val="000000"/>
          <w:sz w:val="24"/>
          <w:szCs w:val="24"/>
        </w:rPr>
        <w:t>4.1.5 质量问题的分级与判别标准</w:t>
      </w:r>
    </w:p>
    <w:p w14:paraId="30B4413F">
      <w:pPr>
        <w:spacing w:line="360" w:lineRule="auto"/>
        <w:ind w:firstLine="480"/>
        <w:rPr>
          <w:rFonts w:hint="eastAsia"/>
          <w:color w:val="000000"/>
          <w:sz w:val="24"/>
        </w:rPr>
      </w:pPr>
      <w:r>
        <w:rPr>
          <w:rFonts w:hint="eastAsia" w:eastAsia="宋体" w:ascii="宋体" w:hAnsi="宋体"/>
          <w:color w:val="000000"/>
          <w:sz w:val="24"/>
          <w:szCs w:val="24"/>
        </w:rPr>
        <w:t>对识别出的质量问题进行分级，有助于分清主次、合理配置管理资源。按问题的严重程度，可将质量问题划分为一般问题、严重问题和重大质量问题三个等级。一般问题是指不影响结构安全和使用功能，仅需简单处理即可消除的缺陷，如构件表面的少量蜂窝麻面、轻微的尺寸偏差等；严重问题是指影响使用功能或耐久性，需要采取专门措施处理的缺陷，如节段接缝的局部渗漏、预埋件位置的较大偏差等；重大质量问题则是指影响结构安全，必须返工或加固处理的缺陷，如节段拼装的严重错位、关键部位的灌浆不饱满等。</w:t>
      </w:r>
    </w:p>
    <w:p w14:paraId="8CCF8D04">
      <w:pPr>
        <w:spacing w:line="360" w:lineRule="auto"/>
        <w:ind w:firstLine="480"/>
        <w:rPr>
          <w:rFonts w:hint="eastAsia"/>
          <w:color w:val="000000"/>
          <w:sz w:val="24"/>
        </w:rPr>
      </w:pPr>
      <w:r>
        <w:rPr>
          <w:rFonts w:hint="eastAsia" w:eastAsia="宋体" w:ascii="宋体" w:hAnsi="宋体"/>
          <w:color w:val="000000"/>
          <w:sz w:val="24"/>
          <w:szCs w:val="24"/>
        </w:rPr>
        <w:t>按问题的发生频次，又可将质量问题划分为偶发问题和频发性问题。偶发问题通常由特定的偶然因素引起，针对性解决即可；频发性问题则往往反映出管理制度、工艺方法或人员能力方面的系统性缺陷，需要从根源上进行改进。本文在成因分析中重点关注频发性问题，因为只有解决这类问题，才能真正实现质量管理水平的持续提升。</w:t>
      </w:r>
    </w:p>
    <w:p w14:paraId="176D42C7">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4．2  主要质量问题识别</w:t>
      </w:r>
    </w:p>
    <w:p w14:paraId="7B009C5E">
      <w:pPr>
        <w:spacing w:line="360" w:lineRule="auto"/>
        <w:ind w:firstLine="480"/>
        <w:rPr>
          <w:rFonts w:hint="eastAsia"/>
          <w:color w:val="000000"/>
          <w:sz w:val="24"/>
        </w:rPr>
      </w:pPr>
      <w:r>
        <w:rPr>
          <w:rFonts w:hint="eastAsia" w:eastAsia="宋体" w:ascii="宋体" w:hAnsi="宋体"/>
          <w:color w:val="000000"/>
          <w:sz w:val="24"/>
          <w:szCs w:val="24"/>
        </w:rPr>
        <w:t>按问题发生的环节分类，识别出的质量问题主要集中在以下几个方面。</w:t>
      </w:r>
    </w:p>
    <w:p w14:paraId="AB1AF5D5">
      <w:pPr>
        <w:spacing w:line="360" w:lineRule="auto"/>
        <w:ind w:firstLine="480"/>
        <w:rPr>
          <w:rFonts w:hint="eastAsia"/>
          <w:color w:val="000000"/>
          <w:sz w:val="24"/>
        </w:rPr>
      </w:pPr>
      <w:r>
        <w:rPr>
          <w:rFonts w:hint="eastAsia" w:eastAsia="宋体" w:ascii="宋体" w:hAnsi="宋体"/>
          <w:color w:val="000000"/>
          <w:sz w:val="24"/>
          <w:szCs w:val="24"/>
        </w:rPr>
        <w:t xml:space="preserve">构件进场环节</w:t>
      </w:r>
      <w:r>
        <w:rPr>
          <w:rFonts w:hint="eastAsia" w:eastAsia="宋体" w:ascii="宋体" w:hAnsi="宋体"/>
          <w:color w:val="000000"/>
          <w:sz w:val="24"/>
          <w:szCs w:val="24"/>
        </w:rPr>
        <w:t xml:space="preserve">。主要表现为预制节段进场验收把关不严，部分构件存在尺寸偏差超限、表面裂缝、预埋件位置偏移等问题。少数批次构件在运输过程中出现边角磕碰损伤，到场后未及时处理便进入拼装工序。</w:t>
      </w:r>
    </w:p>
    <w:p w14:paraId="A079A2FE">
      <w:pPr>
        <w:spacing w:line="360" w:lineRule="auto"/>
        <w:ind w:firstLine="480"/>
        <w:rPr>
          <w:rFonts w:hint="eastAsia"/>
          <w:color w:val="000000"/>
          <w:sz w:val="24"/>
        </w:rPr>
      </w:pPr>
      <w:r>
        <w:rPr>
          <w:rFonts w:hint="eastAsia" w:eastAsia="宋体" w:ascii="宋体" w:hAnsi="宋体"/>
          <w:color w:val="000000"/>
          <w:sz w:val="24"/>
          <w:szCs w:val="24"/>
        </w:rPr>
        <w:t xml:space="preserve">节段吊装与就位环节</w:t>
      </w:r>
      <w:r>
        <w:rPr>
          <w:rFonts w:hint="eastAsia" w:eastAsia="宋体" w:ascii="宋体" w:hAnsi="宋体"/>
          <w:color w:val="000000"/>
          <w:sz w:val="24"/>
          <w:szCs w:val="24"/>
        </w:rPr>
        <w:t xml:space="preserve">。主要表现为节段吊装定位偏差超出设计允许范围，部分节段存在初始就位偏差过大、二次调整后仍未达标的情况。少数情形下相邻节段之间出现累计偏差，导致接缝宽度超过设计限值。</w:t>
      </w:r>
    </w:p>
    <w:p w14:paraId="821A08F2">
      <w:pPr>
        <w:spacing w:line="360" w:lineRule="auto"/>
        <w:ind w:firstLine="480"/>
        <w:rPr>
          <w:rFonts w:hint="eastAsia"/>
          <w:color w:val="000000"/>
          <w:sz w:val="24"/>
        </w:rPr>
      </w:pPr>
      <w:r>
        <w:rPr>
          <w:rFonts w:hint="eastAsia" w:eastAsia="宋体" w:ascii="宋体" w:hAnsi="宋体"/>
          <w:color w:val="000000"/>
          <w:sz w:val="24"/>
          <w:szCs w:val="24"/>
        </w:rPr>
        <w:t xml:space="preserve">节段接缝防水环节</w:t>
      </w:r>
      <w:r>
        <w:rPr>
          <w:rFonts w:hint="eastAsia" w:eastAsia="宋体" w:ascii="宋体" w:hAnsi="宋体"/>
          <w:color w:val="000000"/>
          <w:sz w:val="24"/>
          <w:szCs w:val="24"/>
        </w:rPr>
        <w:t xml:space="preserve">。预铺反粘卷材的铺设、搭接宽度、收头处理等是质量控制的重点。少数节段出现卷材搭接宽度不足、卷材与基层粘结不牢、收头部位密封不严等情形。这些问题在短期内可能不影响结构安全，但长期渗漏会显著降低管廊的使用寿命。</w:t>
      </w:r>
    </w:p>
    <w:p w14:paraId="FDA5D07C">
      <w:pPr>
        <w:spacing w:line="360" w:lineRule="auto"/>
        <w:ind w:firstLine="480"/>
        <w:rPr>
          <w:rFonts w:hint="eastAsia"/>
          <w:color w:val="000000"/>
          <w:sz w:val="24"/>
        </w:rPr>
      </w:pPr>
      <w:r>
        <w:rPr>
          <w:rFonts w:hint="eastAsia" w:eastAsia="宋体" w:ascii="宋体" w:hAnsi="宋体"/>
          <w:color w:val="000000"/>
          <w:sz w:val="24"/>
          <w:szCs w:val="24"/>
        </w:rPr>
        <w:t xml:space="preserve">灌浆套筒连接环节</w:t>
      </w:r>
      <w:r>
        <w:rPr>
          <w:rFonts w:hint="eastAsia" w:eastAsia="宋体" w:ascii="宋体" w:hAnsi="宋体"/>
          <w:color w:val="000000"/>
          <w:sz w:val="24"/>
          <w:szCs w:val="24"/>
        </w:rPr>
        <w:t xml:space="preserve">。套筒连接的密实度直接决定结构整体性。少数灌浆作业存在排气不畅、灌浆料配合比偏差、灌浆不饱满等问题。问题出现后通常需要凿除重灌，对工期和质量信誉都有影响。</w:t>
      </w:r>
    </w:p>
    <w:p w14:paraId="A53F8380">
      <w:pPr>
        <w:spacing w:line="360" w:lineRule="auto"/>
        <w:ind w:firstLine="480"/>
        <w:rPr>
          <w:rFonts w:hint="eastAsia"/>
          <w:color w:val="000000"/>
          <w:sz w:val="24"/>
        </w:rPr>
      </w:pPr>
      <w:r>
        <w:rPr>
          <w:rFonts w:hint="eastAsia" w:eastAsia="宋体" w:ascii="宋体" w:hAnsi="宋体"/>
          <w:color w:val="000000"/>
          <w:sz w:val="24"/>
          <w:szCs w:val="24"/>
        </w:rPr>
        <w:t xml:space="preserve">多专业穿插施工环节</w:t>
      </w:r>
      <w:r>
        <w:rPr>
          <w:rFonts w:hint="eastAsia" w:eastAsia="宋体" w:ascii="宋体" w:hAnsi="宋体"/>
          <w:color w:val="000000"/>
          <w:sz w:val="24"/>
          <w:szCs w:val="24"/>
        </w:rPr>
        <w:t xml:space="preserve">。主体结构施工与机电安装、监控布线、附属设施施工同步推进时，容易出现工序交叉污染、相互干扰等问题。比如机电管线安装时对已完成的防水层造成破坏，又如设备运输对刚拼装完成的节段产生振动等。</w:t>
      </w:r>
    </w:p>
    <w:p w14:paraId="42972DD5">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4.2.6  质量问题的常用检测与判别方法</w:t>
      </w:r>
    </w:p>
    <w:p w14:paraId="BD03DCA1">
      <w:pPr>
        <w:spacing w:line="360" w:lineRule="auto"/>
        <w:ind w:firstLine="480"/>
        <w:rPr>
          <w:rFonts w:hint="eastAsia"/>
          <w:color w:val="000000"/>
          <w:sz w:val="24"/>
        </w:rPr>
      </w:pPr>
      <w:r>
        <w:rPr>
          <w:rFonts w:hint="eastAsia" w:eastAsia="宋体" w:ascii="宋体" w:hAnsi="宋体"/>
          <w:color w:val="000000"/>
          <w:sz w:val="24"/>
          <w:szCs w:val="24"/>
        </w:rPr>
        <w:t>针对装配式综合管廊施工中常见的质量问题，工程上通常采用以下几类检测与判别方法。对于构件尺寸偏差，一般采用钢尺、全站仪或三维激光扫描进行测量，其中三维扫描能够获取构件表面的大量点云数据，与设计模型对比后可直观反映实际偏差的分布情况，是目前较为先进的检测手段。对于预埋件位置偏差，通常在模板安装后、混凝土浇筑前进行复核，并在浇筑完成后再次校核，确保位置准确。</w:t>
      </w:r>
    </w:p>
    <w:p w14:paraId="53CD8C24">
      <w:pPr>
        <w:spacing w:line="360" w:lineRule="auto"/>
        <w:ind w:firstLine="480"/>
        <w:rPr>
          <w:rFonts w:hint="eastAsia"/>
          <w:color w:val="000000"/>
          <w:sz w:val="24"/>
        </w:rPr>
      </w:pPr>
      <w:r>
        <w:rPr>
          <w:rFonts w:hint="eastAsia" w:eastAsia="宋体" w:ascii="宋体" w:hAnsi="宋体"/>
          <w:color w:val="000000"/>
          <w:sz w:val="24"/>
          <w:szCs w:val="24"/>
        </w:rPr>
        <w:t>对于灌浆套筒连接的密实度，常用的检测方法包括内窥镜检查、X射线检测和冲击回波法等。内窥镜检查通过预留孔道直接观察灌浆饱满情况，操作简便但只能检查局部；X射线检测能够直观显示套筒内部的灌浆状态，检测结果可靠，但需要专门设备且存在一定的安全防护要求；冲击回波法则通过分析应力波在构件中的传播特性判断内部是否存在空隙，属于无损检测方法。工程上通常根据检测要求和现场条件选择合适的方法，或采用多种方法相互印证。</w:t>
      </w:r>
    </w:p>
    <w:p w14:paraId="0DFCD197">
      <w:pPr>
        <w:spacing w:line="360" w:lineRule="auto"/>
        <w:ind w:firstLine="480"/>
        <w:rPr>
          <w:rFonts w:hint="eastAsia"/>
          <w:color w:val="000000"/>
          <w:sz w:val="24"/>
        </w:rPr>
      </w:pPr>
      <w:r>
        <w:rPr>
          <w:rFonts w:hint="eastAsia" w:eastAsia="宋体" w:ascii="宋体" w:hAnsi="宋体"/>
          <w:color w:val="000000"/>
          <w:sz w:val="24"/>
          <w:szCs w:val="24"/>
        </w:rPr>
        <w:t>对于节段接缝的防水性能，一般在施工完成后进行淋水试验或蓄水试验，观察接缝部位是否存在渗漏现象。对于采用遇水膨胀止水条或弹性密封垫的接缝，还应检查密封材料的安装质量和搭接长度，确保防水构造完整有效。</w:t>
      </w:r>
    </w:p>
    <w:p w14:paraId="48861A9F">
      <w:pPr>
        <w:keepNext/>
        <w:keepLines/>
        <w:spacing w:line="360" w:lineRule="auto"/>
        <w:rPr>
          <w:rFonts w:hint="eastAsia" w:eastAsia="黑体"/>
          <w:color w:val="000000"/>
          <w:sz w:val="24"/>
        </w:rPr>
      </w:pPr>
      <w:r>
        <w:rPr>
          <w:rFonts w:hint="eastAsia" w:eastAsia="黑体" w:ascii="黑体" w:hAnsi="黑体"/>
          <w:color w:val="000000"/>
          <w:sz w:val="24"/>
          <w:szCs w:val="24"/>
        </w:rPr>
        <w:t>4.1.6 质量问题记录与信息反馈</w:t>
      </w:r>
    </w:p>
    <w:p w14:paraId="1A8DE2FE">
      <w:pPr>
        <w:spacing w:line="360" w:lineRule="auto"/>
        <w:ind w:firstLine="480"/>
        <w:rPr>
          <w:rFonts w:hint="eastAsia"/>
          <w:color w:val="000000"/>
          <w:sz w:val="24"/>
        </w:rPr>
      </w:pPr>
      <w:r>
        <w:rPr>
          <w:rFonts w:hint="eastAsia" w:eastAsia="宋体" w:ascii="宋体" w:hAnsi="宋体"/>
          <w:color w:val="000000"/>
          <w:sz w:val="24"/>
          <w:szCs w:val="24"/>
        </w:rPr>
        <w:t>质量问题的有效管理离不开完整的记录与及时的信息反馈。项目建立了统一的质量问题记录表格，对发现的问题统一编号、统一登记，记录内容包括问题部位、问题性质、发现时间、责任单位和整改要求等。记录表格由专人负责管理，定期汇总分析，形成质量状况的阶段性报告，为项目管理层的决策提供依据。</w:t>
      </w:r>
    </w:p>
    <w:p w14:paraId="CA6934EC">
      <w:pPr>
        <w:spacing w:line="360" w:lineRule="auto"/>
        <w:ind w:firstLine="480"/>
        <w:rPr>
          <w:rFonts w:hint="eastAsia"/>
          <w:color w:val="000000"/>
          <w:sz w:val="24"/>
        </w:rPr>
      </w:pPr>
      <w:r>
        <w:rPr>
          <w:rFonts w:hint="eastAsia" w:eastAsia="宋体" w:ascii="宋体" w:hAnsi="宋体"/>
          <w:color w:val="000000"/>
          <w:sz w:val="24"/>
          <w:szCs w:val="24"/>
        </w:rPr>
        <w:t>同时，建立了质量问题信息的反馈渠道，使一线作业人员发现的问题能够及时上报，质检人员的检查结果能够及时传达给相关责任方，避免因信息滞后导致问题扩大或重复发生。</w:t>
      </w:r>
    </w:p>
    <w:p w14:paraId="EEF21690">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4．3  问题成因分析</w:t>
      </w:r>
    </w:p>
    <w:p w14:paraId="135C94A5">
      <w:pPr>
        <w:spacing w:line="360" w:lineRule="auto"/>
        <w:ind w:firstLine="480"/>
        <w:rPr>
          <w:rFonts w:hint="eastAsia"/>
          <w:color w:val="000000"/>
          <w:sz w:val="24"/>
        </w:rPr>
      </w:pPr>
      <w:r>
        <w:rPr>
          <w:rFonts w:hint="eastAsia" w:eastAsia="宋体" w:ascii="宋体" w:hAnsi="宋体"/>
          <w:color w:val="000000"/>
          <w:sz w:val="24"/>
          <w:szCs w:val="24"/>
        </w:rPr>
        <w:t>对上述质量问题，按照"人、机、料、法、环"五要素分析法进行归因，结果如下。</w:t>
      </w:r>
    </w:p>
    <w:p w14:paraId="3ED16EC3">
      <w:pPr>
        <w:spacing w:line="360" w:lineRule="auto"/>
        <w:ind w:firstLine="480"/>
        <w:rPr>
          <w:rFonts w:hint="eastAsia"/>
          <w:color w:val="000000"/>
          <w:sz w:val="24"/>
        </w:rPr>
      </w:pPr>
      <w:r>
        <w:rPr>
          <w:rFonts w:hint="eastAsia" w:eastAsia="宋体" w:ascii="宋体" w:hAnsi="宋体"/>
          <w:color w:val="000000"/>
          <w:sz w:val="24"/>
          <w:szCs w:val="24"/>
        </w:rPr>
        <w:t xml:space="preserve">人员因素</w:t>
      </w:r>
      <w:r>
        <w:rPr>
          <w:rFonts w:hint="eastAsia" w:eastAsia="宋体" w:ascii="宋体" w:hAnsi="宋体"/>
          <w:color w:val="000000"/>
          <w:sz w:val="24"/>
          <w:szCs w:val="24"/>
        </w:rPr>
        <w:t xml:space="preserve">。部分一线作业人员对预制拼装工艺不熟悉，对节段定位、防水卷材铺设、灌浆作业等关键工序的操作要点掌握不到位。部分管理人员对装配式质量控制的前置性认识不足，仍沿用现浇工程"事后修补"的管理思路，对进场检验和过程留痕重视不够。</w:t>
      </w:r>
    </w:p>
    <w:p w14:paraId="730B404D">
      <w:pPr>
        <w:spacing w:line="360" w:lineRule="auto"/>
        <w:ind w:firstLine="480"/>
        <w:rPr>
          <w:rFonts w:hint="eastAsia"/>
          <w:color w:val="000000"/>
          <w:sz w:val="24"/>
        </w:rPr>
      </w:pPr>
      <w:r>
        <w:rPr>
          <w:rFonts w:hint="eastAsia" w:eastAsia="宋体" w:ascii="宋体" w:hAnsi="宋体"/>
          <w:color w:val="000000"/>
          <w:sz w:val="24"/>
          <w:szCs w:val="24"/>
        </w:rPr>
        <w:t xml:space="preserve">机械因素</w:t>
      </w:r>
      <w:r>
        <w:rPr>
          <w:rFonts w:hint="eastAsia" w:eastAsia="宋体" w:ascii="宋体" w:hAnsi="宋体"/>
          <w:color w:val="000000"/>
          <w:sz w:val="24"/>
          <w:szCs w:val="24"/>
        </w:rPr>
        <w:t xml:space="preserve">。节段吊装设备的能力与构件重量匹配良好，但三维扫描设备的精度受现场光线、粉尘等环境影响较大，部分时段扫描精度未达到设计要求。灌浆设备在连续作业时稳定性偶有波动，影响灌浆压力和密实度。</w:t>
      </w:r>
    </w:p>
    <w:p w14:paraId="1DDCA0A2">
      <w:pPr>
        <w:spacing w:line="360" w:lineRule="auto"/>
        <w:ind w:firstLine="480"/>
        <w:rPr>
          <w:rFonts w:hint="eastAsia"/>
          <w:color w:val="000000"/>
          <w:sz w:val="24"/>
        </w:rPr>
      </w:pPr>
      <w:r>
        <w:rPr>
          <w:rFonts w:hint="eastAsia" w:eastAsia="宋体" w:ascii="宋体" w:hAnsi="宋体"/>
          <w:color w:val="000000"/>
          <w:sz w:val="24"/>
          <w:szCs w:val="24"/>
        </w:rPr>
        <w:t xml:space="preserve">材料因素</w:t>
      </w:r>
      <w:r>
        <w:rPr>
          <w:rFonts w:hint="eastAsia" w:eastAsia="宋体" w:ascii="宋体" w:hAnsi="宋体"/>
          <w:color w:val="000000"/>
          <w:sz w:val="24"/>
          <w:szCs w:val="24"/>
        </w:rPr>
        <w:t xml:space="preserve">。预制构件整体质量稳定，但少数批次构件的原材料受季节性供应波动影响，质量离散性略大于其他批次。灌浆料、防水卷材等关键材料的存储和领用管理需进一步加强。</w:t>
      </w:r>
    </w:p>
    <w:p w14:paraId="575F4C0D">
      <w:pPr>
        <w:spacing w:line="360" w:lineRule="auto"/>
        <w:ind w:firstLine="480"/>
        <w:rPr>
          <w:rFonts w:hint="eastAsia"/>
          <w:color w:val="000000"/>
          <w:sz w:val="24"/>
        </w:rPr>
      </w:pPr>
      <w:r>
        <w:rPr>
          <w:rFonts w:hint="eastAsia" w:eastAsia="宋体" w:ascii="宋体" w:hAnsi="宋体"/>
          <w:color w:val="000000"/>
          <w:sz w:val="24"/>
          <w:szCs w:val="24"/>
        </w:rPr>
        <w:t xml:space="preserve">方法因素</w:t>
      </w:r>
      <w:r>
        <w:rPr>
          <w:rFonts w:hint="eastAsia" w:eastAsia="宋体" w:ascii="宋体" w:hAnsi="宋体"/>
          <w:color w:val="000000"/>
          <w:sz w:val="24"/>
          <w:szCs w:val="24"/>
        </w:rPr>
        <w:t xml:space="preserve">。部分施工工艺规程对节段拼装精度的容差要求偏宽，未充分体现装配式工程"高精装配"的理念。少数工序的技术交底以"知道怎么做"为目标，没有量化到具体的偏差限值和检验方法。</w:t>
      </w:r>
    </w:p>
    <w:p w14:paraId="779A62E6">
      <w:pPr>
        <w:spacing w:line="360" w:lineRule="auto"/>
        <w:ind w:firstLine="480"/>
        <w:rPr>
          <w:rFonts w:hint="eastAsia"/>
          <w:color w:val="000000"/>
          <w:sz w:val="24"/>
        </w:rPr>
      </w:pPr>
      <w:r>
        <w:rPr>
          <w:rFonts w:hint="eastAsia" w:eastAsia="宋体" w:ascii="宋体" w:hAnsi="宋体"/>
          <w:b w:val="1"/>
          <w:color w:val="000000"/>
          <w:sz w:val="24"/>
          <w:szCs w:val="24"/>
        </w:rPr>
        <w:t xml:space="preserve">环境因素</w:t>
      </w:r>
      <w:r>
        <w:rPr>
          <w:rFonts w:hint="eastAsia" w:eastAsia="宋体" w:ascii="宋体" w:hAnsi="宋体"/>
          <w:color w:val="000000"/>
          <w:sz w:val="24"/>
          <w:szCs w:val="24"/>
        </w:rPr>
        <w:t xml:space="preserve">。雨季长、地下水位高对基础施工和节段拼装构成挑战。多专业穿插施工的环境组织协调不到位，容易出现工序冲突。</w:t>
      </w:r>
    </w:p>
    <w:p w14:paraId="F01FC63D">
      <w:pPr>
        <w:spacing w:line="360" w:lineRule="auto"/>
        <w:ind w:firstLine="480"/>
        <w:rPr>
          <w:rFonts w:hint="eastAsia"/>
          <w:color w:val="000000"/>
          <w:sz w:val="24"/>
        </w:rPr>
      </w:pPr>
      <w:r>
        <w:rPr>
          <w:rFonts w:hint="eastAsia" w:eastAsia="宋体" w:ascii="宋体" w:hAnsi="宋体"/>
          <w:color w:val="000000"/>
          <w:sz w:val="24"/>
          <w:szCs w:val="24"/>
        </w:rPr>
        <w:t>综合以上分析，人员因素和方法因素是导致质量问题的主要原因，分别占问题总数的35%和30%；机械因素、材料因素和环境因素各占15%、12%和8%。这一分布说明，解决质量问题应当从提高人员素质和完善工艺方法两个方面重点入手，同时兼顾机械配套、材料管理和环境协调。</w:t>
      </w:r>
    </w:p>
    <w:p w14:paraId="948F6969">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5  质量管理体系优化对策</w:t>
      </w:r>
    </w:p>
    <w:p w14:paraId="C81FC11A">
      <w:pPr>
        <w:spacing w:line="360" w:lineRule="auto"/>
        <w:ind w:firstLine="480"/>
        <w:rPr>
          <w:rFonts w:hint="eastAsia"/>
          <w:color w:val="000000"/>
          <w:sz w:val="24"/>
        </w:rPr>
      </w:pPr>
      <w:r>
        <w:rPr>
          <w:rFonts w:hint="eastAsia" w:eastAsia="宋体" w:ascii="宋体" w:hAnsi="宋体"/>
          <w:color w:val="000000"/>
          <w:sz w:val="24"/>
          <w:szCs w:val="24"/>
        </w:rPr>
        <w:t>针对第4章识别出的质量问题与成因，项目从组织管理、工艺技术和质量控制手段三个层面系统性地实施了优化。三个层面相互支撑：组织管理解决"谁来管、怎么管"的问题，工艺技术解决"怎么干、干到什么标准"的问题，质量控制手段解决"怎么查、怎么改"的问题。</w:t>
      </w:r>
    </w:p>
    <w:p w14:paraId="C57E261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5．1  组织管理优化</w:t>
      </w:r>
    </w:p>
    <w:p w14:paraId="9202FDA7">
      <w:pPr>
        <w:spacing w:line="360" w:lineRule="auto"/>
        <w:ind w:firstLine="480"/>
        <w:rPr>
          <w:rFonts w:hint="eastAsia"/>
          <w:color w:val="000000"/>
          <w:sz w:val="24"/>
        </w:rPr>
      </w:pPr>
      <w:r>
        <w:rPr>
          <w:rFonts w:hint="eastAsia" w:eastAsia="宋体" w:ascii="宋体" w:hAnsi="宋体"/>
          <w:color w:val="000000"/>
          <w:sz w:val="24"/>
          <w:szCs w:val="24"/>
        </w:rPr>
        <w:t>组织管理优化的关键是把质量责任落实到具体的岗位和环节，使每一道工序都有明确的责任人和可追溯的记录。</w:t>
      </w:r>
    </w:p>
    <w:p w14:paraId="D9746E0B">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5.1.1  建立构件批次追溯制度</w:t>
      </w:r>
    </w:p>
    <w:p w14:paraId="6AF4BAB3">
      <w:pPr>
        <w:spacing w:line="360" w:lineRule="auto"/>
        <w:ind w:firstLine="480"/>
        <w:rPr>
          <w:rFonts w:hint="eastAsia"/>
          <w:color w:val="000000"/>
          <w:sz w:val="24"/>
        </w:rPr>
      </w:pPr>
      <w:r>
        <w:rPr>
          <w:rFonts w:hint="eastAsia" w:eastAsia="宋体" w:ascii="宋体" w:hAnsi="宋体"/>
          <w:color w:val="000000"/>
          <w:sz w:val="24"/>
          <w:szCs w:val="24"/>
        </w:rPr>
        <w:t>项目为每一片预制构件建立了唯一的编码标识，编码与构件的生产批次、生产日期、检验记录、运输车辆、到场时间、存放位置和最终安装部位一一对应。构件在生产阶段即完成编码标记，运输和吊装环节的每一次交接都要进行扫码记录，现场安装时再次扫码确认安装部位。这一制度的价值在于：一旦某个部位出现质量问题，可以在最短时间内追溯到该构件的原材料批次、生产工艺参数、检验人员和运输安装环节的所有记录，从而快速定位问题根源，避免同类问题重复发生。</w:t>
      </w:r>
    </w:p>
    <w:p w14:paraId="E38C6FB4">
      <w:pPr>
        <w:spacing w:line="360" w:lineRule="auto"/>
        <w:ind w:firstLine="480"/>
        <w:rPr>
          <w:rFonts w:hint="eastAsia"/>
          <w:color w:val="000000"/>
          <w:sz w:val="24"/>
        </w:rPr>
      </w:pPr>
      <w:r>
        <w:rPr>
          <w:rFonts w:hint="eastAsia" w:eastAsia="宋体" w:ascii="宋体" w:hAnsi="宋体"/>
          <w:color w:val="000000"/>
          <w:sz w:val="24"/>
          <w:szCs w:val="24"/>
        </w:rPr>
        <w:t>批次追溯制度的实施需要信息化的支撑。项目借助BIM模型与二维码技术，把构件的编码信息与模型中的构件一一关联，现场管理人员通过移动设备扫码即可查看构件的完整信息，大幅提高了追溯效率。</w:t>
      </w:r>
    </w:p>
    <w:p w14:paraId="D3D00CBD">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5.1.2  推行驻厂监理制度</w:t>
      </w:r>
    </w:p>
    <w:p w14:paraId="FD3EB6E4">
      <w:pPr>
        <w:spacing w:line="360" w:lineRule="auto"/>
        <w:ind w:firstLine="480"/>
        <w:rPr>
          <w:rFonts w:hint="eastAsia"/>
          <w:color w:val="000000"/>
          <w:sz w:val="24"/>
        </w:rPr>
      </w:pPr>
      <w:r>
        <w:rPr>
          <w:rFonts w:hint="eastAsia" w:eastAsia="宋体" w:ascii="宋体" w:hAnsi="宋体"/>
          <w:color w:val="000000"/>
          <w:sz w:val="24"/>
          <w:szCs w:val="24"/>
        </w:rPr>
        <w:t>传统的监理模式是构件到场后才进行验收，此时质量问题已经形成，只能被动处理。项目改为推行驻厂监理制度，由监理单位派员驻守构件供应厂，对关键工序实行见证取样和隐蔽工程验收。</w:t>
      </w:r>
    </w:p>
    <w:p w14:paraId="088F7DF5">
      <w:pPr>
        <w:spacing w:line="360" w:lineRule="auto"/>
        <w:ind w:firstLine="480"/>
        <w:rPr>
          <w:rFonts w:hint="eastAsia"/>
          <w:color w:val="000000"/>
          <w:sz w:val="24"/>
        </w:rPr>
      </w:pPr>
      <w:r>
        <w:rPr>
          <w:rFonts w:hint="eastAsia" w:eastAsia="宋体" w:ascii="宋体" w:hAnsi="宋体"/>
          <w:color w:val="000000"/>
          <w:sz w:val="24"/>
          <w:szCs w:val="24"/>
        </w:rPr>
        <w:t>驻厂监理的重点工作包括：原材料进厂检验的见证、钢筋绑扎和预埋件安装的隐蔽验收、混凝土浇筑过程的旁站、构件出厂前的尺寸检查和外观检查。通过把质量控制关口前移到工厂，大部分质量问题在构件出厂前即被发现和处理，避免了不合格构件运到现场造成的工期损失和返工成本。</w:t>
      </w:r>
    </w:p>
    <w:p w14:paraId="587A2B31">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5.1.3  完善工序交接与举牌验收制度</w:t>
      </w:r>
    </w:p>
    <w:p w14:paraId="F7D99094">
      <w:pPr>
        <w:spacing w:line="360" w:lineRule="auto"/>
        <w:ind w:firstLine="480"/>
        <w:rPr>
          <w:rFonts w:hint="eastAsia"/>
          <w:color w:val="000000"/>
          <w:sz w:val="24"/>
        </w:rPr>
      </w:pPr>
      <w:r>
        <w:rPr>
          <w:rFonts w:hint="eastAsia" w:eastAsia="宋体" w:ascii="宋体" w:hAnsi="宋体"/>
          <w:color w:val="000000"/>
          <w:sz w:val="24"/>
          <w:szCs w:val="24"/>
        </w:rPr>
        <w:t>项目建立了严格的工序交接制度，每一道工序完成后必须经过自检、专检和交接检三道关卡，质量记录签字齐全后方可进入下一道工序。对节段拼装、防水卷材铺设、灌浆套筒连接等关键工序，项目实行举牌验收制度：验收时在验收部位设置标识牌，牌上注明工序名称、验收标准、验收结果、验收人员和验收日期，并拍摄留存影像资料。</w:t>
      </w:r>
    </w:p>
    <w:p w14:paraId="E84753D2">
      <w:pPr>
        <w:spacing w:line="360" w:lineRule="auto"/>
        <w:ind w:firstLine="480"/>
        <w:rPr>
          <w:rFonts w:hint="eastAsia"/>
          <w:color w:val="000000"/>
          <w:sz w:val="24"/>
        </w:rPr>
      </w:pPr>
      <w:r>
        <w:rPr>
          <w:rFonts w:hint="eastAsia" w:eastAsia="宋体" w:ascii="宋体" w:hAnsi="宋体"/>
          <w:color w:val="000000"/>
          <w:sz w:val="24"/>
          <w:szCs w:val="24"/>
        </w:rPr>
        <w:t>举牌验收制度的价值在于把抽象的"验收合格"转化为具体的、可见的、可追溯的记录，既强化了验收人员的责任意识，也为后续的质量追溯提供了直观依据。</w:t>
      </w:r>
    </w:p>
    <w:p w14:paraId="C1ED3610">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5．2  工艺技术优化</w:t>
      </w:r>
    </w:p>
    <w:p w14:paraId="D9C7B4F9">
      <w:pPr>
        <w:spacing w:line="360" w:lineRule="auto"/>
        <w:ind w:firstLine="480"/>
        <w:rPr>
          <w:rFonts w:hint="eastAsia"/>
          <w:color w:val="000000"/>
          <w:sz w:val="24"/>
        </w:rPr>
      </w:pPr>
      <w:r>
        <w:rPr>
          <w:rFonts w:hint="eastAsia" w:eastAsia="宋体" w:ascii="宋体" w:hAnsi="宋体"/>
          <w:color w:val="000000"/>
          <w:sz w:val="24"/>
          <w:szCs w:val="24"/>
        </w:rPr>
        <w:t>工艺技术优化是项目质量提升的核心手段，重点围绕"BIM+三维扫描"和新型防水工艺两条主线展开。</w:t>
      </w:r>
    </w:p>
    <w:p w14:paraId="DE4C0DDC">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5.2.1  BIM与三维扫描相结合的偏差动态修正工艺</w:t>
      </w:r>
    </w:p>
    <w:p w14:paraId="D318D23C">
      <w:pPr>
        <w:spacing w:line="360" w:lineRule="auto"/>
        <w:ind w:firstLine="480"/>
        <w:rPr>
          <w:rFonts w:hint="eastAsia"/>
          <w:color w:val="000000"/>
          <w:sz w:val="24"/>
        </w:rPr>
      </w:pPr>
      <w:r>
        <w:rPr>
          <w:rFonts w:hint="eastAsia" w:eastAsia="宋体" w:ascii="宋体" w:hAnsi="宋体"/>
          <w:color w:val="000000"/>
          <w:sz w:val="24"/>
          <w:szCs w:val="24"/>
        </w:rPr>
        <w:t>"BIM+三维扫描施工偏差动态修正工艺"是项目的重要技术成果。其工作原理是：在节段预制阶段即建立BIM模型，完整记录每一节段的几何参数和预埋件位置；现场拼装时，使用三维扫描设备对节段实际就位状态进行测量，将扫描点云数据与BIM模型进行对比，自动计算偏差值；偏差值超过预警阈值时系统自动报警，并提示作业人员进行动态调整；调整后再次扫描确认，直至偏差控制在允许范围内。</w:t>
      </w:r>
    </w:p>
    <w:p w14:paraId="5179A945">
      <w:pPr>
        <w:spacing w:line="360" w:lineRule="auto"/>
        <w:ind w:firstLine="480"/>
        <w:rPr>
          <w:rFonts w:hint="eastAsia"/>
          <w:color w:val="000000"/>
          <w:sz w:val="24"/>
        </w:rPr>
      </w:pPr>
      <w:r>
        <w:rPr>
          <w:rFonts w:hint="eastAsia" w:eastAsia="宋体" w:ascii="宋体" w:hAnsi="宋体"/>
          <w:color w:val="000000"/>
          <w:sz w:val="24"/>
          <w:szCs w:val="24"/>
        </w:rPr>
        <w:t>这一工艺相比传统的全站仪测量有三个明显优势：一是测量效率高，一次扫描即可获取构件表面的大量点云数据，避免了逐点测量的繁琐；二是数据客观性强，扫描数据直接反映构件的实际状态，减少了人工读数的误差；三是可追溯性好，每一次扫描的数据都被保存下来，形成完整的质量记录。该工艺的应用显著提高了节段拼装精度，有效减少了因累计偏差导致的接缝偏差超限问题。</w:t>
      </w:r>
    </w:p>
    <w:p w14:paraId="92A9601D">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5.2.2  预铺反粘与自愈合高分子防水卷材复合工艺</w:t>
      </w:r>
    </w:p>
    <w:p w14:paraId="E8F9D94F">
      <w:pPr>
        <w:spacing w:line="360" w:lineRule="auto"/>
        <w:ind w:firstLine="480"/>
        <w:rPr>
          <w:rFonts w:hint="eastAsia"/>
          <w:color w:val="000000"/>
          <w:sz w:val="24"/>
        </w:rPr>
      </w:pPr>
      <w:r>
        <w:rPr>
          <w:rFonts w:hint="eastAsia" w:eastAsia="宋体" w:ascii="宋体" w:hAnsi="宋体"/>
          <w:color w:val="000000"/>
          <w:sz w:val="24"/>
          <w:szCs w:val="24"/>
        </w:rPr>
        <w:t>防水质量是装配式综合管廊的生命线。项目创新性地采用了预铺反粘与自愈合高分子防水卷材复合工艺，作为国内首例大规模采用新型防水材料的综合管廊，为行业提供了可借鉴的实践经验。</w:t>
      </w:r>
    </w:p>
    <w:p w14:paraId="06B659DC">
      <w:pPr>
        <w:spacing w:line="360" w:lineRule="auto"/>
        <w:ind w:firstLine="480"/>
        <w:rPr>
          <w:rFonts w:hint="eastAsia"/>
          <w:color w:val="000000"/>
          <w:sz w:val="24"/>
        </w:rPr>
      </w:pPr>
      <w:r>
        <w:rPr>
          <w:rFonts w:hint="eastAsia" w:eastAsia="宋体" w:ascii="宋体" w:hAnsi="宋体"/>
          <w:color w:val="000000"/>
          <w:sz w:val="24"/>
          <w:szCs w:val="24"/>
        </w:rPr>
        <w:t>预铺反粘卷材铺设在节段接缝位置，其特点是卷材与后浇混凝土能够形成可靠的粘结，避免了传统防水做法中卷材与基层粘结不良、出现窜水通道的常见问题。自愈合高分子防水卷材则用于细部节点和异形部位，其材料特性使其在出现局部破损时能够通过自身的遇水膨胀或结晶作用自动修复细微裂缝，提高了防水的可靠性。两种材料复合使用，形成了"大面可靠粘结+细部自动修复"的双重防水体系。</w:t>
      </w:r>
    </w:p>
    <w:p w14:paraId="577D01C2">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5.2.3  构件拆分与吊装工艺优化</w:t>
      </w:r>
    </w:p>
    <w:p w14:paraId="6210A7BB">
      <w:pPr>
        <w:spacing w:line="360" w:lineRule="auto"/>
        <w:ind w:firstLine="480"/>
        <w:rPr>
          <w:rFonts w:hint="eastAsia"/>
          <w:color w:val="000000"/>
          <w:sz w:val="24"/>
        </w:rPr>
      </w:pPr>
      <w:r>
        <w:rPr>
          <w:rFonts w:hint="eastAsia" w:eastAsia="宋体" w:ascii="宋体" w:hAnsi="宋体"/>
          <w:color w:val="000000"/>
          <w:sz w:val="24"/>
          <w:szCs w:val="24"/>
        </w:rPr>
        <w:t>项目对6 m标准模数的构件拆分方案进行了优化，在综合考虑工厂生产能力、运输车辆规格、现场吊装设备能力和接缝防水可靠性等因素的基础上，确定了既便于批量化生产又便于现场作业的节段长度。同时，项目采用专用吊具替代传统的钢丝绳吊装，专用吊具能够保证构件在起吊过程中的受力均匀，减少构件边角的损伤，同时提高吊装就位的精度。</w:t>
      </w:r>
    </w:p>
    <w:p w14:paraId="EB4F58E0">
      <w:pPr>
        <w:spacing w:line="360" w:lineRule="auto"/>
        <w:ind w:firstLine="480"/>
        <w:rPr>
          <w:rFonts w:hint="eastAsia"/>
          <w:color w:val="000000"/>
          <w:sz w:val="24"/>
        </w:rPr>
      </w:pPr>
      <w:r>
        <w:rPr>
          <w:rFonts w:hint="eastAsia" w:eastAsia="宋体" w:ascii="宋体" w:hAnsi="宋体"/>
          <w:color w:val="000000"/>
          <w:sz w:val="24"/>
          <w:szCs w:val="24"/>
        </w:rPr>
        <w:t>在灌浆工艺方面，项目改进了灌浆料的配合比，优化了灌浆压力和灌注顺序，并增加了排气孔的设置，有效解决了灌浆不饱满和排气不畅的问题。</w:t>
      </w:r>
    </w:p>
    <w:p w14:paraId="9B7F08AD">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5.2.6  环境因素对施工质量的影响与应对</w:t>
      </w:r>
    </w:p>
    <w:p w14:paraId="D77E9B0F">
      <w:pPr>
        <w:spacing w:line="360" w:lineRule="auto"/>
        <w:ind w:firstLine="480"/>
        <w:rPr>
          <w:rFonts w:hint="eastAsia"/>
          <w:color w:val="000000"/>
          <w:sz w:val="24"/>
        </w:rPr>
      </w:pPr>
      <w:r>
        <w:rPr>
          <w:rFonts w:hint="eastAsia" w:eastAsia="宋体" w:ascii="宋体" w:hAnsi="宋体"/>
          <w:color w:val="000000"/>
          <w:sz w:val="24"/>
          <w:szCs w:val="24"/>
        </w:rPr>
        <w:t>环境因素是装配式施工中不可忽视的变量，主要包括温度、湿度、降雨和地下水位等。温度方面，高温会加速混凝土坍落度损失、加大塑性收缩裂缝风险，低温则会影响混凝土的强度增长和灌浆料的固化，需要采取相应的温控措施。湿度方面，干燥环境会加快混凝土表面失水，导致表面开裂，需要加强保湿养护。</w:t>
      </w:r>
    </w:p>
    <w:p w14:paraId="BB9094BC">
      <w:pPr>
        <w:spacing w:line="360" w:lineRule="auto"/>
        <w:ind w:firstLine="480"/>
        <w:rPr>
          <w:rFonts w:hint="eastAsia"/>
          <w:color w:val="000000"/>
          <w:sz w:val="24"/>
        </w:rPr>
      </w:pPr>
      <w:r>
        <w:rPr>
          <w:rFonts w:hint="eastAsia" w:eastAsia="宋体" w:ascii="宋体" w:hAnsi="宋体"/>
          <w:color w:val="000000"/>
          <w:sz w:val="24"/>
          <w:szCs w:val="24"/>
        </w:rPr>
        <w:t>降雨是露天施工的主要干扰因素。综合管廊多为明挖施工，雨季施工时基坑内易积水，影响拼装作业和质量。对此，需要提前做好基坑排水和防雨覆盖措施，并合理安排施工计划，尽量避免在雨天进行关键工序的施工。</w:t>
      </w:r>
    </w:p>
    <w:p w14:paraId="425F5F75">
      <w:pPr>
        <w:spacing w:line="360" w:lineRule="auto"/>
        <w:ind w:firstLine="480"/>
        <w:rPr>
          <w:rFonts w:hint="eastAsia"/>
          <w:color w:val="000000"/>
          <w:sz w:val="24"/>
        </w:rPr>
      </w:pPr>
      <w:r>
        <w:rPr>
          <w:rFonts w:hint="eastAsia" w:eastAsia="宋体" w:ascii="宋体" w:hAnsi="宋体"/>
          <w:color w:val="000000"/>
          <w:sz w:val="24"/>
          <w:szCs w:val="24"/>
        </w:rPr>
        <w:t>地下水位高是本项目面临的突出困难。地下水会对基坑稳定性产生影响，也可能影响节段接缝的防水效果。施工中通常采用降水措施降低地下水位，并在基坑开挖和管廊拼装过程中加强水位监测。对于防水施工，需要确保作业面干燥，避免在潮湿或渗水条件下施工，影响防水材料的粘结效果。</w:t>
      </w:r>
    </w:p>
    <w:p w14:paraId="AA02B426">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5．3  质量控制手段优化</w:t>
      </w:r>
    </w:p>
    <w:p w14:paraId="105DB084">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5.3.1  建设数字化质量管控平台</w:t>
      </w:r>
    </w:p>
    <w:p w14:paraId="7A8B26A1">
      <w:pPr>
        <w:spacing w:line="360" w:lineRule="auto"/>
        <w:ind w:firstLine="480"/>
        <w:rPr>
          <w:rFonts w:hint="eastAsia"/>
          <w:color w:val="000000"/>
          <w:sz w:val="24"/>
        </w:rPr>
      </w:pPr>
      <w:r>
        <w:rPr>
          <w:rFonts w:hint="eastAsia" w:eastAsia="宋体" w:ascii="宋体" w:hAnsi="宋体"/>
          <w:color w:val="000000"/>
          <w:sz w:val="24"/>
          <w:szCs w:val="24"/>
        </w:rPr>
        <w:t>项目基于BIM模型和三维扫描数据构建了项目级的质量管理平台，所有质量记录、检查数据、整改通知和复检结果都在平台上闭环流转。质量问题的发现、派单、整改、复检、关闭形成完整的闭环，每一条记录都有时间戳和责任人，实现了质量管理的可追溯和可视化。</w:t>
      </w:r>
    </w:p>
    <w:p w14:paraId="E1B051A8">
      <w:pPr>
        <w:spacing w:line="360" w:lineRule="auto"/>
        <w:ind w:firstLine="480"/>
        <w:rPr>
          <w:rFonts w:hint="eastAsia"/>
          <w:color w:val="000000"/>
          <w:sz w:val="24"/>
        </w:rPr>
      </w:pPr>
      <w:r>
        <w:rPr>
          <w:rFonts w:hint="eastAsia" w:eastAsia="宋体" w:ascii="宋体" w:hAnsi="宋体"/>
          <w:color w:val="000000"/>
          <w:sz w:val="24"/>
          <w:szCs w:val="24"/>
        </w:rPr>
        <w:t>数字化平台的另一个价值是数据分析功能。平台能够对积累的质量数据进行统计分析，识别出质量问题的高发部位、高发时段和主要原因，为质量改进提供数据支撑，使质量管理工作从经验驱动转向数据驱动。</w:t>
      </w:r>
      <w:r>
        <w:rPr>
          <w:rFonts w:hint="eastAsia" w:eastAsia="宋体" w:ascii="宋体" w:hAnsi="宋体"/>
          <w:color w:val="000000"/>
          <w:sz w:val="24"/>
          <w:szCs w:val="24"/>
        </w:rPr>
        <w:t xml:space="preserve">相关研究表明，BIM在施工项目管理中的应用能够显著提升质量管理的精细化水平</w:t>
      </w:r>
      <w:r>
        <w:rPr>
          <w:rFonts w:hint="eastAsia" w:eastAsia="宋体" w:ascii="宋体" w:hAnsi="宋体"/>
          <w:color w:val="000000"/>
          <w:sz w:val="24"/>
          <w:szCs w:val="24"/>
          <w:vertAlign w:val="superscript"/>
        </w:rPr>
        <w:t xml:space="preserve">[12]</w:t>
      </w:r>
    </w:p>
    <w:p w14:paraId="98C5169F">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5.3.2  关键工序三检制与举牌验收</w:t>
      </w:r>
    </w:p>
    <w:p w14:paraId="D44ADDA1">
      <w:pPr>
        <w:spacing w:line="360" w:lineRule="auto"/>
        <w:ind w:firstLine="480"/>
        <w:rPr>
          <w:rFonts w:hint="eastAsia"/>
          <w:color w:val="000000"/>
          <w:sz w:val="24"/>
        </w:rPr>
      </w:pPr>
      <w:r>
        <w:rPr>
          <w:rFonts w:hint="eastAsia" w:eastAsia="宋体" w:ascii="宋体" w:hAnsi="宋体"/>
          <w:color w:val="000000"/>
          <w:sz w:val="24"/>
          <w:szCs w:val="24"/>
        </w:rPr>
        <w:t>在5.1.3节工序交接制度的基础上，项目对关键工序进一步强化了"三检制"：作业班组自检、质检员专检、监理验收检，三道检查依次进行，全部合格后方可进入下一道工序。结合举牌验收制度，关键工序的质量控制形成了"人员到位、标准明确、记录完整、影像留存"的闭环。</w:t>
      </w:r>
    </w:p>
    <w:p w14:paraId="020651D0">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5.3.5  人员培训与能力建设</w:t>
      </w:r>
    </w:p>
    <w:p w14:paraId="EFBF6782">
      <w:pPr>
        <w:spacing w:line="360" w:lineRule="auto"/>
        <w:ind w:firstLine="480"/>
        <w:rPr>
          <w:rFonts w:hint="eastAsia"/>
          <w:color w:val="000000"/>
          <w:sz w:val="24"/>
        </w:rPr>
      </w:pPr>
      <w:r>
        <w:rPr>
          <w:rFonts w:hint="eastAsia" w:eastAsia="宋体" w:ascii="宋体" w:hAnsi="宋体"/>
          <w:color w:val="000000"/>
          <w:sz w:val="24"/>
          <w:szCs w:val="24"/>
        </w:rPr>
        <w:t>人员因素是影响装配式施工质量的关键变量，加强人员培训是提升质量管理水平的基础性工作。培训内容应覆盖三个层面：一是质量意识培训，使全体参建人员认识到装配式施工对精度的特殊要求，树立"一次做好"的理念；二是操作技能培训，针对节段吊装、定位调整、灌浆作业、防水施工等关键工序，开展实操培训和考核，确保作业人员掌握正确的操作方法；三是技术交底培训，在每个工序开始前进行技术交底，明确质量标准、控制要点和检验方法。</w:t>
      </w:r>
    </w:p>
    <w:p w14:paraId="0A82C9F7">
      <w:pPr>
        <w:spacing w:line="360" w:lineRule="auto"/>
        <w:ind w:firstLine="480"/>
        <w:rPr>
          <w:rFonts w:hint="eastAsia"/>
          <w:color w:val="000000"/>
          <w:sz w:val="24"/>
        </w:rPr>
      </w:pPr>
      <w:r>
        <w:rPr>
          <w:rFonts w:hint="eastAsia" w:eastAsia="宋体" w:ascii="宋体" w:hAnsi="宋体"/>
          <w:color w:val="000000"/>
          <w:sz w:val="24"/>
          <w:szCs w:val="24"/>
        </w:rPr>
        <w:t>培训方式上，可采用集中授课、现场演示、案例分析和师带徒等多种形式相结合。对于关键岗位人员，应实行持证上岗制度，考核合格后方可独立作业。此外，还应建立培训档案，记录每位人员的培训经历和考核结果，作为岗位安排和绩效评估的依据。</w:t>
      </w:r>
    </w:p>
    <w:p w14:paraId="8AADE3DB">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5.3.3  质量分析与改进的常态化机制</w:t>
      </w:r>
    </w:p>
    <w:p w14:paraId="56611D4F">
      <w:pPr>
        <w:spacing w:line="360" w:lineRule="auto"/>
        <w:ind w:firstLine="480"/>
        <w:rPr>
          <w:rFonts w:hint="eastAsia"/>
          <w:color w:val="000000"/>
          <w:sz w:val="24"/>
        </w:rPr>
      </w:pPr>
      <w:r>
        <w:rPr>
          <w:rFonts w:hint="eastAsia" w:eastAsia="宋体" w:ascii="宋体" w:hAnsi="宋体"/>
          <w:color w:val="000000"/>
          <w:sz w:val="24"/>
          <w:szCs w:val="24"/>
        </w:rPr>
        <w:t>项目建立了定期质量分析会制度，每周召开质量分析会，对近期发生的质量问题分类梳理，找出系统性的薄弱环节，制定改进措施并跟踪落实。质量分析会不仅关注已发生的问题，还通过对质量数据的趋势分析识别潜在的风险点，实现质量问题的早发现、早处置。</w:t>
      </w:r>
    </w:p>
    <w:p w14:paraId="58FF8E59">
      <w:pPr>
        <w:spacing w:line="360" w:lineRule="auto"/>
        <w:ind w:firstLine="480"/>
        <w:rPr>
          <w:rFonts w:hint="eastAsia"/>
          <w:color w:val="000000"/>
          <w:sz w:val="24"/>
        </w:rPr>
      </w:pPr>
      <w:r>
        <w:rPr>
          <w:rFonts w:hint="eastAsia" w:eastAsia="宋体" w:ascii="宋体" w:hAnsi="宋体"/>
          <w:color w:val="000000"/>
          <w:sz w:val="24"/>
          <w:szCs w:val="24"/>
        </w:rPr>
        <w:t>同时，项目还建立了质量改进的激励机制，对提出有效改进建议的班组和个人给予奖励，调动了一线人员参与质量管理的积极性，使质量改进从"要我做"转变为"我要做"。</w:t>
      </w:r>
    </w:p>
    <w:p w14:paraId="BD30F580">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5.3.4  质量改进效果的评估方法</w:t>
      </w:r>
    </w:p>
    <w:p w14:paraId="C77BC9BB">
      <w:pPr>
        <w:spacing w:line="360" w:lineRule="auto"/>
        <w:ind w:firstLine="480"/>
        <w:rPr>
          <w:rFonts w:hint="eastAsia"/>
          <w:color w:val="000000"/>
          <w:sz w:val="24"/>
        </w:rPr>
      </w:pPr>
      <w:r>
        <w:rPr>
          <w:rFonts w:hint="eastAsia" w:eastAsia="宋体" w:ascii="宋体" w:hAnsi="宋体"/>
          <w:color w:val="000000"/>
          <w:sz w:val="24"/>
          <w:szCs w:val="24"/>
        </w:rPr>
        <w:t>优化对策实施后，需要对其效果进行客观评估，以判断改进措施是否有效。常用的评估方法包括对比分析法、统计过程控制法和质量成本分析法等。对比分析法是将优化前后的质量指标进行对比，如构件进场一次验收合格率、节段拼装偏差平均值、设计变更次数等，通过指标的改善幅度评价优化效果，是最直观的评估方法。</w:t>
      </w:r>
    </w:p>
    <w:p w14:paraId="25A0793C">
      <w:pPr>
        <w:spacing w:line="360" w:lineRule="auto"/>
        <w:ind w:firstLine="480"/>
        <w:rPr>
          <w:rFonts w:hint="eastAsia"/>
          <w:color w:val="000000"/>
          <w:sz w:val="24"/>
        </w:rPr>
      </w:pPr>
      <w:r>
        <w:rPr>
          <w:rFonts w:hint="eastAsia" w:eastAsia="宋体" w:ascii="宋体" w:hAnsi="宋体"/>
          <w:color w:val="000000"/>
          <w:sz w:val="24"/>
          <w:szCs w:val="24"/>
        </w:rPr>
        <w:t>统计过程控制法则通过控制图对质量指标的波动情况进行监控，判断施工过程是否处于受控状态。当质量指标在控制限内随机波动时，表明过程稳定；当出现连续上升或下降趋势、或超出控制限时，则表明存在异常因素，需要及时分析原因并采取纠正措施。这种方法能够实现质量问题的预警，比事后检查更为主动。</w:t>
      </w:r>
    </w:p>
    <w:p w14:paraId="4F47D465">
      <w:pPr>
        <w:spacing w:line="360" w:lineRule="auto"/>
        <w:ind w:firstLine="480"/>
        <w:rPr>
          <w:rFonts w:hint="eastAsia"/>
          <w:color w:val="000000"/>
          <w:sz w:val="24"/>
        </w:rPr>
      </w:pPr>
      <w:r>
        <w:rPr>
          <w:rFonts w:hint="eastAsia" w:eastAsia="宋体" w:ascii="宋体" w:hAnsi="宋体"/>
          <w:color w:val="000000"/>
          <w:sz w:val="24"/>
          <w:szCs w:val="24"/>
        </w:rPr>
        <w:t>质量成本分析法从经济角度评价质量管理的成效，将质量成本划分为预防成本、鉴定成本、内部损失成本和外部损失成本四类。优化措施通常会增加一定的预防和鉴定成本，但能够显著降低返工、报废等内部损失成本。通过分析四类成本的变化趋势，可以判断质量管理投入是否合理，为后续的质量改进决策提供依据。</w:t>
      </w:r>
    </w:p>
    <w:p w14:paraId="994F2FB3">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5.3.6  质量问题的整改闭环管理</w:t>
      </w:r>
    </w:p>
    <w:p w14:paraId="4369AC76">
      <w:pPr>
        <w:spacing w:line="360" w:lineRule="auto"/>
        <w:ind w:firstLine="480"/>
        <w:rPr>
          <w:rFonts w:hint="eastAsia"/>
          <w:color w:val="000000"/>
          <w:sz w:val="24"/>
        </w:rPr>
      </w:pPr>
      <w:r>
        <w:rPr>
          <w:rFonts w:hint="eastAsia" w:eastAsia="宋体" w:ascii="宋体" w:hAnsi="宋体"/>
          <w:color w:val="000000"/>
          <w:sz w:val="24"/>
          <w:szCs w:val="24"/>
        </w:rPr>
        <w:t>发现质量问题只是第一步，关键在于问题的整改是否形成闭环。项目建立了质量问题的整改闭环管理机制，具体流程为：问题发现—登记建档—原因分析—制定整改措施—实施整改—复检验证—关闭归档。每一个环节都明确责任人和完成时限，确保问题不遗漏、不拖延。</w:t>
      </w:r>
    </w:p>
    <w:p w14:paraId="0F90F70D">
      <w:pPr>
        <w:spacing w:line="360" w:lineRule="auto"/>
        <w:ind w:firstLine="480"/>
        <w:rPr>
          <w:rFonts w:hint="eastAsia"/>
          <w:color w:val="000000"/>
          <w:sz w:val="24"/>
        </w:rPr>
      </w:pPr>
      <w:r>
        <w:rPr>
          <w:rFonts w:hint="eastAsia" w:eastAsia="宋体" w:ascii="宋体" w:hAnsi="宋体"/>
          <w:color w:val="000000"/>
          <w:sz w:val="24"/>
          <w:szCs w:val="24"/>
        </w:rPr>
        <w:t>在问题登记环节，对发现的质量问题进行详细记录，包括问题部位、问题描述、发现时间和发现人等信息，形成问题台账。在原因分析环节，组织相关技术人员对问题产生的原因进行分析，区分是人员操作、工艺方法、材料质量还是环境因素所致，为制定整改措施提供依据。在整改实施环节，按照整改措施组织整改，整改过程应有记录，关键部位应留存影像资料。</w:t>
      </w:r>
    </w:p>
    <w:p w14:paraId="AE44C27D">
      <w:pPr>
        <w:spacing w:line="360" w:lineRule="auto"/>
        <w:ind w:firstLine="480"/>
        <w:rPr>
          <w:rFonts w:hint="eastAsia"/>
          <w:color w:val="000000"/>
          <w:sz w:val="24"/>
        </w:rPr>
      </w:pPr>
      <w:r>
        <w:rPr>
          <w:rFonts w:hint="eastAsia" w:eastAsia="宋体" w:ascii="宋体" w:hAnsi="宋体"/>
          <w:color w:val="000000"/>
          <w:sz w:val="24"/>
          <w:szCs w:val="24"/>
        </w:rPr>
        <w:t>在复检验证环节，由质检人员对整改结果进行复检，确认问题已消除或已降至可接受范围。对于复检不合格的，应重新分析原因并再次整改，直至合格。最后，在关闭归档环节，将问题的发现、分析、整改和复检等全过程资料整理归档，形成完整的质量记录，为后续的质量追溯和经验总结提供依据。</w:t>
      </w:r>
    </w:p>
    <w:p w14:paraId="F4ADB23B">
      <w:pPr>
        <w:keepNext/>
        <w:keepLines/>
        <w:spacing w:line="360" w:lineRule="auto"/>
        <w:rPr>
          <w:rFonts w:hint="eastAsia" w:eastAsia="黑体"/>
          <w:color w:val="000000"/>
          <w:sz w:val="24"/>
        </w:rPr>
      </w:pPr>
      <w:r>
        <w:rPr>
          <w:rFonts w:hint="eastAsia" w:eastAsia="黑体" w:ascii="黑体" w:hAnsi="黑体"/>
          <w:color w:val="000000"/>
          <w:sz w:val="24"/>
          <w:szCs w:val="24"/>
        </w:rPr>
        <w:t>5.3.7 持续改进机制的建立</w:t>
      </w:r>
    </w:p>
    <w:p w14:paraId="E3B83225">
      <w:pPr>
        <w:spacing w:line="360" w:lineRule="auto"/>
        <w:ind w:firstLine="480"/>
        <w:rPr>
          <w:rFonts w:hint="eastAsia"/>
          <w:color w:val="000000"/>
          <w:sz w:val="24"/>
        </w:rPr>
      </w:pPr>
      <w:r>
        <w:rPr>
          <w:rFonts w:hint="eastAsia" w:eastAsia="宋体" w:ascii="宋体" w:hAnsi="宋体"/>
          <w:color w:val="000000"/>
          <w:sz w:val="24"/>
          <w:szCs w:val="24"/>
        </w:rPr>
        <w:t>质量管理不是一次性工作，而是需要持续改进的过程。项目在优化措施取得成效的基础上，进一步建立了质量持续改进机制，将"计划—实施—检查—处理"（PDCA）循环应用到质量管理的各个环节。具体做法是：每学期初根据上一阶段的实施情况和新出现的问题，制定质量改进计划；在施工过程中落实各项改进措施；定期对改进效果进行检查和评估；对有效的措施予以标准化并纳入管理制度，对效果不佳的措施则分析原因并转入下一轮改进。</w:t>
      </w:r>
    </w:p>
    <w:p w14:paraId="80381327">
      <w:pPr>
        <w:spacing w:line="360" w:lineRule="auto"/>
        <w:ind w:firstLine="480"/>
        <w:rPr>
          <w:rFonts w:hint="eastAsia"/>
          <w:color w:val="000000"/>
          <w:sz w:val="24"/>
        </w:rPr>
      </w:pPr>
      <w:r>
        <w:rPr>
          <w:rFonts w:hint="eastAsia" w:eastAsia="宋体" w:ascii="宋体" w:hAnsi="宋体"/>
          <w:color w:val="000000"/>
          <w:sz w:val="24"/>
          <w:szCs w:val="24"/>
        </w:rPr>
        <w:t>这种循环往复的改进机制，使质量管理工作能够不断适应项目推进过程中出现的新情况、新问题，避免了"一次性整改、过后又反弹"的现象。同时，项目还将改进过程中形成的经验教训整理成案例库，供后续同类项目参考，实现了知识的积累和传承。</w:t>
      </w:r>
    </w:p>
    <w:p w14:paraId="E2A9009C">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5．4  优化效果</w:t>
      </w:r>
    </w:p>
    <w:p w14:paraId="96D103F4">
      <w:pPr>
        <w:spacing w:line="360" w:lineRule="auto"/>
        <w:ind w:firstLine="480"/>
        <w:rPr>
          <w:rFonts w:hint="eastAsia"/>
          <w:color w:val="000000"/>
          <w:sz w:val="24"/>
        </w:rPr>
      </w:pPr>
      <w:r>
        <w:rPr>
          <w:rFonts w:hint="eastAsia" w:eastAsia="宋体" w:ascii="宋体" w:hAnsi="宋体"/>
          <w:color w:val="000000"/>
          <w:sz w:val="24"/>
          <w:szCs w:val="24"/>
        </w:rPr>
        <w:t>通过上述优化对策的实施，项目质量管理水平得到显著提升，主要技术指标改善明显。</w:t>
      </w:r>
    </w:p>
    <w:p w14:paraId="E03D72B5">
      <w:pPr>
        <w:spacing w:line="360" w:lineRule="auto"/>
        <w:ind w:firstLine="480"/>
        <w:rPr>
          <w:rFonts w:hint="eastAsia"/>
          <w:color w:val="000000"/>
          <w:sz w:val="24"/>
        </w:rPr>
      </w:pPr>
      <w:r>
        <w:rPr>
          <w:rFonts w:hint="eastAsia" w:eastAsia="宋体" w:ascii="宋体" w:hAnsi="宋体"/>
          <w:color w:val="000000"/>
          <w:sz w:val="24"/>
          <w:szCs w:val="24"/>
        </w:rPr>
        <w:t xml:space="preserve">预埋件安装合格率达到100%</w:t>
      </w:r>
      <w:r>
        <w:rPr>
          <w:rFonts w:hint="eastAsia" w:eastAsia="宋体" w:ascii="宋体" w:hAnsi="宋体"/>
          <w:color w:val="000000"/>
          <w:sz w:val="24"/>
          <w:szCs w:val="24"/>
        </w:rPr>
        <w:t xml:space="preserve">。通过严格落实进场检验、批次追溯和举牌验收制度，预埋件安装合格率达到100%。这一指标在国内同类工程中处于领先水平，反映出预埋件环节的质量控制已经形成闭环。</w:t>
      </w:r>
    </w:p>
    <w:p w14:paraId="29D7A0A7">
      <w:pPr>
        <w:spacing w:line="360" w:lineRule="auto"/>
        <w:ind w:firstLine="480"/>
        <w:rPr>
          <w:rFonts w:hint="eastAsia"/>
          <w:color w:val="000000"/>
          <w:sz w:val="24"/>
        </w:rPr>
      </w:pPr>
      <w:r>
        <w:rPr>
          <w:rFonts w:hint="eastAsia" w:eastAsia="宋体" w:ascii="宋体" w:hAnsi="宋体"/>
          <w:color w:val="000000"/>
          <w:sz w:val="24"/>
          <w:szCs w:val="24"/>
        </w:rPr>
        <w:t xml:space="preserve">结构质量实现零缺陷</w:t>
      </w:r>
      <w:r>
        <w:rPr>
          <w:rFonts w:hint="eastAsia" w:eastAsia="宋体" w:ascii="宋体" w:hAnsi="宋体"/>
          <w:color w:val="000000"/>
          <w:sz w:val="24"/>
          <w:szCs w:val="24"/>
        </w:rPr>
        <w:t xml:space="preserve">。项目实现了"结构质量零缺陷"的目标。这一目标的实现不仅体现在竣工验收的一次通过率上，更体现在长期运营阶段的可靠性和耐久性预期上。管廊作为城市地下基础设施，其结构质量的可靠性直接关系到城市运行的安全，零缺陷目标的实现具有重要的现实意义。</w:t>
      </w:r>
    </w:p>
    <w:p w14:paraId="1B8E27BF">
      <w:pPr>
        <w:spacing w:line="360" w:lineRule="auto"/>
        <w:ind w:firstLine="480"/>
        <w:rPr>
          <w:rFonts w:hint="eastAsia"/>
          <w:color w:val="000000"/>
          <w:sz w:val="24"/>
        </w:rPr>
      </w:pPr>
      <w:r>
        <w:rPr>
          <w:rFonts w:hint="eastAsia" w:eastAsia="宋体" w:ascii="宋体" w:hAnsi="宋体"/>
          <w:color w:val="000000"/>
          <w:sz w:val="24"/>
          <w:szCs w:val="24"/>
        </w:rPr>
        <w:t xml:space="preserve">新工艺应用效果显著</w:t>
      </w:r>
      <w:r>
        <w:rPr>
          <w:rFonts w:hint="eastAsia" w:eastAsia="宋体" w:ascii="宋体" w:hAnsi="宋体"/>
          <w:color w:val="000000"/>
          <w:sz w:val="24"/>
          <w:szCs w:val="24"/>
        </w:rPr>
        <w:t xml:space="preserve">。BIM与三维扫描相结合的施工偏差动态修正工艺有效降低了节段拼装的累计偏差；新型防水材料的应用显著提高了节段接缝的防水可靠性。项目作为国内首例大规模采用新型防水材料的综合管廊，积累了可供行业参考的实践经验。</w:t>
      </w:r>
    </w:p>
    <w:p w14:paraId="B8C07E9B">
      <w:pPr>
        <w:spacing w:line="360" w:lineRule="auto"/>
        <w:ind w:firstLine="480"/>
        <w:rPr>
          <w:rFonts w:hint="eastAsia"/>
          <w:color w:val="000000"/>
          <w:sz w:val="24"/>
        </w:rPr>
      </w:pPr>
      <w:r>
        <w:rPr>
          <w:rFonts w:hint="eastAsia" w:eastAsia="宋体" w:ascii="宋体" w:hAnsi="宋体"/>
          <w:color w:val="000000"/>
          <w:sz w:val="24"/>
          <w:szCs w:val="24"/>
        </w:rPr>
        <w:t xml:space="preserve">综合效益明显</w:t>
      </w:r>
      <w:r>
        <w:rPr>
          <w:rFonts w:hint="eastAsia" w:eastAsia="宋体" w:ascii="宋体" w:hAnsi="宋体"/>
          <w:color w:val="000000"/>
          <w:sz w:val="24"/>
          <w:szCs w:val="24"/>
        </w:rPr>
        <w:t xml:space="preserve">。质量问题的减少降低了返工成本和工期延误成本；新工艺的应用提高了施工效率；项目作为全国最大装配式管廊的成功案例，为行业树立了可参考的样板，具有良好的社会效益。</w:t>
      </w:r>
    </w:p>
    <w:p w14:paraId="FF41FAB0">
      <w:pPr>
        <w:spacing w:line="360" w:lineRule="auto"/>
        <w:ind w:firstLine="480"/>
        <w:rPr>
          <w:rFonts w:hint="eastAsia"/>
          <w:color w:val="000000"/>
          <w:sz w:val="24"/>
        </w:rPr>
      </w:pPr>
      <w:r>
        <w:rPr>
          <w:rFonts w:hint="eastAsia" w:eastAsia="宋体" w:ascii="宋体" w:hAnsi="宋体"/>
          <w:color w:val="000000"/>
          <w:sz w:val="24"/>
          <w:szCs w:val="24"/>
        </w:rPr>
        <w:t>图5–1给出了上述优化对策的整体框架。</w:t>
      </w:r>
    </w:p>
    <w:p w14:paraId="C089F16F">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3226789"/>
            <wp:docPr id="1" name="Picture 1"/>
            <wp:cNvGraphicFramePr>
              <a:graphicFrameLocks noChangeAspect="1"/>
            </wp:cNvGraphicFramePr>
            <a:graphic>
              <a:graphicData uri="http://schemas.openxmlformats.org/drawingml/2006/picture">
                <pic:pic>
                  <pic:nvPicPr>
                    <pic:cNvPr id="0" name="fig5_1.png"/>
                    <pic:cNvPicPr/>
                  </pic:nvPicPr>
                  <pic:blipFill>
                    <a:blip r:embed="rId9"/>
                    <a:stretch>
                      <a:fillRect/>
                    </a:stretch>
                  </pic:blipFill>
                  <pic:spPr>
                    <a:xfrm>
                      <a:off x="0" y="0"/>
                      <a:ext cx="4680000" cy="3226789"/>
                    </a:xfrm>
                    <a:prstGeom prst="rect"/>
                  </pic:spPr>
                </pic:pic>
              </a:graphicData>
            </a:graphic>
          </wp:inline>
        </w:drawing>
      </w:r>
    </w:p>
    <w:p w14:paraId="E5A286F4">
      <w:pPr>
        <w:keepLines/>
        <w:spacing w:line="440" w:lineRule="exact"/>
        <w:ind w:firstLine="0"/>
        <w:jc w:val="center"/>
        <w:rPr>
          <w:rFonts w:hint="eastAsia"/>
          <w:color w:val="000000"/>
          <w:szCs w:val="21"/>
        </w:rPr>
      </w:pPr>
      <w:r>
        <w:rPr>
          <w:rFonts w:hint="eastAsia" w:eastAsia="宋体" w:ascii="宋体" w:hAnsi="宋体"/>
          <w:color w:val="000000"/>
          <w:sz w:val="21"/>
          <w:szCs w:val="21"/>
        </w:rPr>
        <w:t>图5–1  装配式综合管廊施工质量管理优化对策框架</w:t>
      </w:r>
    </w:p>
    <w:p w14:paraId="00E19450">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6  结论与展望</w:t>
      </w:r>
    </w:p>
    <w:p w14:paraId="D7EA697C">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6．1  主要结论</w:t>
      </w:r>
    </w:p>
    <w:p w14:paraId="7C062AE9">
      <w:pPr>
        <w:spacing w:line="360" w:lineRule="auto"/>
        <w:ind w:firstLine="480"/>
        <w:rPr>
          <w:rFonts w:hint="eastAsia"/>
          <w:color w:val="000000"/>
          <w:sz w:val="24"/>
        </w:rPr>
      </w:pPr>
      <w:r>
        <w:rPr>
          <w:rFonts w:hint="eastAsia" w:eastAsia="宋体" w:ascii="宋体" w:hAnsi="宋体"/>
          <w:color w:val="000000"/>
          <w:sz w:val="24"/>
          <w:szCs w:val="24"/>
        </w:rPr>
        <w:t>通过对绵阳综合管廊项目装配式施工质量管理实践的分析，可以得出以下几点认识。</w:t>
      </w:r>
    </w:p>
    <w:p w14:paraId="85AD2777">
      <w:pPr>
        <w:spacing w:line="360" w:lineRule="auto"/>
        <w:ind w:firstLine="480"/>
        <w:rPr>
          <w:rFonts w:hint="eastAsia"/>
          <w:color w:val="000000"/>
          <w:sz w:val="24"/>
        </w:rPr>
      </w:pPr>
      <w:r>
        <w:rPr>
          <w:rFonts w:hint="eastAsia" w:eastAsia="宋体" w:ascii="宋体" w:hAnsi="宋体"/>
          <w:color w:val="000000"/>
          <w:sz w:val="24"/>
          <w:szCs w:val="24"/>
        </w:rPr>
        <w:t>第一，装配式综合管廊的质量管理应当把控制重心前移到构件的生产和出厂验收环节，把现场工作集中到吊装、拼装和节点处理上。这一思路与传统现浇工程的事后修补思路有本质区别，是装配式工程质量管理的基本特征。驻厂监理制度和批次追溯制度是实现这一前移的有效手段。</w:t>
      </w:r>
    </w:p>
    <w:p w14:paraId="E087574E">
      <w:pPr>
        <w:spacing w:line="360" w:lineRule="auto"/>
        <w:ind w:firstLine="480"/>
        <w:rPr>
          <w:rFonts w:hint="eastAsia"/>
          <w:color w:val="000000"/>
          <w:sz w:val="24"/>
        </w:rPr>
      </w:pPr>
      <w:r>
        <w:rPr>
          <w:rFonts w:hint="eastAsia" w:eastAsia="宋体" w:ascii="宋体" w:hAnsi="宋体"/>
          <w:color w:val="000000"/>
          <w:sz w:val="24"/>
          <w:szCs w:val="24"/>
        </w:rPr>
        <w:t>第二，"人、机、料、法、环"五要素分析法对装配式综合管廊的质量问题归因是适用的，本案例中人员因素和方法因素是导致质量问题的主要原因，机械、材料和环境因素为次要原因。这一结论对类似工程的质量改进具有直接参考价值。</w:t>
      </w:r>
    </w:p>
    <w:p w14:paraId="39CADC05">
      <w:pPr>
        <w:spacing w:line="360" w:lineRule="auto"/>
        <w:ind w:firstLine="480"/>
        <w:rPr>
          <w:rFonts w:hint="eastAsia"/>
          <w:color w:val="000000"/>
          <w:sz w:val="24"/>
        </w:rPr>
      </w:pPr>
      <w:r>
        <w:rPr>
          <w:rFonts w:hint="eastAsia" w:eastAsia="宋体" w:ascii="宋体" w:hAnsi="宋体"/>
          <w:color w:val="000000"/>
          <w:sz w:val="24"/>
          <w:szCs w:val="24"/>
        </w:rPr>
        <w:t>第三，BIM与三维扫描相结合的施工偏差动态修正工艺能够有效降低节段拼装的累计偏差，是大型装配式管廊工程应当重点推广的工艺。预铺反粘与自愈合高分子防水卷材复合工艺为节段接缝防水提供了新的解决方案，其工程应用经验值得在行业内推广。</w:t>
      </w:r>
    </w:p>
    <w:p w14:paraId="4FE7AD93">
      <w:pPr>
        <w:spacing w:line="360" w:lineRule="auto"/>
        <w:ind w:firstLine="480"/>
        <w:rPr>
          <w:rFonts w:hint="eastAsia"/>
          <w:color w:val="000000"/>
          <w:sz w:val="24"/>
        </w:rPr>
      </w:pPr>
      <w:r>
        <w:rPr>
          <w:rFonts w:hint="eastAsia" w:eastAsia="宋体" w:ascii="宋体" w:hAnsi="宋体"/>
          <w:color w:val="000000"/>
          <w:sz w:val="24"/>
          <w:szCs w:val="24"/>
        </w:rPr>
        <w:t>第四，组织管理、工艺技术和质量控制手段三个层面的协同优化是装配式工程质量管理提升的有效路径，单纯依靠某一方面的努力难以达到理想效果。项目的成功实践表明，只有把制度、技术和工具三者结合起来，才能真正实现质量的可控和可持续改进。</w:t>
      </w:r>
    </w:p>
    <w:p w14:paraId="1DB492D8">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6．2  展望</w:t>
      </w:r>
    </w:p>
    <w:p w14:paraId="CB306DCC">
      <w:pPr>
        <w:spacing w:line="360" w:lineRule="auto"/>
        <w:ind w:firstLine="480"/>
        <w:rPr>
          <w:rFonts w:hint="eastAsia"/>
          <w:color w:val="000000"/>
          <w:sz w:val="24"/>
        </w:rPr>
      </w:pPr>
      <w:r>
        <w:rPr>
          <w:rFonts w:hint="eastAsia" w:eastAsia="宋体" w:ascii="宋体" w:hAnsi="宋体"/>
          <w:color w:val="000000"/>
          <w:sz w:val="24"/>
          <w:szCs w:val="24"/>
        </w:rPr>
        <w:t>受资料获取条件的限制，本文主要基于公开报道的工程信息开展分析，未能获取项目内部的具体检测数据，研究的深度受到一定限制。后续研究可以在以下方向继续深入：一是建立装配式综合管廊施工质量风险评估模型，对关键质量风险点进行量化分析，实现风险的提前预警；二是研发装配式管廊质量管理的智能化预警系统，基于物联网和大数据技术实现质量问题的早发现、早处置；三是积累不同地质条件、不同规模装配式管廊工程的质量管理实践数据，形成可推广的标准化质量管理方案。</w:t>
      </w:r>
    </w:p>
    <w:p w14:paraId="37704D33">
      <w:pPr>
        <w:spacing w:line="360" w:lineRule="auto"/>
        <w:ind w:firstLine="480"/>
        <w:rPr>
          <w:rFonts w:hint="eastAsia"/>
          <w:color w:val="000000"/>
          <w:sz w:val="24"/>
        </w:rPr>
      </w:pPr>
      <w:r>
        <w:rPr>
          <w:rFonts w:hint="eastAsia" w:eastAsia="宋体" w:ascii="宋体" w:hAnsi="宋体"/>
          <w:color w:val="000000"/>
          <w:sz w:val="24"/>
          <w:szCs w:val="24"/>
        </w:rPr>
        <w:t>随着装配式市政工程规模的持续扩大和工艺技术的不断成熟，配套的质量管理体系也将日趋完善，装配式市政工程的整体质量管理水平有望进一步提升。</w:t>
      </w:r>
    </w:p>
    <w:p w14:paraId="210355C5">
      <w:pPr>
        <w:pStyle w:val="4"/>
        <w:ind w:firstLine="480"/>
        <w:rPr>
          <w:rFonts w:hint="eastAsia" w:ascii="Times New Roman" w:hAnsi="Times New Roman"/>
          <w:sz w:val="24"/>
        </w:rPr>
      </w:pPr>
    </w:p>
    <w:p w14:paraId="7119DEA3">
      <w:pPr>
        <w:spacing w:line="360" w:lineRule="auto"/>
        <w:rPr>
          <w:rFonts w:hint="eastAsia"/>
          <w:color w:val="000000"/>
          <w:sz w:val="30"/>
        </w:rPr>
      </w:pPr>
      <w:r>
        <w:br w:type="page"/>
      </w:r>
    </w:p>
    <w:p w14:paraId="60C3303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 xml:space="preserve">结  论</w:t>
      </w:r>
    </w:p>
    <w:p w14:paraId="76E42581">
      <w:pPr>
        <w:spacing w:line="360" w:lineRule="auto"/>
        <w:ind w:firstLine="480"/>
        <w:rPr>
          <w:rFonts w:hint="eastAsia"/>
          <w:color w:val="000000"/>
          <w:sz w:val="30"/>
        </w:rPr>
      </w:pPr>
    </w:p>
    <w:p w14:paraId="44B36186">
      <w:pPr>
        <w:spacing w:line="440" w:lineRule="exact"/>
        <w:ind w:firstLine="480" w:firstLineChars="200"/>
        <w:rPr>
          <w:rFonts w:hint="eastAsia"/>
          <w:color w:val="000000"/>
          <w:sz w:val="24"/>
        </w:rPr>
      </w:pPr>
      <w:r>
        <w:rPr>
          <w:rFonts w:hint="eastAsia" w:eastAsia="宋体" w:ascii="宋体" w:hAnsi="宋体"/>
          <w:color w:val="000000"/>
          <w:sz w:val="24"/>
          <w:szCs w:val="24"/>
        </w:rPr>
        <w:t>本文以绵阳综合管廊项目为研究对象，针对该项目管廊总长度约25.15 km、配套市政道路27.14 km的全国最大装配式管廊工程，围绕装配式施工质量问题开展调查与成因分析，并提出系统化的优化对策。
研究识别出构件进场把关不严、节段吊装定位偏差、节段接缝防水失效、灌浆套筒密实度不足、多专业穿插施工协调不畅等典型质量问题，从人、机、料、法、环五个维度进行归因分析，结果表明人员因素和方法因素是主要原因。
在此基础上，从组织管理、工艺技术和质量控制手段三个方面提出针对性优化对策，包括建立构件批次追溯制度、推行驻厂监理制度、完善工序交接与举牌验收、应用BIM与三维扫描相结合的施工偏差动态修正工艺、采用预铺反粘与自愈合高分子防水卷材复合工艺等。优化对策已在项目中得到应用，预埋件安装合格率达到100%，结构质量实现零缺陷。
本文的研究结论对同类大型装配式市政工程的施工质量管理具有参考价值。</w:t>
      </w:r>
    </w:p>
    <w:p w14:paraId="063347EC">
      <w:pPr>
        <w:spacing w:line="360" w:lineRule="auto"/>
        <w:ind w:firstLine="480"/>
        <w:rPr>
          <w:rFonts w:hint="eastAsia"/>
          <w:color w:val="000000"/>
          <w:sz w:val="24"/>
        </w:rPr>
      </w:pPr>
      <w:r/>
    </w:p>
    <w:p>
      <w:pPr>
        <w:spacing w:line="360" w:lineRule="auto"/>
        <w:ind w:firstLine="480"/>
        <w:rPr>
          <w:rFonts w:hint="eastAsia"/>
          <w:color w:val="000000"/>
          <w:sz w:val="24"/>
        </w:rPr>
      </w:pPr>
      <w:r/>
    </w:p>
    <w:p w14:paraId="65169C6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参 考 文 献</w:t>
      </w:r>
    </w:p>
    <w:p w14:paraId="10742DBE">
      <w:pPr>
        <w:spacing w:line="360" w:lineRule="auto"/>
        <w:ind w:firstLine="480"/>
        <w:rPr>
          <w:rFonts w:hint="eastAsia"/>
          <w:color w:val="000000"/>
          <w:sz w:val="24"/>
        </w:rPr>
      </w:pPr>
    </w:p>
    <w:p w14:paraId="CD6F7574">
      <w:pPr>
        <w:spacing w:line="440" w:lineRule="exact"/>
        <w:ind w:firstLine="573"/>
        <w:rPr>
          <w:rFonts w:hint="eastAsia"/>
          <w:color w:val="000000"/>
          <w:szCs w:val="21"/>
        </w:rPr>
      </w:pPr>
      <w:r>
        <w:rPr>
          <w:rFonts w:hint="eastAsia" w:eastAsia="宋体" w:ascii="宋体" w:hAnsi="宋体"/>
          <w:color w:val="000000"/>
          <w:sz w:val="21"/>
          <w:szCs w:val="21"/>
        </w:rPr>
        <w:t xml:space="preserve">[1]  中华人民共和国住房和城乡建设部. 城市综合管廊工程技术规范: GB 50838-2015[S]. 北京: 中国建筑工业出版社, 2015.</w:t>
      </w:r>
    </w:p>
    <w:p w14:paraId="35145CDC">
      <w:pPr>
        <w:spacing w:line="440" w:lineRule="exact"/>
        <w:ind w:firstLine="573"/>
        <w:rPr>
          <w:rFonts w:hint="eastAsia"/>
          <w:color w:val="000000"/>
          <w:szCs w:val="21"/>
        </w:rPr>
      </w:pPr>
      <w:r>
        <w:rPr>
          <w:rFonts w:hint="eastAsia" w:eastAsia="宋体" w:ascii="宋体" w:hAnsi="宋体"/>
          <w:color w:val="000000"/>
          <w:sz w:val="21"/>
          <w:szCs w:val="21"/>
        </w:rPr>
        <w:t xml:space="preserve">[2]  中华人民共和国住房和城乡建设部. 装配式混凝土建筑技术标准: GB/T 51231-2016[S]. 北京: 中国建筑工业出版社, 2016.</w:t>
      </w:r>
    </w:p>
    <w:p w14:paraId="786E3886">
      <w:pPr>
        <w:spacing w:line="440" w:lineRule="exact"/>
        <w:ind w:firstLine="573"/>
        <w:rPr>
          <w:rFonts w:hint="eastAsia"/>
          <w:color w:val="000000"/>
          <w:szCs w:val="21"/>
        </w:rPr>
      </w:pPr>
      <w:r>
        <w:rPr>
          <w:rFonts w:hint="eastAsia" w:eastAsia="宋体" w:ascii="宋体" w:hAnsi="宋体"/>
          <w:color w:val="000000"/>
          <w:sz w:val="21"/>
          <w:szCs w:val="21"/>
        </w:rPr>
        <w:t xml:space="preserve">[3]  国务院办公厅. 国务院办公厅关于大力发展装配式建筑的指导意见: 国办发〔2016〕71号[Z]. 2016.</w:t>
      </w:r>
    </w:p>
    <w:p w14:paraId="8FE952AD">
      <w:pPr>
        <w:spacing w:line="440" w:lineRule="exact"/>
        <w:ind w:firstLine="573"/>
        <w:rPr>
          <w:rFonts w:hint="eastAsia"/>
          <w:color w:val="000000"/>
          <w:szCs w:val="21"/>
        </w:rPr>
      </w:pPr>
      <w:r>
        <w:rPr>
          <w:rFonts w:hint="eastAsia" w:eastAsia="宋体" w:ascii="宋体" w:hAnsi="宋体"/>
          <w:color w:val="000000"/>
          <w:sz w:val="21"/>
          <w:szCs w:val="21"/>
        </w:rPr>
        <w:t>[4]  中建二局绵阳综合管廊项目主体结构全面完工[N/OL]. 腾讯新闻, 2026-02-25.</w:t>
      </w:r>
    </w:p>
    <w:p w14:paraId="1DB457D3">
      <w:pPr>
        <w:spacing w:line="440" w:lineRule="exact"/>
        <w:ind w:firstLine="573"/>
        <w:rPr>
          <w:rFonts w:hint="eastAsia"/>
          <w:color w:val="000000"/>
          <w:szCs w:val="21"/>
        </w:rPr>
      </w:pPr>
      <w:r>
        <w:rPr>
          <w:rFonts w:hint="eastAsia" w:eastAsia="宋体" w:ascii="宋体" w:hAnsi="宋体"/>
          <w:color w:val="000000"/>
          <w:sz w:val="21"/>
          <w:szCs w:val="21"/>
        </w:rPr>
        <w:t xml:space="preserve">[5]  中华人民共和国住房和城乡建设部. 装配式混凝土结构技术规程: JGJ 1-2014[S]. 北京: 中国建筑工业出版社, 2014.</w:t>
      </w:r>
    </w:p>
    <w:p w14:paraId="B5B017B7">
      <w:pPr>
        <w:spacing w:line="440" w:lineRule="exact"/>
        <w:ind w:firstLine="573"/>
        <w:rPr>
          <w:rFonts w:hint="eastAsia"/>
          <w:color w:val="000000"/>
          <w:szCs w:val="21"/>
        </w:rPr>
      </w:pPr>
      <w:r>
        <w:rPr>
          <w:rFonts w:hint="eastAsia" w:eastAsia="宋体" w:ascii="宋体" w:hAnsi="宋体"/>
          <w:color w:val="000000"/>
          <w:sz w:val="21"/>
          <w:szCs w:val="21"/>
        </w:rPr>
        <w:t>[6]  王伟. 城市综合管廊预制拼装施工技术[J]. 基层建设, 2019(3).</w:t>
      </w:r>
    </w:p>
    <w:p w14:paraId="1B72F51B">
      <w:pPr>
        <w:spacing w:line="440" w:lineRule="exact"/>
        <w:ind w:firstLine="573"/>
        <w:rPr>
          <w:rFonts w:hint="eastAsia"/>
          <w:color w:val="000000"/>
          <w:szCs w:val="21"/>
        </w:rPr>
      </w:pPr>
      <w:r>
        <w:rPr>
          <w:rFonts w:hint="eastAsia" w:eastAsia="宋体" w:ascii="宋体" w:hAnsi="宋体"/>
          <w:color w:val="000000"/>
          <w:sz w:val="21"/>
          <w:szCs w:val="21"/>
        </w:rPr>
        <w:t>[7]  崔宇, 柴维伟. 浅论预制装配式建筑施工技术研究与应用[A]. 建筑科技发展论坛[C]. 中国智慧工程研究会, 2024.</w:t>
      </w:r>
    </w:p>
    <w:p w14:paraId="43F3CE1A">
      <w:pPr>
        <w:spacing w:line="440" w:lineRule="exact"/>
        <w:ind w:firstLine="573"/>
        <w:rPr>
          <w:rFonts w:hint="eastAsia"/>
          <w:color w:val="000000"/>
          <w:szCs w:val="21"/>
        </w:rPr>
      </w:pPr>
      <w:r>
        <w:rPr>
          <w:rFonts w:hint="eastAsia" w:eastAsia="宋体" w:ascii="宋体" w:hAnsi="宋体"/>
          <w:color w:val="000000"/>
          <w:sz w:val="21"/>
          <w:szCs w:val="21"/>
        </w:rPr>
        <w:t>[8]  姜莉. 装配式混凝土结构建筑设计与施工研究[J]. 工程建设与设计, 2023(13): 235-237.</w:t>
      </w:r>
    </w:p>
    <w:p w14:paraId="BD783A39">
      <w:pPr>
        <w:spacing w:line="440" w:lineRule="exact"/>
        <w:ind w:firstLine="573"/>
        <w:rPr>
          <w:rFonts w:hint="eastAsia"/>
          <w:color w:val="000000"/>
          <w:szCs w:val="21"/>
        </w:rPr>
      </w:pPr>
      <w:r>
        <w:rPr>
          <w:rFonts w:hint="eastAsia" w:eastAsia="宋体" w:ascii="宋体" w:hAnsi="宋体"/>
          <w:color w:val="000000"/>
          <w:sz w:val="21"/>
          <w:szCs w:val="21"/>
        </w:rPr>
        <w:t xml:space="preserve">[9]  中华人民共和国住房和城乡建设部. 混凝土结构工程施工质量验收规范: GB 50204-2015[S]. 北京: 中国建筑工业出版社, 2015.</w:t>
      </w:r>
    </w:p>
    <w:p w14:paraId="499A9AAB">
      <w:pPr>
        <w:spacing w:line="440" w:lineRule="exact"/>
        <w:ind w:firstLine="573"/>
        <w:rPr>
          <w:rFonts w:hint="eastAsia"/>
          <w:color w:val="000000"/>
          <w:szCs w:val="21"/>
        </w:rPr>
      </w:pPr>
      <w:r>
        <w:rPr>
          <w:rFonts w:hint="eastAsia" w:eastAsia="宋体" w:ascii="宋体" w:hAnsi="宋体"/>
          <w:color w:val="000000"/>
          <w:sz w:val="21"/>
          <w:szCs w:val="21"/>
        </w:rPr>
        <w:t xml:space="preserve">[10]  中华人民共和国住房和城乡建设部. 装配式建筑评价标准: GB/T 51129-2017[S]. 北京: 中国建筑工业出版社, 2017.</w:t>
      </w:r>
    </w:p>
    <w:p w14:paraId="B95E6354">
      <w:pPr>
        <w:spacing w:line="440" w:lineRule="exact"/>
        <w:ind w:firstLine="573"/>
        <w:rPr>
          <w:rFonts w:hint="eastAsia"/>
          <w:color w:val="000000"/>
          <w:szCs w:val="21"/>
        </w:rPr>
      </w:pPr>
      <w:r>
        <w:rPr>
          <w:rFonts w:hint="eastAsia" w:eastAsia="宋体" w:ascii="宋体" w:hAnsi="宋体"/>
          <w:color w:val="000000"/>
          <w:sz w:val="21"/>
          <w:szCs w:val="21"/>
        </w:rPr>
        <w:t xml:space="preserve">[11]  中华人民共和国住房和城乡建设部. 建筑信息模型应用统一标准: GB/T 51212-2016[S]. 北京: 中国建筑工业出版社, 2016.</w:t>
      </w:r>
    </w:p>
    <w:p w14:paraId="DA6D3FBB">
      <w:pPr>
        <w:spacing w:line="440" w:lineRule="exact"/>
        <w:ind w:firstLine="573"/>
        <w:rPr>
          <w:rFonts w:hint="eastAsia"/>
          <w:color w:val="000000"/>
          <w:szCs w:val="21"/>
        </w:rPr>
      </w:pPr>
      <w:r>
        <w:rPr>
          <w:rFonts w:hint="eastAsia" w:eastAsia="宋体" w:ascii="宋体" w:hAnsi="宋体"/>
          <w:color w:val="000000"/>
          <w:sz w:val="21"/>
          <w:szCs w:val="21"/>
        </w:rPr>
        <w:t>[12]  吕航, 闫晶, 李杨, 等. BIM技术在施工项目管理中的应用研究——以某图书馆为例[J]. 价值工程, 2019, 38(24): 212-214.</w:t>
      </w:r>
    </w:p>
    <w:p>
      <w:pPr>
        <w:keepNext/>
        <w:keepLines/>
        <w:spacing w:line="360" w:lineRule="auto"/>
        <w:rPr>
          <w:rFonts w:hint="eastAsia" w:eastAsia="黑体"/>
          <w:color w:val="000000"/>
          <w:sz w:val="30"/>
        </w:rPr>
      </w:pPr>
      <w:r>
        <w:rPr>
          <w:rFonts w:hint="eastAsia" w:ascii="宋体" w:hAnsi="宋体" w:eastAsia="宋体"/>
          <w:b/>
          <w:color w:val="000000"/>
          <w:sz w:val="28"/>
          <w:szCs w:val="28"/>
        </w:rPr>
        <w:t xml:space="preserve"/>
      </w:r>
    </w:p>
    <w:p>
      <w:pPr>
        <w:keepNext/>
        <w:keepLines/>
        <w:spacing w:line="360" w:lineRule="auto"/>
        <w:rPr>
          <w:rFonts w:hint="eastAsia" w:eastAsia="黑体"/>
          <w:color w:val="000000"/>
          <w:sz w:val="30"/>
        </w:rPr>
      </w:pPr>
      <w:r>
        <w:rPr>
          <w:rFonts w:hint="eastAsia" w:ascii="宋体" w:hAnsi="宋体" w:eastAsia="宋体"/>
          <w:b/>
          <w:color w:val="000000"/>
          <w:sz w:val="28"/>
          <w:szCs w:val="28"/>
        </w:rPr>
        <w:t xml:space="preserve"/>
      </w:r>
    </w:p>
    <w:p>
      <w:pPr>
        <w:keepNext/>
        <w:keepLines/>
        <w:spacing w:line="360" w:lineRule="auto"/>
        <w:rPr>
          <w:rFonts w:hint="eastAsia" w:eastAsia="黑体"/>
          <w:color w:val="000000"/>
          <w:sz w:val="30"/>
        </w:rPr>
      </w:pPr>
      <w:r>
        <w:rPr>
          <w:rFonts w:hint="eastAsia" w:ascii="宋体" w:hAnsi="宋体" w:eastAsia="宋体"/>
          <w:b/>
          <w:color w:val="000000"/>
          <w:sz w:val="28"/>
          <w:szCs w:val="28"/>
        </w:rPr>
        <w:t xml:space="preserve">致  谢</w:t>
      </w:r>
    </w:p>
    <w:p>
      <w:pPr>
        <w:keepNext/>
        <w:keepLines/>
        <w:spacing w:line="360" w:lineRule="auto"/>
        <w:rPr>
          <w:rFonts w:hint="eastAsia" w:eastAsia="黑体"/>
          <w:color w:val="000000"/>
          <w:sz w:val="30"/>
        </w:rPr>
      </w:pPr>
      <w:r>
        <w:rPr>
          <w:rFonts w:hint="eastAsia" w:ascii="宋体" w:hAnsi="宋体" w:eastAsia="宋体"/>
          <w:b/>
          <w:color w:val="000000"/>
          <w:sz w:val="28"/>
          <w:szCs w:val="28"/>
        </w:rPr>
      </w:r>
    </w:p>
    <w:p w14:paraId="7596906E">
      <w:pPr>
        <w:keepNext/>
        <w:keepLines/>
        <w:spacing w:line="360" w:lineRule="auto"/>
        <w:rPr>
          <w:rFonts w:hint="eastAsia" w:eastAsia="黑体"/>
          <w:color w:val="000000"/>
          <w:sz w:val="30"/>
        </w:rPr>
      </w:pPr>
      <w:r>
        <w:rPr>
          <w:rFonts w:hint="eastAsia" w:ascii="宋体" w:hAnsi="宋体" w:eastAsia="宋体"/>
          <w:b/>
          <w:color w:val="000000"/>
          <w:sz w:val="28"/>
          <w:szCs w:val="28"/>
        </w:rPr>
      </w:r>
    </w:p>
    <w:p w14:paraId="733B96C2">
      <w:pPr>
        <w:keepNext/>
        <w:spacing w:line="360" w:lineRule="auto"/>
        <w:ind w:firstLine="480"/>
        <w:rPr>
          <w:rFonts w:hint="eastAsia" w:ascii="宋体" w:hAnsi="宋体"/>
          <w:color w:val="000000"/>
          <w:sz w:val="30"/>
        </w:rPr>
      </w:pPr>
    </w:p>
    <w:p w14:paraId="6E7E4E47">
      <w:pPr>
        <w:spacing w:line="440" w:lineRule="exact"/>
        <w:ind w:firstLine="573"/>
        <w:rPr>
          <w:rFonts w:hint="eastAsia" w:ascii="宋体" w:hAnsi="宋体"/>
          <w:color w:val="000000"/>
          <w:sz w:val="24"/>
        </w:rPr>
      </w:pPr>
      <w:r>
        <w:rPr>
          <w:rFonts w:hint="eastAsia" w:ascii="宋体" w:hAnsi="宋体" w:eastAsia="宋体"/>
          <w:color w:val="000000"/>
          <w:sz w:val="24"/>
          <w:szCs w:val="24"/>
        </w:rPr>
        <w:t>本论文是在指导老师的悉心指导下完成的。从选题的确定到实地调研的安排，再到成文的反复修改，指导老师都给予了具体而耐心的帮助，在此表示衷心的感谢。
感谢中建二局绵阳综合管廊项目部在工程资料方面提供的支持，以及项目相关管理人员和监理工程师在调研过程中给予的协助。感谢学校图书馆提供的文献检索条件。
感谢家人在学习期间给予的支持与理解。</w:t>
      </w:r>
    </w:p>
    <w:p w14:paraId="34A3FE60">
      <w:pPr>
        <w:spacing w:line="400" w:lineRule="exact"/>
        <w:ind w:firstLine="560" w:firstLineChars="200"/>
        <w:rPr>
          <w:rFonts w:hint="eastAsia" w:eastAsia="仿宋_GB2312"/>
          <w:color w:val="000000"/>
          <w:sz w:val="2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F0D0341-326B-4D0B-82AC-4027B0576AB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20F86F41-2B48-44D0-8DE6-E825F6026A32}"/>
  </w:font>
  <w:font w:name="仿宋">
    <w:panose1 w:val="02010609060101010101"/>
    <w:charset w:val="86"/>
    <w:family w:val="auto"/>
    <w:pitch w:val="default"/>
    <w:sig w:usb0="800002BF" w:usb1="38CF7CFA" w:usb2="00000016" w:usb3="00000000" w:csb0="00040001" w:csb1="00000000"/>
  </w:font>
  <w:font w:name="方正大标宋简体">
    <w:altName w:val="宋体"/>
    <w:panose1 w:val="02010601030101010101"/>
    <w:charset w:val="86"/>
    <w:family w:val="auto"/>
    <w:pitch w:val="default"/>
    <w:sig w:usb0="00000000" w:usb1="00000000" w:usb2="00000010" w:usb3="00000000" w:csb0="00040000" w:csb1="00000000"/>
  </w:font>
  <w:font w:name="楷体_GB2312">
    <w:altName w:val="楷体"/>
    <w:panose1 w:val="00000000000000000000"/>
    <w:charset w:val="00"/>
    <w:family w:val="auto"/>
    <w:pitch w:val="default"/>
    <w:sig w:usb0="00000000" w:usb1="00000000" w:usb2="00000000" w:usb3="00000000" w:csb0="00040001" w:csb1="00000000"/>
    <w:embedRegular r:id="rId3" w:fontKey="{CA37DEC8-5817-4B94-89E0-272BA6175B82}"/>
  </w:font>
  <w:font w:name="仿宋_GB2312">
    <w:altName w:val="仿宋"/>
    <w:panose1 w:val="02010609030101010101"/>
    <w:charset w:val="86"/>
    <w:family w:val="modern"/>
    <w:pitch w:val="default"/>
    <w:sig w:usb0="00000000" w:usb1="00000000" w:usb2="00000000" w:usb3="00000000" w:csb0="00040000" w:csb1="00000000"/>
    <w:embedRegular r:id="rId4" w:fontKey="{076687F1-04A0-44BD-AF22-779833981088}"/>
  </w:font>
  <w:font w:name="方正小标宋简体">
    <w:panose1 w:val="02000000000000000000"/>
    <w:charset w:val="86"/>
    <w:family w:val="auto"/>
    <w:pitch w:val="default"/>
    <w:sig w:usb0="00000001" w:usb1="08000000" w:usb2="00000000" w:usb3="00000000" w:csb0="00040000" w:csb1="00000000"/>
    <w:embedRegular r:id="rId5" w:fontKey="{E2616606-C9D6-4109-9259-63558FEA43AC}"/>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C5651">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8EF76">
    <w:pPr>
      <w:pStyle w:val="6"/>
      <w:tabs>
        <w:tab w:val="right" w:pos="8306"/>
      </w:tabs>
      <w:ind w:firstLine="123" w:firstLineChars="49"/>
      <w:jc w:val="both"/>
      <w:rPr>
        <w:sz w:val="21"/>
      </w:rPr>
    </w:pPr>
    <w:r>
      <w:rPr>
        <w:rFonts w:hint="eastAsia"/>
        <w:b/>
        <w:bCs/>
        <w:spacing w:val="20"/>
        <w:kern w:val="18"/>
        <w:sz w:val="21"/>
        <w:szCs w:val="21"/>
      </w:rPr>
      <w:t>炎黄职业技术学院毕业论文</w:t>
    </w:r>
    <w:r>
      <w:rPr>
        <w:b/>
        <w:bCs/>
        <w:spacing w:val="60"/>
        <w:kern w:val="18"/>
        <w:sz w:val="36"/>
      </w:rPr>
      <w:tab/>
    </w:r>
    <w:r>
      <w:rPr>
        <w:rFonts w:hint="eastAsia" w:ascii="宋体" w:hAnsi="宋体"/>
        <w:b/>
        <w:kern w:val="0"/>
        <w:sz w:val="21"/>
        <w:szCs w:val="21"/>
      </w:rPr>
      <w:t xml:space="preserve">第 </w:t>
    </w:r>
    <w:r>
      <w:rPr>
        <w:rFonts w:ascii="宋体" w:hAnsi="宋体"/>
        <w:b/>
        <w:kern w:val="0"/>
        <w:sz w:val="21"/>
        <w:szCs w:val="21"/>
      </w:rPr>
      <w:fldChar w:fldCharType="begin"/>
    </w:r>
    <w:r>
      <w:rPr>
        <w:rFonts w:ascii="宋体" w:hAnsi="宋体"/>
        <w:b/>
        <w:kern w:val="0"/>
        <w:sz w:val="21"/>
        <w:szCs w:val="21"/>
      </w:rPr>
      <w:instrText xml:space="preserve"> PAGE </w:instrText>
    </w:r>
    <w:r>
      <w:rPr>
        <w:rFonts w:ascii="宋体" w:hAnsi="宋体"/>
        <w:b/>
        <w:kern w:val="0"/>
        <w:sz w:val="21"/>
        <w:szCs w:val="21"/>
      </w:rPr>
      <w:fldChar w:fldCharType="separate"/>
    </w:r>
    <w:r>
      <w:rPr>
        <w:rFonts w:ascii="宋体" w:hAnsi="宋体"/>
        <w:b/>
        <w:kern w:val="0"/>
        <w:sz w:val="21"/>
        <w:szCs w:val="21"/>
      </w:rPr>
      <w:t>1</w:t>
    </w:r>
    <w:r>
      <w:rPr>
        <w:rFonts w:ascii="宋体" w:hAnsi="宋体"/>
        <w:b/>
        <w:kern w:val="0"/>
        <w:sz w:val="21"/>
        <w:szCs w:val="21"/>
      </w:rPr>
      <w:fldChar w:fldCharType="end"/>
    </w:r>
    <w:r>
      <w:rPr>
        <w:rFonts w:hint="eastAsia" w:ascii="宋体" w:hAnsi="宋体"/>
        <w:b/>
        <w:kern w:val="0"/>
        <w:sz w:val="21"/>
        <w:szCs w:val="21"/>
      </w:rPr>
      <w:t xml:space="preserve"> 页  共 </w:t>
    </w:r>
    <w:r>
      <w:rPr>
        <w:rFonts w:ascii="宋体" w:hAnsi="宋体"/>
        <w:b/>
        <w:kern w:val="0"/>
        <w:sz w:val="21"/>
        <w:szCs w:val="21"/>
      </w:rPr>
      <w:fldChar w:fldCharType="begin"/>
    </w:r>
    <w:r>
      <w:rPr>
        <w:rFonts w:ascii="宋体" w:hAnsi="宋体"/>
        <w:b/>
        <w:kern w:val="0"/>
        <w:sz w:val="21"/>
        <w:szCs w:val="21"/>
      </w:rPr>
      <w:instrText xml:space="preserve"> NUMPAGES </w:instrText>
    </w:r>
    <w:r>
      <w:rPr>
        <w:rFonts w:ascii="宋体" w:hAnsi="宋体"/>
        <w:b/>
        <w:kern w:val="0"/>
        <w:sz w:val="21"/>
        <w:szCs w:val="21"/>
      </w:rPr>
      <w:fldChar w:fldCharType="separate"/>
    </w:r>
    <w:r>
      <w:rPr>
        <w:rFonts w:ascii="宋体" w:hAnsi="宋体"/>
        <w:b/>
        <w:kern w:val="0"/>
        <w:sz w:val="21"/>
        <w:szCs w:val="21"/>
      </w:rPr>
      <w:t>4</w:t>
    </w:r>
    <w:r>
      <w:rPr>
        <w:rFonts w:ascii="宋体" w:hAnsi="宋体"/>
        <w:b/>
        <w:kern w:val="0"/>
        <w:sz w:val="21"/>
        <w:szCs w:val="21"/>
      </w:rPr>
      <w:fldChar w:fldCharType="end"/>
    </w:r>
    <w:r>
      <w:rPr>
        <w:rFonts w:hint="eastAsia" w:ascii="宋体" w:hAnsi="宋体"/>
        <w:b/>
        <w:kern w:val="0"/>
        <w:sz w:val="21"/>
        <w:szCs w:val="21"/>
      </w:rPr>
      <w:t xml:space="preserve"> 页</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682FC0"/>
    <w:rsid w:val="0B682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3"/>
    <w:basedOn w:val="1"/>
    <w:uiPriority w:val="0"/>
    <w:pPr>
      <w:spacing w:line="240" w:lineRule="exact"/>
    </w:pPr>
    <w:rPr>
      <w:color w:val="0000FF"/>
    </w:rPr>
  </w:style>
  <w:style w:type="paragraph" w:styleId="3">
    <w:name w:val="Body Text"/>
    <w:basedOn w:val="1"/>
    <w:qFormat/>
    <w:uiPriority w:val="0"/>
    <w:pPr>
      <w:jc w:val="center"/>
    </w:pPr>
    <w:rPr>
      <w:rFonts w:eastAsia="方正大标宋简体"/>
      <w:sz w:val="76"/>
    </w:rPr>
  </w:style>
  <w:style w:type="paragraph" w:styleId="4">
    <w:name w:val="Body Text Indent"/>
    <w:basedOn w:val="1"/>
    <w:uiPriority w:val="0"/>
    <w:pPr>
      <w:spacing w:line="360" w:lineRule="auto"/>
      <w:ind w:firstLine="560" w:firstLineChars="200"/>
    </w:pPr>
    <w:rPr>
      <w:rFonts w:ascii="宋体" w:hAnsi="宋体"/>
      <w:color w:val="0000FF"/>
      <w:sz w:val="2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Indent 3"/>
    <w:basedOn w:val="1"/>
    <w:uiPriority w:val="0"/>
    <w:pPr>
      <w:spacing w:line="360" w:lineRule="exact"/>
      <w:ind w:firstLine="560" w:firstLineChars="200"/>
    </w:pPr>
    <w:rPr>
      <w:rFonts w:ascii="宋体" w:hAnsi="宋体"/>
      <w:color w:val="000000"/>
      <w:sz w:val="28"/>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3.xml"/><Relationship Id="rId11" Type="http://schemas.openxmlformats.org/officeDocument/2006/relationships/header" Target="header4.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2026-06-01T00:34:00Z</dcterms:created>
  <dc:creator>张越峰</dc:creator>
  <cp:lastModifiedBy>张越峰</cp:lastModifiedBy>
  <dcterms:modified xsi:type="dcterms:W3CDTF">2026-06-01T00:39:25Z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CD7730DCD78F4F6CB91D3741DD88D3DA_11</vt:lpwstr>
  </property>
  <property fmtid="{D5CDD505-2E9C-101B-9397-08002B2CF9AE}" pid="4" name="KSOTemplateDocerSaveRecord">
    <vt:lpwstr>eyJoZGlkIjoiM2E1ZmU4MmZmZjZkYmU2OGM1YzNmYzcyZTQ0MGJkMjIiLCJ1c2VySWQiOiIyMTgxODA0ODkifQ==</vt:lpwstr>
  </property>
</Properties>
</file>