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pPr>
              <w:jc w:val="center"/>
              <w:rPr>
                <w:rFonts w:hint="eastAsia"/>
                <w:sz w:val="44"/>
              </w:rPr>
            </w:pPr>
            <w:r>
              <w:rPr>
                <w:rFonts w:hint="eastAsia"/>
                <w:sz w:val="24"/>
              </w:rPr>
              <w:t>姓名</w:t>
            </w:r>
          </w:p>
        </w:tc>
        <w:tc>
          <w:tcPr>
            <w:tcW w:w="479" w:type="pct"/>
            <w:noWrap w:val="0"/>
            <w:vAlign w:val="center"/>
          </w:tcPr>
          <w:p>
            <w:pPr>
              <w:jc w:val="center"/>
              <w:rPr>
                <w:rFonts w:hint="eastAsia"/>
                <w:sz w:val="24"/>
              </w:rPr>
            </w:pPr>
          </w:p>
        </w:tc>
        <w:tc>
          <w:tcPr>
            <w:tcW w:w="430" w:type="pct"/>
            <w:noWrap w:val="0"/>
            <w:vAlign w:val="center"/>
          </w:tcPr>
          <w:p>
            <w:pPr>
              <w:jc w:val="center"/>
              <w:rPr>
                <w:rFonts w:hint="eastAsia"/>
                <w:sz w:val="24"/>
              </w:rPr>
            </w:pPr>
            <w:r>
              <w:rPr>
                <w:rFonts w:hint="eastAsia"/>
                <w:sz w:val="24"/>
              </w:rPr>
              <w:t>学号</w:t>
            </w:r>
          </w:p>
        </w:tc>
        <w:tc>
          <w:tcPr>
            <w:tcW w:w="862" w:type="pct"/>
            <w:noWrap w:val="0"/>
            <w:vAlign w:val="center"/>
          </w:tcPr>
          <w:p>
            <w:pPr>
              <w:jc w:val="center"/>
              <w:rPr>
                <w:rFonts w:hint="eastAsia"/>
                <w:sz w:val="24"/>
              </w:rPr>
            </w:pPr>
          </w:p>
        </w:tc>
        <w:tc>
          <w:tcPr>
            <w:tcW w:w="430" w:type="pct"/>
            <w:noWrap w:val="0"/>
            <w:vAlign w:val="center"/>
          </w:tcPr>
          <w:p>
            <w:pPr>
              <w:jc w:val="center"/>
              <w:rPr>
                <w:rFonts w:hint="eastAsia"/>
                <w:sz w:val="24"/>
              </w:rPr>
            </w:pPr>
            <w:r>
              <w:rPr>
                <w:rFonts w:hint="eastAsia"/>
                <w:sz w:val="24"/>
              </w:rPr>
              <w:t>班级</w:t>
            </w:r>
          </w:p>
        </w:tc>
        <w:tc>
          <w:tcPr>
            <w:tcW w:w="948" w:type="pct"/>
            <w:noWrap w:val="0"/>
            <w:vAlign w:val="center"/>
          </w:tcPr>
          <w:p>
            <w:pPr>
              <w:jc w:val="center"/>
              <w:rPr>
                <w:rFonts w:hint="eastAsia"/>
                <w:sz w:val="24"/>
              </w:rPr>
            </w:pPr>
          </w:p>
        </w:tc>
        <w:tc>
          <w:tcPr>
            <w:tcW w:w="808" w:type="pct"/>
            <w:noWrap w:val="0"/>
            <w:vAlign w:val="center"/>
          </w:tcPr>
          <w:p>
            <w:pPr>
              <w:jc w:val="center"/>
              <w:rPr>
                <w:rFonts w:hint="eastAsia"/>
                <w:sz w:val="24"/>
              </w:rPr>
            </w:pPr>
            <w:r>
              <w:rPr>
                <w:rFonts w:hint="eastAsia"/>
                <w:sz w:val="24"/>
              </w:rPr>
              <w:t>论文指导老师</w:t>
            </w:r>
          </w:p>
        </w:tc>
        <w:tc>
          <w:tcPr>
            <w:tcW w:w="571" w:type="pct"/>
            <w:noWrap w:val="0"/>
            <w:vAlign w:val="center"/>
          </w:tcPr>
          <w:p>
            <w:pPr>
              <w:jc w:val="center"/>
              <w:rPr>
                <w:rFonts w:hint="eastAsia"/>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widowControl/>
              <w:spacing w:line="360" w:lineRule="auto"/>
              <w:jc w:val="left"/>
              <w:rPr>
                <w:rFonts w:hint="eastAsia"/>
                <w:bCs/>
                <w:sz w:val="24"/>
              </w:rPr>
            </w:pPr>
            <w:r>
              <w:t>再生混凝土在装配式建筑中的应用评价——以住宅项目为例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课题概况（主旨，思路，方法）</w:t>
            </w:r>
          </w:p>
          <w:p>
            <w:pPr>
              <w:rPr>
                <w:rFonts w:eastAsia="宋体" w:ascii="宋体" w:hAnsi="宋体"/>
                <w:sz w:val="21"/>
                <w:szCs w:val="21"/>
                <w:color w:val="000000"/>
              </w:rPr>
            </w:pPr>
            <w:r>
              <w:rPr>
                <w:rFonts w:eastAsia="宋体" w:ascii="宋体" w:hAnsi="宋体"/>
                <w:sz w:val="21"/>
                <w:szCs w:val="21"/>
                <w:color w:val="000000"/>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sz w:val="21"/>
                <w:szCs w:val="21"/>
                <w:color w:val="000000"/>
              </w:rPr>
            </w:pPr>
            <w:r>
              <w:rPr>
                <w:rFonts w:eastAsia="宋体" w:ascii="宋体" w:hAnsi="宋体"/>
                <w:sz w:val="21"/>
                <w:szCs w:val="21"/>
                <w:color w:val="000000"/>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sz w:val="21"/>
                <w:szCs w:val="21"/>
                <w:color w:val="000000"/>
              </w:rPr>
            </w:pPr>
            <w:r>
              <w:rPr>
                <w:rFonts w:eastAsia="宋体" w:ascii="宋体" w:hAnsi="宋体"/>
                <w:sz w:val="21"/>
                <w:szCs w:val="21"/>
                <w:color w:val="000000"/>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导师意见：</w:t>
            </w:r>
          </w:p>
          <w:p>
            <w:pPr>
              <w:rPr>
                <w:rFonts w:eastAsia="宋体" w:ascii="宋体" w:hAnsi="宋体"/>
                <w:sz w:val="21"/>
                <w:szCs w:val="21"/>
                <w:color w:val="000000"/>
              </w:rPr>
            </w:pPr>
            <w:r>
              <w:rPr>
                <w:rFonts w:eastAsia="宋体" w:ascii="宋体" w:hAnsi="宋体"/>
                <w:sz w:val="21"/>
                <w:szCs w:val="21"/>
                <w:color w:val="000000"/>
              </w:rPr>
              <w:t>　　该选题紧扣建筑固废资源化利用与装配式建筑发展两个方向，具有较强的现实意义。论文主旨明确，研究思路清晰，框架基本符合要求，同意开题。</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论文评审组长意见：</w:t>
            </w:r>
          </w:p>
          <w:p>
            <w:pPr>
              <w:rPr>
                <w:rFonts w:eastAsia="宋体" w:ascii="宋体" w:hAnsi="宋体"/>
                <w:sz w:val="21"/>
                <w:szCs w:val="21"/>
                <w:color w:val="000000"/>
              </w:rPr>
            </w:pPr>
            <w:r>
              <w:rPr>
                <w:rFonts w:eastAsia="宋体" w:ascii="宋体" w:hAnsi="宋体"/>
                <w:sz w:val="21"/>
                <w:szCs w:val="21"/>
                <w:color w:val="000000"/>
              </w:rPr>
              <w:t>　　同意导师意见。</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pPr>
              <w:jc w:val="both"/>
              <w:rPr>
                <w:rFonts w:hint="eastAsia"/>
                <w:sz w:val="24"/>
              </w:rPr>
            </w:pPr>
            <w:r>
              <w:rPr>
                <w:rFonts w:hint="eastAsia"/>
                <w:sz w:val="24"/>
              </w:rPr>
              <w:t>备注</w:t>
            </w:r>
          </w:p>
        </w:tc>
      </w:tr>
    </w:tbl>
    <w:p>
      <w:pPr>
        <w:rPr>
          <w:rFonts w:hint="eastAsia"/>
        </w:rPr>
      </w:pPr>
      <w:r>
        <w:rPr>
          <w:rFonts w:hint="eastAsia"/>
        </w:rPr>
        <w:br w:type="page"/>
      </w:r>
    </w:p>
    <w:p>
      <w:pPr>
        <w:rPr>
          <w:rFonts w:hint="eastAsia"/>
        </w:rPr>
      </w:pPr>
    </w:p>
    <w:p>
      <w:pPr>
        <w:jc w:val="center"/>
        <w:rPr>
          <w:rFonts w:hint="eastAsia"/>
          <w:b/>
          <w:bCs/>
          <w:sz w:val="32"/>
        </w:rPr>
      </w:pPr>
      <w:r>
        <w:rPr>
          <w:rFonts w:hint="eastAsia"/>
          <w:b/>
          <w:bCs/>
          <w:sz w:val="32"/>
        </w:rPr>
        <w:t>炎黄职业技术学院毕业论文任务书</w:t>
      </w:r>
    </w:p>
    <w:p>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sz w:val="21"/>
                <w:szCs w:val="21"/>
                <w:color w:val="000000"/>
              </w:rPr>
            </w:pPr>
            <w:r>
              <w:rPr>
                <w:rFonts w:eastAsia="宋体" w:ascii="宋体" w:hAnsi="宋体"/>
                <w:sz w:val="21"/>
                <w:szCs w:val="21"/>
                <w:color w:val="000000"/>
              </w:rPr>
              <w:t>课题名称：再生混凝土在装配式建筑中的应用评价——以住宅项目为例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本课题主要内容：</w:t>
            </w:r>
          </w:p>
          <w:p>
            <w:pPr>
              <w:rPr>
                <w:rFonts w:eastAsia="宋体" w:ascii="宋体" w:hAnsi="宋体"/>
                <w:sz w:val="21"/>
                <w:szCs w:val="21"/>
                <w:color w:val="000000"/>
              </w:rPr>
            </w:pPr>
            <w:r>
              <w:rPr>
                <w:rFonts w:eastAsia="宋体" w:ascii="宋体" w:hAnsi="宋体"/>
                <w:sz w:val="21"/>
                <w:szCs w:val="21"/>
                <w:color w:val="000000"/>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本课题研究方法与要求：</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本课题研究进度安排：</w:t>
            </w:r>
          </w:p>
          <w:p>
            <w:pPr>
              <w:rPr>
                <w:rFonts w:eastAsia="宋体" w:ascii="宋体" w:hAnsi="宋体"/>
                <w:sz w:val="21"/>
                <w:szCs w:val="21"/>
                <w:color w:val="000000"/>
              </w:rPr>
            </w:pPr>
            <w:r>
              <w:rPr>
                <w:rFonts w:eastAsia="宋体" w:ascii="宋体" w:hAnsi="宋体"/>
                <w:sz w:val="21"/>
                <w:szCs w:val="21"/>
                <w:color w:val="000000"/>
              </w:rPr>
              <w:t>第一阶段：2025.08.18~2025.09.03　　完成选题，查阅文献，撰写开题报告。</w:t>
            </w:r>
          </w:p>
          <w:p>
            <w:pPr>
              <w:rPr>
                <w:rFonts w:eastAsia="宋体" w:ascii="宋体" w:hAnsi="宋体"/>
                <w:sz w:val="21"/>
                <w:szCs w:val="21"/>
                <w:color w:val="000000"/>
              </w:rPr>
            </w:pPr>
            <w:r>
              <w:rPr>
                <w:rFonts w:eastAsia="宋体" w:ascii="宋体" w:hAnsi="宋体"/>
                <w:sz w:val="21"/>
                <w:szCs w:val="21"/>
                <w:color w:val="000000"/>
              </w:rPr>
              <w:t>第二阶段：2025.09.04~2025.09.12　　完善资料，确定论文主体结构，完成写作提纲。</w:t>
            </w:r>
          </w:p>
          <w:p>
            <w:pPr>
              <w:rPr>
                <w:rFonts w:eastAsia="宋体" w:ascii="宋体" w:hAnsi="宋体"/>
                <w:sz w:val="21"/>
                <w:szCs w:val="21"/>
                <w:color w:val="000000"/>
              </w:rPr>
            </w:pPr>
            <w:r>
              <w:rPr>
                <w:rFonts w:eastAsia="宋体" w:ascii="宋体" w:hAnsi="宋体"/>
                <w:sz w:val="21"/>
                <w:szCs w:val="21"/>
                <w:color w:val="000000"/>
              </w:rPr>
              <w:t>第三阶段：2025.09.13~2025.10.11　　完成论文初稿。</w:t>
            </w:r>
          </w:p>
          <w:p>
            <w:pPr>
              <w:rPr>
                <w:rFonts w:eastAsia="宋体" w:ascii="宋体" w:hAnsi="宋体"/>
                <w:sz w:val="21"/>
                <w:szCs w:val="21"/>
                <w:color w:val="000000"/>
              </w:rPr>
            </w:pPr>
            <w:r>
              <w:rPr>
                <w:rFonts w:eastAsia="宋体" w:ascii="宋体" w:hAnsi="宋体"/>
                <w:sz w:val="21"/>
                <w:szCs w:val="21"/>
                <w:color w:val="000000"/>
              </w:rPr>
              <w:t>第四阶段：2025.10.12~2025.11.25　　修改完善并定稿。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主要参考文献：</w:t>
            </w:r>
          </w:p>
          <w:p>
            <w:pPr>
              <w:rPr>
                <w:rFonts w:eastAsia="宋体" w:ascii="宋体" w:hAnsi="宋体"/>
                <w:sz w:val="21"/>
                <w:szCs w:val="21"/>
                <w:color w:val="000000"/>
              </w:rPr>
            </w:pPr>
            <w:r>
              <w:rPr>
                <w:rFonts w:eastAsia="宋体" w:ascii="宋体" w:hAnsi="宋体"/>
                <w:sz w:val="21"/>
                <w:szCs w:val="21"/>
                <w:color w:val="000000"/>
              </w:rPr>
              <w:t>[1]  肖建庄. 再生混凝土[M]. 北京: 中国建筑工业出版社, 2008.</w:t>
            </w:r>
          </w:p>
          <w:p>
            <w:pPr>
              <w:rPr>
                <w:rFonts w:eastAsia="宋体" w:ascii="宋体" w:hAnsi="宋体"/>
                <w:sz w:val="21"/>
                <w:szCs w:val="21"/>
                <w:color w:val="000000"/>
              </w:rPr>
            </w:pPr>
            <w:r>
              <w:rPr>
                <w:rFonts w:eastAsia="宋体" w:ascii="宋体" w:hAnsi="宋体"/>
                <w:sz w:val="21"/>
                <w:szCs w:val="21"/>
                <w:color w:val="000000"/>
              </w:rPr>
              <w:t>[2]  中华人民共和国住房和城乡建设部. 再生骨料应用技术规程: JGJ/T 240-2011[S]. 北京: 中国建筑工业出版社, 2011.</w:t>
            </w:r>
          </w:p>
          <w:p>
            <w:pPr>
              <w:rPr>
                <w:rFonts w:eastAsia="宋体" w:ascii="宋体" w:hAnsi="宋体"/>
                <w:sz w:val="21"/>
                <w:szCs w:val="21"/>
                <w:color w:val="000000"/>
              </w:rPr>
            </w:pPr>
            <w:r>
              <w:rPr>
                <w:rFonts w:eastAsia="宋体" w:ascii="宋体" w:hAnsi="宋体"/>
                <w:sz w:val="21"/>
                <w:szCs w:val="21"/>
                <w:color w:val="000000"/>
              </w:rPr>
              <w:t>[3]  中华人民共和国住房和城乡建设部. 装配式混凝土建筑技术标准: GB/T 51231-2016[S]. 北京: 中国建筑工业出版社, 2016.</w:t>
            </w:r>
          </w:p>
          <w:p>
            <w:pPr>
              <w:rPr>
                <w:rFonts w:eastAsia="宋体" w:ascii="宋体" w:hAnsi="宋体"/>
                <w:sz w:val="21"/>
                <w:szCs w:val="21"/>
                <w:color w:val="000000"/>
              </w:rPr>
            </w:pPr>
            <w:r>
              <w:rPr>
                <w:rFonts w:eastAsia="宋体" w:ascii="宋体" w:hAnsi="宋体"/>
                <w:sz w:val="21"/>
                <w:szCs w:val="21"/>
                <w:color w:val="000000"/>
              </w:rPr>
              <w:t>[4]  海然, 崔力, 翟胜田, 等. 基于文献聚类分析的再生混凝土抗压强度及耐久性最新研究进展[J]. 材料导报, 2025, 39(17): 24050154.</w:t>
            </w:r>
          </w:p>
          <w:p>
            <w:pPr>
              <w:rPr>
                <w:rFonts w:eastAsia="宋体" w:ascii="宋体" w:hAnsi="宋体"/>
                <w:sz w:val="21"/>
                <w:szCs w:val="21"/>
                <w:color w:val="000000"/>
              </w:rPr>
            </w:pPr>
            <w:r>
              <w:rPr>
                <w:rFonts w:eastAsia="宋体" w:ascii="宋体" w:hAnsi="宋体"/>
                <w:sz w:val="21"/>
                <w:szCs w:val="21"/>
                <w:color w:val="000000"/>
              </w:rPr>
              <w:t>[5]  李想, 孙建刚, 张书进, 等. 一种基于再生混凝土的装配式结构抗震性能试验研究[J]. 振动工程学报, 2021, 34(5).</w:t>
            </w:r>
          </w:p>
        </w:tc>
      </w:tr>
    </w:tbl>
    <w:p>
      <w:pPr>
        <w:rPr>
          <w:rFonts w:hint="eastAsia"/>
          <w:sz w:val="24"/>
        </w:rPr>
      </w:pPr>
    </w:p>
    <w:p>
      <w:pPr>
        <w:ind w:firstLine="1800"/>
        <w:jc w:val="center"/>
        <w:rPr>
          <w:sz w:val="24"/>
        </w:rPr>
      </w:pPr>
      <w:r>
        <w:rPr>
          <w:rFonts w:hint="eastAsia"/>
          <w:sz w:val="24"/>
        </w:rPr>
        <w:t xml:space="preserve">                               指导老师</w:t>
      </w:r>
      <w:r>
        <w:rPr>
          <w:sz w:val="24"/>
        </w:rPr>
        <w:t>_______________</w:t>
      </w:r>
    </w:p>
    <w:p>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r>
        <w:br w:type="page"/>
      </w:r>
    </w:p>
    <w:p>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pPr>
              <w:jc w:val="center"/>
              <w:rPr>
                <w:rFonts w:hint="eastAsia"/>
                <w:sz w:val="24"/>
              </w:rPr>
            </w:pPr>
            <w:r>
              <w:rPr>
                <w:rFonts w:hint="eastAsia"/>
                <w:sz w:val="24"/>
              </w:rPr>
              <w:t>姓名</w:t>
            </w:r>
          </w:p>
        </w:tc>
        <w:tc>
          <w:tcPr>
            <w:tcW w:w="1260" w:type="dxa"/>
            <w:noWrap w:val="0"/>
            <w:vAlign w:val="center"/>
          </w:tcPr>
          <w:p>
            <w:pPr>
              <w:jc w:val="center"/>
              <w:rPr>
                <w:rFonts w:hint="default" w:eastAsia="宋体"/>
                <w:sz w:val="24"/>
                <w:lang w:val="en-US" w:eastAsia="zh-CN"/>
              </w:rPr>
            </w:pPr>
          </w:p>
        </w:tc>
        <w:tc>
          <w:tcPr>
            <w:tcW w:w="1260" w:type="dxa"/>
            <w:noWrap w:val="0"/>
            <w:vAlign w:val="center"/>
          </w:tcPr>
          <w:p>
            <w:pPr>
              <w:jc w:val="center"/>
              <w:rPr>
                <w:rFonts w:hint="eastAsia"/>
                <w:sz w:val="24"/>
              </w:rPr>
            </w:pPr>
            <w:r>
              <w:rPr>
                <w:rFonts w:hint="eastAsia"/>
                <w:sz w:val="24"/>
              </w:rPr>
              <w:t>系别</w:t>
            </w:r>
          </w:p>
        </w:tc>
        <w:tc>
          <w:tcPr>
            <w:tcW w:w="1440" w:type="dxa"/>
            <w:noWrap w:val="0"/>
            <w:vAlign w:val="center"/>
          </w:tcPr>
          <w:p>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pPr>
              <w:jc w:val="center"/>
              <w:rPr>
                <w:rFonts w:hint="eastAsia"/>
                <w:sz w:val="24"/>
              </w:rPr>
            </w:pPr>
            <w:r>
              <w:rPr>
                <w:rFonts w:hint="eastAsia"/>
                <w:sz w:val="24"/>
              </w:rPr>
              <w:t>班级</w:t>
            </w:r>
          </w:p>
        </w:tc>
        <w:tc>
          <w:tcPr>
            <w:tcW w:w="1975" w:type="dxa"/>
            <w:noWrap w:val="0"/>
            <w:vAlign w:val="center"/>
          </w:tcPr>
          <w:p>
            <w:pPr>
              <w:jc w:val="center"/>
              <w:rPr>
                <w:rFonts w:hint="default" w:eastAsia="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pPr>
              <w:jc w:val="center"/>
              <w:rPr>
                <w:rFonts w:hint="eastAsia"/>
                <w:sz w:val="24"/>
              </w:rPr>
            </w:pPr>
            <w:r>
              <w:rPr>
                <w:rFonts w:hint="eastAsia"/>
                <w:sz w:val="24"/>
              </w:rPr>
              <w:t>论文题目</w:t>
            </w:r>
          </w:p>
        </w:tc>
        <w:tc>
          <w:tcPr>
            <w:tcW w:w="3960" w:type="dxa"/>
            <w:gridSpan w:val="3"/>
            <w:noWrap w:val="0"/>
            <w:vAlign w:val="center"/>
          </w:tcPr>
          <w:p>
            <w:pPr>
              <w:jc w:val="center"/>
              <w:rPr>
                <w:rFonts w:hint="eastAsia"/>
                <w:sz w:val="24"/>
              </w:rPr>
            </w:pPr>
          </w:p>
        </w:tc>
        <w:tc>
          <w:tcPr>
            <w:tcW w:w="1219" w:type="dxa"/>
            <w:noWrap w:val="0"/>
            <w:vAlign w:val="center"/>
          </w:tcPr>
          <w:p>
            <w:pPr>
              <w:jc w:val="center"/>
              <w:rPr>
                <w:rFonts w:hint="eastAsia"/>
                <w:sz w:val="24"/>
              </w:rPr>
            </w:pPr>
            <w:r>
              <w:rPr>
                <w:rFonts w:hint="eastAsia"/>
                <w:sz w:val="24"/>
              </w:rPr>
              <w:t>指导老师</w:t>
            </w:r>
          </w:p>
        </w:tc>
        <w:tc>
          <w:tcPr>
            <w:tcW w:w="1975" w:type="dxa"/>
            <w:noWrap w:val="0"/>
            <w:vAlign w:val="center"/>
          </w:tcPr>
          <w:p>
            <w:pPr>
              <w:jc w:val="center"/>
              <w:rPr>
                <w:rFonts w:hint="eastAsia" w:eastAsia="宋体"/>
                <w:sz w:val="24"/>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时间安排：2025.08.18~2025.09.03</w:t>
            </w:r>
          </w:p>
          <w:p>
            <w:pPr>
              <w:rPr>
                <w:rFonts w:eastAsia="宋体" w:ascii="宋体" w:hAnsi="宋体"/>
                <w:sz w:val="21"/>
                <w:szCs w:val="21"/>
                <w:color w:val="000000"/>
              </w:rPr>
            </w:pPr>
            <w:r>
              <w:rPr>
                <w:rFonts w:eastAsia="宋体" w:ascii="宋体" w:hAnsi="宋体"/>
                <w:sz w:val="21"/>
                <w:szCs w:val="21"/>
                <w:color w:val="000000"/>
              </w:rPr>
              <w:t>完成任务情况：完成论文选题，查阅再生混凝土与装配式建筑相关文献，撰写开题报告，下发任务书，收集工程案例资料。</w:t>
            </w:r>
          </w:p>
          <w:p>
            <w:pPr>
              <w:rPr>
                <w:rFonts w:eastAsia="宋体" w:ascii="宋体" w:hAnsi="宋体"/>
                <w:sz w:val="21"/>
                <w:szCs w:val="21"/>
                <w:color w:val="000000"/>
              </w:rPr>
            </w:pPr>
            <w:r>
              <w:rPr>
                <w:rFonts w:eastAsia="宋体" w:ascii="宋体" w:hAnsi="宋体"/>
                <w:sz w:val="21"/>
                <w:szCs w:val="21"/>
                <w:color w:val="000000"/>
              </w:rPr>
              <w:t>教师指导意见：资料收集较为充分，但工程实测数据偏少，需进一步补充。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时间安排：2025.09.04~2025.09.12</w:t>
            </w:r>
          </w:p>
          <w:p>
            <w:pPr>
              <w:rPr>
                <w:rFonts w:eastAsia="宋体" w:ascii="宋体" w:hAnsi="宋体"/>
                <w:sz w:val="21"/>
                <w:szCs w:val="21"/>
                <w:color w:val="000000"/>
              </w:rPr>
            </w:pPr>
            <w:r>
              <w:rPr>
                <w:rFonts w:eastAsia="宋体" w:ascii="宋体" w:hAnsi="宋体"/>
                <w:sz w:val="21"/>
                <w:szCs w:val="21"/>
                <w:color w:val="000000"/>
              </w:rPr>
              <w:t>完成任务情况：补充收集广西百米级再生混凝土公寓项目的公开资料，确定论文主体结构为六章，完成详细写作提纲。</w:t>
            </w:r>
          </w:p>
          <w:p>
            <w:pPr>
              <w:rPr>
                <w:rFonts w:eastAsia="宋体" w:ascii="宋体" w:hAnsi="宋体"/>
                <w:sz w:val="21"/>
                <w:szCs w:val="21"/>
                <w:color w:val="000000"/>
              </w:rPr>
            </w:pPr>
            <w:r>
              <w:rPr>
                <w:rFonts w:eastAsia="宋体" w:ascii="宋体" w:hAnsi="宋体"/>
                <w:sz w:val="21"/>
                <w:szCs w:val="21"/>
                <w:color w:val="000000"/>
              </w:rPr>
              <w:t>教师指导意见：框架合理，层次清晰，可按计划推进。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时间安排：2025.09.13~2025.10.11</w:t>
            </w:r>
          </w:p>
          <w:p>
            <w:pPr>
              <w:rPr>
                <w:rFonts w:eastAsia="宋体" w:ascii="宋体" w:hAnsi="宋体"/>
                <w:sz w:val="21"/>
                <w:szCs w:val="21"/>
                <w:color w:val="000000"/>
              </w:rPr>
            </w:pPr>
            <w:r>
              <w:rPr>
                <w:rFonts w:eastAsia="宋体" w:ascii="宋体" w:hAnsi="宋体"/>
                <w:sz w:val="21"/>
                <w:szCs w:val="21"/>
                <w:color w:val="000000"/>
              </w:rPr>
              <w:t>完成任务情况：完成论文初稿，内容与格式基本符合要求。</w:t>
            </w:r>
          </w:p>
          <w:p>
            <w:pPr>
              <w:rPr>
                <w:rFonts w:eastAsia="宋体" w:ascii="宋体" w:hAnsi="宋体"/>
                <w:sz w:val="21"/>
                <w:szCs w:val="21"/>
                <w:color w:val="000000"/>
              </w:rPr>
            </w:pPr>
            <w:r>
              <w:rPr>
                <w:rFonts w:eastAsia="宋体" w:ascii="宋体" w:hAnsi="宋体"/>
                <w:sz w:val="21"/>
                <w:szCs w:val="21"/>
                <w:color w:val="000000"/>
              </w:rPr>
              <w:t>教师指导意见：初稿对施工适应性的分析还需加强，部分章节需再修改。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时间安排：2025.10.12~2025.11.25</w:t>
            </w:r>
          </w:p>
          <w:p>
            <w:pPr>
              <w:rPr>
                <w:rFonts w:eastAsia="宋体" w:ascii="宋体" w:hAnsi="宋体"/>
                <w:sz w:val="21"/>
                <w:szCs w:val="21"/>
                <w:color w:val="000000"/>
              </w:rPr>
            </w:pPr>
            <w:r>
              <w:rPr>
                <w:rFonts w:eastAsia="宋体" w:ascii="宋体" w:hAnsi="宋体"/>
                <w:sz w:val="21"/>
                <w:szCs w:val="21"/>
                <w:color w:val="000000"/>
              </w:rPr>
              <w:t>完成任务情况：按指导意见修改完善，完成论文定稿。</w:t>
            </w:r>
          </w:p>
          <w:p>
            <w:pPr>
              <w:rPr>
                <w:rFonts w:eastAsia="宋体" w:ascii="宋体" w:hAnsi="宋体"/>
                <w:sz w:val="21"/>
                <w:szCs w:val="21"/>
                <w:color w:val="000000"/>
              </w:rPr>
            </w:pPr>
            <w:r>
              <w:rPr>
                <w:rFonts w:eastAsia="宋体" w:ascii="宋体" w:hAnsi="宋体"/>
                <w:sz w:val="21"/>
                <w:szCs w:val="21"/>
                <w:color w:val="000000"/>
              </w:rPr>
              <w:t>教师指导意见：完成情况良好。</w:t>
            </w:r>
          </w:p>
        </w:tc>
      </w:tr>
    </w:tbl>
    <w:p/>
    <w:p>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pPr>
        <w:spacing w:before="120" w:beforeLines="50" w:after="48" w:afterLines="20"/>
        <w:rPr>
          <w:rFonts w:hint="eastAsia" w:ascii="方正小标宋简体" w:hAnsi="方正小标宋简体" w:eastAsia="方正小标宋简体" w:cs="方正小标宋简体"/>
          <w:sz w:val="48"/>
          <w:szCs w:val="10"/>
        </w:rPr>
      </w:pPr>
    </w:p>
    <w:p>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tblPrEx>
          <w:tblCellMar>
            <w:top w:w="0" w:type="dxa"/>
            <w:left w:w="108" w:type="dxa"/>
            <w:bottom w:w="0" w:type="dxa"/>
            <w:right w:w="108" w:type="dxa"/>
          </w:tblCellMar>
        </w:tblPrEx>
        <w:trPr>
          <w:trHeight w:val="765" w:hRule="atLeast"/>
        </w:trPr>
        <w:tc>
          <w:tcPr>
            <w:tcW w:w="1406" w:type="dxa"/>
            <w:noWrap w:val="0"/>
            <w:vAlign w:val="bottom"/>
          </w:tcPr>
          <w:p>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pPr>
              <w:spacing w:line="520" w:lineRule="exact"/>
              <w:jc w:val="center"/>
              <w:rPr>
                <w:rFonts w:hint="eastAsia" w:eastAsia="楷体_GB2312"/>
                <w:sz w:val="32"/>
              </w:rPr>
            </w:pPr>
          </w:p>
        </w:tc>
        <w:tc>
          <w:tcPr>
            <w:tcW w:w="1260" w:type="dxa"/>
            <w:noWrap w:val="0"/>
            <w:vAlign w:val="bottom"/>
          </w:tcPr>
          <w:p>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pPr>
              <w:spacing w:line="520" w:lineRule="exact"/>
              <w:jc w:val="center"/>
              <w:rPr>
                <w:rFonts w:hint="eastAsia" w:eastAsia="楷体_GB2312"/>
                <w:sz w:val="32"/>
              </w:rPr>
            </w:pPr>
          </w:p>
        </w:tc>
      </w:tr>
      <w:tr>
        <w:tblPrEx>
          <w:tblCellMar>
            <w:top w:w="0" w:type="dxa"/>
            <w:left w:w="108" w:type="dxa"/>
            <w:bottom w:w="0" w:type="dxa"/>
            <w:right w:w="108" w:type="dxa"/>
          </w:tblCellMar>
        </w:tblPrEx>
        <w:trPr>
          <w:trHeight w:val="765" w:hRule="atLeast"/>
        </w:trPr>
        <w:tc>
          <w:tcPr>
            <w:tcW w:w="1406" w:type="dxa"/>
            <w:noWrap w:val="0"/>
            <w:vAlign w:val="bottom"/>
          </w:tcPr>
          <w:p>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计算机系</w:t>
            </w:r>
          </w:p>
        </w:tc>
      </w:tr>
      <w:tr>
        <w:tblPrEx>
          <w:tblCellMar>
            <w:top w:w="0" w:type="dxa"/>
            <w:left w:w="108" w:type="dxa"/>
            <w:bottom w:w="0" w:type="dxa"/>
            <w:right w:w="108" w:type="dxa"/>
          </w:tblCellMar>
        </w:tblPrEx>
        <w:trPr>
          <w:trHeight w:val="765" w:hRule="atLeast"/>
        </w:trPr>
        <w:tc>
          <w:tcPr>
            <w:tcW w:w="1406" w:type="dxa"/>
            <w:noWrap w:val="0"/>
            <w:vAlign w:val="bottom"/>
          </w:tcPr>
          <w:p>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计算机应用技术</w:t>
            </w:r>
          </w:p>
        </w:tc>
      </w:tr>
      <w:tr>
        <w:tblPrEx>
          <w:tblCellMar>
            <w:top w:w="0" w:type="dxa"/>
            <w:left w:w="108" w:type="dxa"/>
            <w:bottom w:w="0" w:type="dxa"/>
            <w:right w:w="108" w:type="dxa"/>
          </w:tblCellMar>
        </w:tblPrEx>
        <w:trPr>
          <w:trHeight w:val="765" w:hRule="atLeast"/>
        </w:trPr>
        <w:tc>
          <w:tcPr>
            <w:tcW w:w="1406" w:type="dxa"/>
            <w:noWrap w:val="0"/>
            <w:vAlign w:val="bottom"/>
          </w:tcPr>
          <w:p>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再生混凝土在装配式建筑中的应用评价——以住宅项目为例</w:t>
            </w:r>
          </w:p>
        </w:tc>
      </w:tr>
      <w:tr>
        <w:tblPrEx>
          <w:tblCellMar>
            <w:top w:w="0" w:type="dxa"/>
            <w:left w:w="108" w:type="dxa"/>
            <w:bottom w:w="0" w:type="dxa"/>
            <w:right w:w="108" w:type="dxa"/>
          </w:tblCellMar>
        </w:tblPrEx>
        <w:trPr>
          <w:trHeight w:val="765" w:hRule="atLeast"/>
        </w:trPr>
        <w:tc>
          <w:tcPr>
            <w:tcW w:w="1406" w:type="dxa"/>
            <w:noWrap w:val="0"/>
            <w:vAlign w:val="bottom"/>
          </w:tcPr>
          <w:p>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p>
      <w:pPr>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pPr>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sz w:val="21"/>
                <w:szCs w:val="21"/>
                <w:color w:val="000000"/>
              </w:rPr>
            </w:pPr>
            <w:r>
              <w:rPr>
                <w:rFonts w:eastAsia="宋体" w:ascii="宋体" w:hAnsi="宋体"/>
                <w:sz w:val="21"/>
                <w:szCs w:val="21"/>
                <w:color w:val="000000"/>
              </w:rPr>
              <w:t>2025</w:t>
            </w:r>
          </w:p>
        </w:tc>
        <w:tc>
          <w:tcPr>
            <w:tcW w:w="716" w:type="dxa"/>
            <w:noWrap w:val="0"/>
            <w:vAlign w:val="top"/>
          </w:tcPr>
          <w:p>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sz w:val="21"/>
                <w:szCs w:val="21"/>
                <w:color w:val="000000"/>
              </w:rPr>
            </w:pPr>
            <w:r>
              <w:rPr>
                <w:rFonts w:eastAsia="宋体" w:ascii="宋体" w:hAnsi="宋体"/>
                <w:sz w:val="21"/>
                <w:szCs w:val="21"/>
                <w:color w:val="000000"/>
              </w:rPr>
              <w:t>9</w:t>
            </w:r>
          </w:p>
        </w:tc>
        <w:tc>
          <w:tcPr>
            <w:tcW w:w="716" w:type="dxa"/>
            <w:noWrap w:val="0"/>
            <w:vAlign w:val="top"/>
          </w:tcPr>
          <w:p>
            <w:pPr>
              <w:spacing w:line="360" w:lineRule="exact"/>
              <w:jc w:val="center"/>
              <w:rPr>
                <w:sz w:val="32"/>
              </w:rPr>
            </w:pPr>
            <w:r>
              <w:rPr>
                <w:rFonts w:hint="eastAsia" w:eastAsia="黑体"/>
                <w:sz w:val="32"/>
              </w:rPr>
              <w:t>月</w:t>
            </w:r>
          </w:p>
        </w:tc>
      </w:tr>
    </w:tbl>
    <w:p>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pPr>
        <w:snapToGrid w:val="0"/>
        <w:spacing w:after="72" w:afterLines="30" w:line="560" w:lineRule="exact"/>
        <w:rPr>
          <w:rFonts w:hint="eastAsia"/>
          <w:color w:val="000000"/>
          <w:sz w:val="24"/>
        </w:rPr>
      </w:pPr>
      <w:r>
        <w:rPr>
          <w:rFonts w:hint="eastAsia" w:ascii="宋体" w:hAnsi="宋体" w:eastAsia="宋体"/>
          <w:b/>
          <w:bCs/>
          <w:spacing w:val="40"/>
          <w:kern w:val="18"/>
          <w:sz w:val="24"/>
          <w:color w:val="000000"/>
          <w:szCs w:val="24"/>
        </w:rPr>
        <w:t>摘 要：再生混凝土由废弃混凝土经破碎、筛分后作为骨料重新拌制而成，可同时缓解建筑固废堆存压力与天然砂石资源紧张。本文以广西某30层、建筑高度接近100 m的再生混凝土公寓项目为对象，对该项目中再生骨料取代率为30%、总用量约10679 m³的再生混凝土应用情况进行评价。研究从技术性能、施工适应性、经济与环境效益三个维度构建评价指标体系，结合配合比设计、构件生产与实体检测数据开展分析。结果表明：30%取代率条件下再生混凝土的抗压强度、弹性模量与耐久性能均满足设计要求，弹性模量略低的特点有利于优化结构刚度分布、改善地震作用下的内力分配；但骨料吸水率偏高导致的工作性波动、构件质量离散性偏大等问题仍需控制。对此提出加强骨料分级预处理、优化配合比参数、完善过程质量留痕等对策。</w:t>
      </w:r>
    </w:p>
    <w:p>
      <w:pPr>
        <w:spacing w:line="360" w:lineRule="auto"/>
        <w:rPr>
          <w:rFonts w:hint="eastAsia"/>
          <w:color w:val="000000"/>
          <w:sz w:val="24"/>
        </w:rPr>
      </w:pPr>
    </w:p>
    <w:p>
      <w:pPr>
        <w:spacing w:line="360" w:lineRule="auto"/>
        <w:rPr>
          <w:color w:val="000000"/>
          <w:sz w:val="24"/>
        </w:rPr>
      </w:pPr>
      <w:r>
        <w:rPr>
          <w:rFonts w:hint="eastAsia" w:ascii="宋体" w:hAnsi="宋体" w:eastAsia="宋体"/>
          <w:b/>
          <w:bCs/>
          <w:spacing w:val="40"/>
          <w:kern w:val="18"/>
          <w:sz w:val="24"/>
          <w:color w:val="000000"/>
          <w:szCs w:val="24"/>
        </w:rPr>
        <w:t xml:space="preserve">关键词：</w:t>
      </w:r>
      <w:r>
        <w:rPr>
          <w:rFonts w:eastAsia="宋体" w:ascii="宋体" w:hAnsi="宋体"/>
          <w:sz w:val="24"/>
          <w:szCs w:val="24"/>
          <w:color w:val="000000"/>
        </w:rPr>
        <w:t xml:space="preserve">  再生混凝土；装配式建筑；住宅项目；应用评价；再生骨料</w:t>
      </w:r>
    </w:p>
    <w:p>
      <w:pPr>
        <w:spacing w:line="360" w:lineRule="auto"/>
        <w:jc w:val="left"/>
        <w:rPr>
          <w:color w:val="000000"/>
          <w:sz w:val="24"/>
        </w:rPr>
      </w:pPr>
    </w:p>
    <w:p>
      <w:pPr>
        <w:spacing w:line="360" w:lineRule="auto"/>
        <w:jc w:val="left"/>
        <w:rPr>
          <w:color w:val="000000"/>
          <w:sz w:val="24"/>
        </w:rPr>
      </w:pPr>
      <w:r>
        <w:br w:type="page"/>
      </w:r>
    </w:p>
    <w:p>
      <w:pPr>
        <w:spacing w:line="360" w:lineRule="auto"/>
        <w:rPr>
          <w:rFonts w:eastAsia="黑体"/>
          <w:sz w:val="24"/>
        </w:rPr>
      </w:pPr>
      <w:r>
        <w:rPr>
          <w:rFonts w:hint="eastAsia" w:eastAsia="Times New Roman" w:ascii="Times New Roman" w:hAnsi="Times New Roman"/>
          <w:b/>
          <w:bCs/>
          <w:sz w:val="24"/>
          <w:color w:val="000000"/>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pPr>
        <w:spacing w:line="360" w:lineRule="auto"/>
        <w:rPr>
          <w:rFonts w:hint="eastAsia" w:eastAsia="黑体"/>
          <w:color w:val="000000"/>
          <w:sz w:val="24"/>
        </w:rPr>
      </w:pPr>
      <w:r>
        <w:rPr>
          <w:rFonts w:eastAsia="Times New Roman" w:ascii="Times New Roman" w:hAnsi="Times New Roman"/>
          <w:b/>
          <w:bCs/>
          <w:sz w:val="24"/>
          <w:color w:val="000000"/>
          <w:szCs w:val="24"/>
        </w:rPr>
        <w:t xml:space="preserve">Key words：</w:t>
      </w:r>
      <w:r>
        <w:rPr>
          <w:rFonts w:eastAsia="Times New Roman" w:ascii="Times New Roman" w:hAnsi="Times New Roman"/>
          <w:sz w:val="24"/>
          <w:szCs w:val="24"/>
          <w:color w:val="000000"/>
        </w:rPr>
        <w:t xml:space="preserve">  recycled aggregate concrete; prefabricated building; residential project; application evaluation; recycled aggregate</w:t>
      </w:r>
    </w:p>
    <w:p>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sz w:val="36"/>
          <w:szCs w:val="36"/>
          <w:color w:val="000000"/>
        </w:rPr>
        <w:t xml:space="preserve">目  录</w:t>
      </w:r>
    </w:p>
    <w:p>
      <w:pPr>
        <w:tabs>
          <w:tab w:val="right" w:leader="dot" w:pos="8302"/>
        </w:tabs>
        <w:spacing w:line="560" w:lineRule="exact"/>
        <w:rPr>
          <w:rFonts w:hint="eastAsia" w:ascii="宋体" w:hAnsi="宋体"/>
          <w:color w:val="000000"/>
          <w:sz w:val="24"/>
        </w:rPr>
      </w:pP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1  绪论</w:t>
      </w:r>
      <w:r>
        <w:rPr>
          <w:rFonts w:ascii="宋体" w:hAnsi="宋体" w:eastAsia="宋体"/>
          <w:color w:val="000000"/>
          <w:sz w:val="24"/>
          <w:szCs w:val="24"/>
        </w:rPr>
        <w:tab/>
      </w:r>
      <w:r>
        <w:rPr>
          <w:rFonts w:ascii="宋体" w:hAnsi="宋体" w:eastAsia="宋体"/>
          <w:color w:val="000000"/>
          <w:sz w:val="24"/>
          <w:szCs w:val="24"/>
        </w:rPr>
        <w:t>1</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1．1  研究背景</w:t>
      </w:r>
      <w:r>
        <w:rPr>
          <w:rFonts w:ascii="宋体" w:hAnsi="宋体" w:eastAsia="宋体"/>
          <w:color w:val="000000"/>
          <w:sz w:val="24"/>
          <w:szCs w:val="24"/>
        </w:rPr>
        <w:tab/>
      </w:r>
      <w:r>
        <w:rPr>
          <w:rFonts w:ascii="宋体" w:hAnsi="宋体" w:eastAsia="宋体"/>
          <w:color w:val="000000"/>
          <w:sz w:val="24"/>
          <w:szCs w:val="24"/>
        </w:rPr>
        <w:t>4</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1．2  研究目的与意义</w:t>
      </w:r>
      <w:r>
        <w:rPr>
          <w:rFonts w:ascii="宋体" w:hAnsi="宋体" w:eastAsia="宋体"/>
          <w:color w:val="000000"/>
          <w:sz w:val="24"/>
          <w:szCs w:val="24"/>
        </w:rPr>
        <w:tab/>
      </w:r>
      <w:r>
        <w:rPr>
          <w:rFonts w:ascii="宋体" w:hAnsi="宋体" w:eastAsia="宋体"/>
          <w:color w:val="000000"/>
          <w:sz w:val="24"/>
          <w:szCs w:val="24"/>
        </w:rPr>
        <w:t>9</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1．3  国内外研究现状</w:t>
      </w:r>
      <w:r>
        <w:rPr>
          <w:rFonts w:ascii="宋体" w:hAnsi="宋体" w:eastAsia="宋体"/>
          <w:color w:val="000000"/>
          <w:sz w:val="24"/>
          <w:szCs w:val="24"/>
        </w:rPr>
        <w:tab/>
      </w:r>
      <w:r>
        <w:rPr>
          <w:rFonts w:ascii="宋体" w:hAnsi="宋体" w:eastAsia="宋体"/>
          <w:color w:val="000000"/>
          <w:sz w:val="24"/>
          <w:szCs w:val="24"/>
        </w:rPr>
        <w:t>12</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1．4  研究内容与技术路线</w:t>
      </w:r>
      <w:r>
        <w:rPr>
          <w:rFonts w:ascii="宋体" w:hAnsi="宋体" w:eastAsia="宋体"/>
          <w:color w:val="000000"/>
          <w:sz w:val="24"/>
          <w:szCs w:val="24"/>
        </w:rPr>
        <w:tab/>
      </w:r>
      <w:r>
        <w:rPr>
          <w:rFonts w:ascii="宋体" w:hAnsi="宋体" w:eastAsia="宋体"/>
          <w:color w:val="000000"/>
          <w:sz w:val="24"/>
          <w:szCs w:val="24"/>
        </w:rPr>
        <w:t>19</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2  再生混凝土与装配式建筑的基本理论</w:t>
      </w:r>
      <w:r>
        <w:rPr>
          <w:rFonts w:ascii="宋体" w:hAnsi="宋体" w:eastAsia="宋体"/>
          <w:color w:val="000000"/>
          <w:sz w:val="24"/>
          <w:szCs w:val="24"/>
        </w:rPr>
        <w:tab/>
      </w:r>
      <w:r>
        <w:rPr>
          <w:rFonts w:ascii="宋体" w:hAnsi="宋体" w:eastAsia="宋体"/>
          <w:color w:val="000000"/>
          <w:sz w:val="24"/>
          <w:szCs w:val="24"/>
        </w:rPr>
        <w:t>22</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2．1  再生骨料与再生混凝土的定义与分类</w:t>
      </w:r>
      <w:r>
        <w:rPr>
          <w:rFonts w:ascii="宋体" w:hAnsi="宋体" w:eastAsia="宋体"/>
          <w:color w:val="000000"/>
          <w:sz w:val="24"/>
          <w:szCs w:val="24"/>
        </w:rPr>
        <w:tab/>
      </w:r>
      <w:r>
        <w:rPr>
          <w:rFonts w:ascii="宋体" w:hAnsi="宋体" w:eastAsia="宋体"/>
          <w:color w:val="000000"/>
          <w:sz w:val="24"/>
          <w:szCs w:val="24"/>
        </w:rPr>
        <w:t>25</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2．2  再生混凝土的主要性能特征</w:t>
      </w:r>
      <w:r>
        <w:rPr>
          <w:rFonts w:ascii="宋体" w:hAnsi="宋体" w:eastAsia="宋体"/>
          <w:color w:val="000000"/>
          <w:sz w:val="24"/>
          <w:szCs w:val="24"/>
        </w:rPr>
        <w:tab/>
      </w:r>
      <w:r>
        <w:rPr>
          <w:rFonts w:ascii="宋体" w:hAnsi="宋体" w:eastAsia="宋体"/>
          <w:color w:val="000000"/>
          <w:sz w:val="24"/>
          <w:szCs w:val="24"/>
        </w:rPr>
        <w:t>31</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2．3  装配式混凝土结构体系</w:t>
      </w:r>
      <w:r>
        <w:rPr>
          <w:rFonts w:ascii="宋体" w:hAnsi="宋体" w:eastAsia="宋体"/>
          <w:color w:val="000000"/>
          <w:sz w:val="24"/>
          <w:szCs w:val="24"/>
        </w:rPr>
        <w:tab/>
      </w:r>
      <w:r>
        <w:rPr>
          <w:rFonts w:ascii="宋体" w:hAnsi="宋体" w:eastAsia="宋体"/>
          <w:color w:val="000000"/>
          <w:sz w:val="24"/>
          <w:szCs w:val="24"/>
        </w:rPr>
        <w:t>37</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2．4  再生混凝土应用的标准与规定</w:t>
      </w:r>
      <w:r>
        <w:rPr>
          <w:rFonts w:ascii="宋体" w:hAnsi="宋体" w:eastAsia="宋体"/>
          <w:color w:val="000000"/>
          <w:sz w:val="24"/>
          <w:szCs w:val="24"/>
        </w:rPr>
        <w:tab/>
      </w:r>
      <w:r>
        <w:rPr>
          <w:rFonts w:ascii="宋体" w:hAnsi="宋体" w:eastAsia="宋体"/>
          <w:color w:val="000000"/>
          <w:sz w:val="24"/>
          <w:szCs w:val="24"/>
        </w:rPr>
        <w:t>43</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3  工程概况与再生混凝土应用方案</w:t>
      </w:r>
      <w:r>
        <w:rPr>
          <w:rFonts w:ascii="宋体" w:hAnsi="宋体" w:eastAsia="宋体"/>
          <w:color w:val="000000"/>
          <w:sz w:val="24"/>
          <w:szCs w:val="24"/>
        </w:rPr>
        <w:tab/>
      </w:r>
      <w:r>
        <w:rPr>
          <w:rFonts w:ascii="宋体" w:hAnsi="宋体" w:eastAsia="宋体"/>
          <w:color w:val="000000"/>
          <w:sz w:val="24"/>
          <w:szCs w:val="24"/>
        </w:rPr>
        <w:t>47</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3．1  项目基本情况</w:t>
      </w:r>
      <w:r>
        <w:rPr>
          <w:rFonts w:ascii="宋体" w:hAnsi="宋体" w:eastAsia="宋体"/>
          <w:color w:val="000000"/>
          <w:sz w:val="24"/>
          <w:szCs w:val="24"/>
        </w:rPr>
        <w:tab/>
      </w:r>
      <w:r>
        <w:rPr>
          <w:rFonts w:ascii="宋体" w:hAnsi="宋体" w:eastAsia="宋体"/>
          <w:color w:val="000000"/>
          <w:sz w:val="24"/>
          <w:szCs w:val="24"/>
        </w:rPr>
        <w:t>50</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3．2  结构体系与构件配置</w:t>
      </w:r>
      <w:r>
        <w:rPr>
          <w:rFonts w:ascii="宋体" w:hAnsi="宋体" w:eastAsia="宋体"/>
          <w:color w:val="000000"/>
          <w:sz w:val="24"/>
          <w:szCs w:val="24"/>
        </w:rPr>
        <w:tab/>
      </w:r>
      <w:r>
        <w:rPr>
          <w:rFonts w:ascii="宋体" w:hAnsi="宋体" w:eastAsia="宋体"/>
          <w:color w:val="000000"/>
          <w:sz w:val="24"/>
          <w:szCs w:val="24"/>
        </w:rPr>
        <w:t>54</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3．3  再生混凝土的配合比与制备工艺</w:t>
      </w:r>
      <w:r>
        <w:rPr>
          <w:rFonts w:ascii="宋体" w:hAnsi="宋体" w:eastAsia="宋体"/>
          <w:color w:val="000000"/>
          <w:sz w:val="24"/>
          <w:szCs w:val="24"/>
        </w:rPr>
        <w:tab/>
      </w:r>
      <w:r>
        <w:rPr>
          <w:rFonts w:ascii="宋体" w:hAnsi="宋体" w:eastAsia="宋体"/>
          <w:color w:val="000000"/>
          <w:sz w:val="24"/>
          <w:szCs w:val="24"/>
        </w:rPr>
        <w:t>58</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3．4  施工组织与质量控制措施</w:t>
      </w:r>
      <w:r>
        <w:rPr>
          <w:rFonts w:ascii="宋体" w:hAnsi="宋体" w:eastAsia="宋体"/>
          <w:color w:val="000000"/>
          <w:sz w:val="24"/>
          <w:szCs w:val="24"/>
        </w:rPr>
        <w:tab/>
      </w:r>
      <w:r>
        <w:rPr>
          <w:rFonts w:ascii="宋体" w:hAnsi="宋体" w:eastAsia="宋体"/>
          <w:color w:val="000000"/>
          <w:sz w:val="24"/>
          <w:szCs w:val="24"/>
        </w:rPr>
        <w:t>67</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4  再生混凝土在装配式住宅中的应用评价</w:t>
      </w:r>
      <w:r>
        <w:rPr>
          <w:rFonts w:ascii="宋体" w:hAnsi="宋体" w:eastAsia="宋体"/>
          <w:color w:val="000000"/>
          <w:sz w:val="24"/>
          <w:szCs w:val="24"/>
        </w:rPr>
        <w:tab/>
      </w:r>
      <w:r>
        <w:rPr>
          <w:rFonts w:ascii="宋体" w:hAnsi="宋体" w:eastAsia="宋体"/>
          <w:color w:val="000000"/>
          <w:sz w:val="24"/>
          <w:szCs w:val="24"/>
        </w:rPr>
        <w:t>73</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4．1  评价指标体系的构建</w:t>
      </w:r>
      <w:r>
        <w:rPr>
          <w:rFonts w:ascii="宋体" w:hAnsi="宋体" w:eastAsia="宋体"/>
          <w:color w:val="000000"/>
          <w:sz w:val="24"/>
          <w:szCs w:val="24"/>
        </w:rPr>
        <w:tab/>
      </w:r>
      <w:r>
        <w:rPr>
          <w:rFonts w:ascii="宋体" w:hAnsi="宋体" w:eastAsia="宋体"/>
          <w:color w:val="000000"/>
          <w:sz w:val="24"/>
          <w:szCs w:val="24"/>
        </w:rPr>
        <w:t>76</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4．2  技术性能评价</w:t>
      </w:r>
      <w:r>
        <w:rPr>
          <w:rFonts w:ascii="宋体" w:hAnsi="宋体" w:eastAsia="宋体"/>
          <w:color w:val="000000"/>
          <w:sz w:val="24"/>
          <w:szCs w:val="24"/>
        </w:rPr>
        <w:tab/>
      </w:r>
      <w:r>
        <w:rPr>
          <w:rFonts w:ascii="宋体" w:hAnsi="宋体" w:eastAsia="宋体"/>
          <w:color w:val="000000"/>
          <w:sz w:val="24"/>
          <w:szCs w:val="24"/>
        </w:rPr>
        <w:t>87</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4．3  施工适应性评价</w:t>
      </w:r>
      <w:r>
        <w:rPr>
          <w:rFonts w:ascii="宋体" w:hAnsi="宋体" w:eastAsia="宋体"/>
          <w:color w:val="000000"/>
          <w:sz w:val="24"/>
          <w:szCs w:val="24"/>
        </w:rPr>
        <w:tab/>
      </w:r>
      <w:r>
        <w:rPr>
          <w:rFonts w:ascii="宋体" w:hAnsi="宋体" w:eastAsia="宋体"/>
          <w:color w:val="000000"/>
          <w:sz w:val="24"/>
          <w:szCs w:val="24"/>
        </w:rPr>
        <w:t>93</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4．4  经济与环境效益评价</w:t>
      </w:r>
      <w:r>
        <w:rPr>
          <w:rFonts w:ascii="宋体" w:hAnsi="宋体" w:eastAsia="宋体"/>
          <w:color w:val="000000"/>
          <w:sz w:val="24"/>
          <w:szCs w:val="24"/>
        </w:rPr>
        <w:tab/>
      </w:r>
      <w:r>
        <w:rPr>
          <w:rFonts w:ascii="宋体" w:hAnsi="宋体" w:eastAsia="宋体"/>
          <w:color w:val="000000"/>
          <w:sz w:val="24"/>
          <w:szCs w:val="24"/>
        </w:rPr>
        <w:t>102</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4．5  评价结果分析</w:t>
      </w:r>
      <w:r>
        <w:rPr>
          <w:rFonts w:ascii="宋体" w:hAnsi="宋体" w:eastAsia="宋体"/>
          <w:color w:val="000000"/>
          <w:sz w:val="24"/>
          <w:szCs w:val="24"/>
        </w:rPr>
        <w:tab/>
      </w:r>
      <w:r>
        <w:rPr>
          <w:rFonts w:ascii="宋体" w:hAnsi="宋体" w:eastAsia="宋体"/>
          <w:color w:val="000000"/>
          <w:sz w:val="24"/>
          <w:szCs w:val="24"/>
        </w:rPr>
        <w:t>107</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5  应用中存在的主要问题与优化对策</w:t>
      </w:r>
      <w:r>
        <w:rPr>
          <w:rFonts w:ascii="宋体" w:hAnsi="宋体" w:eastAsia="宋体"/>
          <w:color w:val="000000"/>
          <w:sz w:val="24"/>
          <w:szCs w:val="24"/>
        </w:rPr>
        <w:tab/>
      </w:r>
      <w:r>
        <w:rPr>
          <w:rFonts w:ascii="宋体" w:hAnsi="宋体" w:eastAsia="宋体"/>
          <w:color w:val="000000"/>
          <w:sz w:val="24"/>
          <w:szCs w:val="24"/>
        </w:rPr>
        <w:t>113</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5．1  存在的主要问题</w:t>
      </w:r>
      <w:r>
        <w:rPr>
          <w:rFonts w:ascii="宋体" w:hAnsi="宋体" w:eastAsia="宋体"/>
          <w:color w:val="000000"/>
          <w:sz w:val="24"/>
          <w:szCs w:val="24"/>
        </w:rPr>
        <w:tab/>
      </w:r>
      <w:r>
        <w:rPr>
          <w:rFonts w:ascii="宋体" w:hAnsi="宋体" w:eastAsia="宋体"/>
          <w:color w:val="000000"/>
          <w:sz w:val="24"/>
          <w:szCs w:val="24"/>
        </w:rPr>
        <w:t>116</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5．2  优化对策</w:t>
      </w:r>
      <w:r>
        <w:rPr>
          <w:rFonts w:ascii="宋体" w:hAnsi="宋体" w:eastAsia="宋体"/>
          <w:color w:val="000000"/>
          <w:sz w:val="24"/>
          <w:szCs w:val="24"/>
        </w:rPr>
        <w:tab/>
      </w:r>
      <w:r>
        <w:rPr>
          <w:rFonts w:ascii="宋体" w:hAnsi="宋体" w:eastAsia="宋体"/>
          <w:color w:val="000000"/>
          <w:sz w:val="24"/>
          <w:szCs w:val="24"/>
        </w:rPr>
        <w:t>126</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6  结论与展望</w:t>
      </w:r>
      <w:r>
        <w:rPr>
          <w:rFonts w:ascii="宋体" w:hAnsi="宋体" w:eastAsia="宋体"/>
          <w:color w:val="000000"/>
          <w:sz w:val="24"/>
          <w:szCs w:val="24"/>
        </w:rPr>
        <w:tab/>
      </w:r>
      <w:r>
        <w:rPr>
          <w:rFonts w:ascii="宋体" w:hAnsi="宋体" w:eastAsia="宋体"/>
          <w:color w:val="000000"/>
          <w:sz w:val="24"/>
          <w:szCs w:val="24"/>
        </w:rPr>
        <w:t>131</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6．1  主要结论</w:t>
      </w:r>
      <w:r>
        <w:rPr>
          <w:rFonts w:ascii="宋体" w:hAnsi="宋体" w:eastAsia="宋体"/>
          <w:color w:val="000000"/>
          <w:sz w:val="24"/>
          <w:szCs w:val="24"/>
        </w:rPr>
        <w:tab/>
      </w:r>
      <w:r>
        <w:rPr>
          <w:rFonts w:ascii="宋体" w:hAnsi="宋体" w:eastAsia="宋体"/>
          <w:color w:val="000000"/>
          <w:sz w:val="24"/>
          <w:szCs w:val="24"/>
        </w:rPr>
        <w:t>134</w:t>
      </w:r>
    </w:p>
    <w:p>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6．2  展望</w:t>
      </w:r>
      <w:r>
        <w:rPr>
          <w:rFonts w:ascii="宋体" w:hAnsi="宋体" w:eastAsia="宋体"/>
          <w:color w:val="000000"/>
          <w:sz w:val="24"/>
          <w:szCs w:val="24"/>
        </w:rPr>
        <w:tab/>
      </w:r>
      <w:r>
        <w:rPr>
          <w:rFonts w:ascii="宋体" w:hAnsi="宋体" w:eastAsia="宋体"/>
          <w:color w:val="000000"/>
          <w:sz w:val="24"/>
          <w:szCs w:val="24"/>
        </w:rPr>
        <w:t>144</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147</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148</w:t>
      </w:r>
    </w:p>
    <w:p>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149</w:t>
      </w:r>
    </w:p>
    <w:p>
      <w:pPr>
        <w:spacing w:line="360" w:lineRule="auto"/>
        <w:ind w:left="-900" w:right="-874" w:rightChars="-416" w:firstLine="480" w:firstLineChars="200"/>
        <w:jc w:val="left"/>
        <w:rPr>
          <w:rFonts w:hint="eastAsia" w:ascii="宋体" w:hAnsi="宋体"/>
          <w:sz w:val="24"/>
        </w:rPr>
      </w:pPr>
    </w:p>
    <w:p>
      <w:pPr>
        <w:spacing w:before="312" w:beforeLines="100" w:after="156" w:afterLines="50" w:line="360" w:lineRule="auto"/>
        <w:ind w:left="1306" w:hanging="1306" w:hangingChars="653"/>
        <w:rPr>
          <w:rFonts w:hint="eastAsia" w:eastAsia="黑体"/>
          <w:color w:val="000000"/>
          <w:sz w:val="30"/>
        </w:rPr>
        <w:sectPr>
          <w:pgSz w:w="11906" w:h="16838"/>
          <w:pgMar w:top="1440" w:right="1800" w:bottom="1440" w:left="1800" w:header="851" w:footer="992" w:gutter="0"/>
          <w:cols w:space="720" w:num="1"/>
          <w:docGrid w:type="lines" w:linePitch="312" w:charSpace="0"/>
        </w:sectPr>
      </w:pPr>
      <w:r>
        <w:rPr>
          <w:rFonts w:hint="eastAsia" w:eastAsia="黑体" w:ascii="黑体" w:hAnsi="黑体"/>
          <w:b/>
          <w:bCs/>
          <w:sz w:val="30"/>
          <w:color w:val="000000"/>
          <w:szCs w:val="30"/>
        </w:rPr>
        <w:t xml:space="preserve">1  绪论</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1．1  研究背景</w:t>
      </w:r>
    </w:p>
    <w:p>
      <w:pPr>
        <w:spacing w:line="360" w:lineRule="auto"/>
        <w:ind w:firstLine="570"/>
        <w:rPr>
          <w:rFonts w:hint="eastAsia"/>
          <w:color w:val="000000"/>
          <w:sz w:val="24"/>
        </w:rPr>
      </w:pPr>
      <w:r>
        <w:rPr>
          <w:rFonts w:hint="eastAsia" w:eastAsia="宋体" w:ascii="宋体" w:hAnsi="宋体"/>
          <w:color w:val="000000"/>
          <w:sz w:val="24"/>
          <w:szCs w:val="24"/>
        </w:rPr>
        <w:t>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[1]。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pPr>
        <w:spacing w:line="360" w:lineRule="auto"/>
        <w:ind w:firstLine="570"/>
        <w:rPr>
          <w:rFonts w:hint="eastAsia"/>
          <w:color w:val="000000"/>
          <w:sz w:val="24"/>
        </w:rPr>
      </w:pPr>
      <w:r>
        <w:rPr>
          <w:rFonts w:hint="eastAsia" w:eastAsia="宋体" w:ascii="宋体" w:hAnsi="宋体"/>
          <w:color w:val="000000"/>
          <w:sz w:val="24"/>
          <w:szCs w:val="24"/>
        </w:rPr>
        <w:t>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[2]。在这一背景下，把再生混凝土与装配式建造结合起来，用再生混凝土预制构件替代部分天然骨料构件，从逻辑上看是一条可行的绿色建造路径。</w:t>
      </w:r>
    </w:p>
    <w:p>
      <w:pPr>
        <w:spacing w:line="360" w:lineRule="auto"/>
        <w:ind w:firstLine="570"/>
        <w:rPr>
          <w:rFonts w:hint="eastAsia"/>
          <w:color w:val="000000"/>
          <w:sz w:val="24"/>
        </w:rPr>
      </w:pPr>
      <w:r>
        <w:rPr>
          <w:rFonts w:hint="eastAsia" w:eastAsia="宋体" w:ascii="宋体" w:hAnsi="宋体"/>
          <w:color w:val="000000"/>
          <w:sz w:val="24"/>
          <w:szCs w:val="24"/>
        </w:rPr>
        <w:t>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[3]。</w:t>
      </w:r>
    </w:p>
    <w:p>
      <w:pPr>
        <w:spacing w:line="360" w:lineRule="auto"/>
        <w:ind w:firstLine="570"/>
        <w:rPr>
          <w:rFonts w:hint="eastAsia"/>
          <w:color w:val="000000"/>
          <w:sz w:val="24"/>
        </w:rPr>
      </w:pPr>
      <w:r>
        <w:rPr>
          <w:rFonts w:hint="eastAsia" w:eastAsia="宋体" w:ascii="宋体" w:hAnsi="宋体"/>
          <w:color w:val="000000"/>
          <w:sz w:val="24"/>
          <w:szCs w:val="24"/>
        </w:rPr>
        <w:t>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[4]。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1．2  研究目的与意义</w:t>
      </w:r>
    </w:p>
    <w:p>
      <w:pPr>
        <w:spacing w:line="360" w:lineRule="auto"/>
        <w:ind w:firstLine="57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pPr>
        <w:spacing w:line="360" w:lineRule="auto"/>
        <w:ind w:firstLine="570"/>
        <w:rPr>
          <w:rFonts w:hint="eastAsia"/>
          <w:color w:val="000000"/>
          <w:sz w:val="24"/>
        </w:rPr>
      </w:pPr>
      <w:r>
        <w:rPr>
          <w:rFonts w:hint="eastAsia" w:eastAsia="宋体" w:ascii="宋体" w:hAnsi="宋体"/>
          <w:color w:val="000000"/>
          <w:sz w:val="24"/>
          <w:szCs w:val="24"/>
        </w:rPr>
        <w:t>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[5]。</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1．3  国内外研究现状</w:t>
      </w:r>
    </w:p>
    <w:p>
      <w:pPr>
        <w:spacing w:line="360" w:lineRule="auto"/>
        <w:ind w:firstLine="570"/>
        <w:rPr>
          <w:rFonts w:hint="eastAsia"/>
          <w:color w:val="000000"/>
          <w:sz w:val="24"/>
        </w:rPr>
      </w:pPr>
      <w:r>
        <w:rPr>
          <w:rFonts w:hint="eastAsia" w:eastAsia="宋体" w:ascii="宋体" w:hAnsi="宋体"/>
          <w:color w:val="000000"/>
          <w:sz w:val="24"/>
          <w:szCs w:val="24"/>
        </w:rPr>
        <w:t>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[6]，Springer出版的《Recycled Aggregate Concrete Structures》则进一步从结构层面讨论了再生混凝土构件的受力性能和设计方法[7]。</w:t>
      </w:r>
    </w:p>
    <w:p>
      <w:pPr>
        <w:spacing w:line="360" w:lineRule="auto"/>
        <w:ind w:firstLine="570"/>
        <w:rPr>
          <w:rFonts w:hint="eastAsia"/>
          <w:color w:val="000000"/>
          <w:sz w:val="24"/>
        </w:rPr>
      </w:pPr>
      <w:r>
        <w:rPr>
          <w:rFonts w:hint="eastAsia" w:eastAsia="宋体" w:ascii="宋体" w:hAnsi="宋体"/>
          <w:color w:val="000000"/>
          <w:sz w:val="24"/>
          <w:szCs w:val="24"/>
        </w:rPr>
        <w:t>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[1]。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[3]。</w:t>
      </w:r>
    </w:p>
    <w:p>
      <w:pPr>
        <w:spacing w:line="360" w:lineRule="auto"/>
        <w:ind w:firstLine="570"/>
        <w:rPr>
          <w:rFonts w:hint="eastAsia"/>
          <w:color w:val="000000"/>
          <w:sz w:val="24"/>
        </w:rPr>
      </w:pPr>
      <w:r>
        <w:rPr>
          <w:rFonts w:hint="eastAsia" w:eastAsia="宋体" w:ascii="宋体" w:hAnsi="宋体"/>
          <w:color w:val="000000"/>
          <w:sz w:val="24"/>
          <w:szCs w:val="24"/>
        </w:rPr>
        <w:t>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[8]。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[9]。这一结论对再生混凝土用于装配式剪力墙结构具有直接的参考价值。</w:t>
      </w:r>
    </w:p>
    <w:p>
      <w:pPr>
        <w:spacing w:line="360" w:lineRule="auto"/>
        <w:ind w:firstLine="57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pPr>
        <w:spacing w:line="360" w:lineRule="auto"/>
        <w:rPr>
          <w:rFonts w:hint="eastAsia" w:eastAsia="黑体"/>
          <w:color w:val="000000"/>
          <w:sz w:val="24"/>
        </w:rPr>
      </w:pPr>
      <w:r>
        <w:rPr>
          <w:rFonts w:hint="eastAsia" w:eastAsia="黑体" w:ascii="黑体" w:hAnsi="黑体"/>
          <w:sz w:val="24"/>
          <w:color w:val="000000"/>
          <w:szCs w:val="24"/>
        </w:rPr>
        <w:t xml:space="preserve">1.3.4  再生混凝土在工程中的应用现状</w:t>
      </w:r>
    </w:p>
    <w:p>
      <w:pPr>
        <w:spacing w:line="360" w:lineRule="auto"/>
        <w:ind w:firstLine="57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pPr>
        <w:spacing w:line="360" w:lineRule="auto"/>
        <w:ind w:firstLine="57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1．4  研究内容与技术路线</w:t>
      </w:r>
    </w:p>
    <w:p>
      <w:pPr>
        <w:spacing w:line="360" w:lineRule="auto"/>
        <w:ind w:firstLine="57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pPr>
        <w:spacing w:line="360" w:lineRule="auto"/>
        <w:ind w:firstLine="57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2  再生混凝土与装配式建筑的基本理论</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2．1  再生骨料与再生混凝土的定义与分类</w:t>
      </w:r>
    </w:p>
    <w:p>
      <w:pPr>
        <w:spacing w:line="360" w:lineRule="auto"/>
        <w:ind w:firstLine="570"/>
        <w:rPr>
          <w:rFonts w:hint="eastAsia"/>
          <w:color w:val="000000"/>
          <w:sz w:val="24"/>
        </w:rPr>
      </w:pPr>
      <w:r>
        <w:rPr>
          <w:rFonts w:hint="eastAsia" w:eastAsia="宋体" w:ascii="宋体" w:hAnsi="宋体"/>
          <w:color w:val="000000"/>
          <w:sz w:val="24"/>
          <w:szCs w:val="24"/>
        </w:rPr>
        <w:t>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[10]。《混凝土和砂浆用再生细骨料》则对配制混凝土和砂浆用的再生细骨料作出了相应规定[11]。</w:t>
      </w:r>
    </w:p>
    <w:p>
      <w:pPr>
        <w:spacing w:line="360" w:lineRule="auto"/>
        <w:ind w:firstLine="57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pPr>
        <w:spacing w:line="360" w:lineRule="auto"/>
        <w:ind w:firstLine="57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pPr>
        <w:spacing w:line="360" w:lineRule="auto"/>
        <w:rPr>
          <w:rFonts w:hint="eastAsia" w:eastAsia="黑体"/>
          <w:color w:val="000000"/>
          <w:sz w:val="24"/>
        </w:rPr>
      </w:pPr>
      <w:r>
        <w:rPr>
          <w:rFonts w:hint="eastAsia" w:eastAsia="黑体" w:ascii="黑体" w:hAnsi="黑体"/>
          <w:sz w:val="24"/>
          <w:color w:val="000000"/>
          <w:szCs w:val="24"/>
        </w:rPr>
        <w:t xml:space="preserve">2.1.4  再生骨料的生产工艺与质量控制</w:t>
      </w:r>
    </w:p>
    <w:p>
      <w:pPr>
        <w:spacing w:line="360" w:lineRule="auto"/>
        <w:ind w:firstLine="57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pPr>
        <w:spacing w:line="360" w:lineRule="auto"/>
        <w:ind w:firstLine="57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2．2  再生混凝土的主要性能特征</w:t>
      </w:r>
    </w:p>
    <w:p>
      <w:pPr>
        <w:spacing w:line="360" w:lineRule="auto"/>
        <w:ind w:firstLine="57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pPr>
        <w:spacing w:line="360" w:lineRule="auto"/>
        <w:ind w:firstLine="570"/>
        <w:rPr>
          <w:rFonts w:hint="eastAsia"/>
          <w:color w:val="000000"/>
          <w:sz w:val="24"/>
        </w:rPr>
      </w:pPr>
      <w:r>
        <w:rPr>
          <w:rFonts w:hint="eastAsia" w:eastAsia="宋体" w:ascii="宋体" w:hAnsi="宋体"/>
          <w:color w:val="000000"/>
          <w:sz w:val="24"/>
          <w:szCs w:val="24"/>
        </w:rPr>
        <w:t>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[4]。</w:t>
      </w:r>
    </w:p>
    <w:p>
      <w:pPr>
        <w:spacing w:line="360" w:lineRule="auto"/>
        <w:ind w:firstLine="57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pPr>
        <w:spacing w:line="360" w:lineRule="auto"/>
        <w:ind w:firstLine="570"/>
        <w:rPr>
          <w:rFonts w:hint="eastAsia"/>
          <w:color w:val="000000"/>
          <w:sz w:val="24"/>
        </w:rPr>
      </w:pPr>
      <w:r>
        <w:rPr>
          <w:rFonts w:hint="eastAsia" w:eastAsia="宋体" w:ascii="宋体" w:hAnsi="宋体"/>
          <w:color w:val="000000"/>
          <w:sz w:val="24"/>
          <w:szCs w:val="24"/>
        </w:rPr>
        <w:t>在耐久性能方面，抗冻性、抗碳化性和抗氯离子渗透性是评价的重点。再生骨料表面旧砂浆和多孔隙结构使混凝土的渗透性增大，氯离子更易侵入，因此在有耐久性要求的环境中，需要控制水胶比、掺入矿物掺合料并加强养护[3]。</w:t>
      </w:r>
    </w:p>
    <w:p>
      <w:pPr>
        <w:spacing w:line="360" w:lineRule="auto"/>
        <w:ind w:firstLine="570"/>
        <w:rPr>
          <w:rFonts w:hint="eastAsia"/>
          <w:color w:val="000000"/>
          <w:sz w:val="24"/>
        </w:rPr>
      </w:pPr>
      <w:r>
        <w:rPr>
          <w:rFonts w:hint="eastAsia" w:eastAsia="宋体" w:ascii="宋体" w:hAnsi="宋体"/>
          <w:color w:val="000000"/>
          <w:sz w:val="24"/>
          <w:szCs w:val="24"/>
        </w:rPr>
        <w:t>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[5]。</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2．3  装配式混凝土结构体系</w:t>
      </w:r>
    </w:p>
    <w:p>
      <w:pPr>
        <w:spacing w:line="360" w:lineRule="auto"/>
        <w:ind w:firstLine="570"/>
        <w:rPr>
          <w:rFonts w:hint="eastAsia"/>
          <w:color w:val="000000"/>
          <w:sz w:val="24"/>
        </w:rPr>
      </w:pPr>
      <w:r>
        <w:rPr>
          <w:rFonts w:hint="eastAsia" w:eastAsia="宋体" w:ascii="宋体" w:hAnsi="宋体"/>
          <w:color w:val="000000"/>
          <w:sz w:val="24"/>
          <w:szCs w:val="24"/>
        </w:rPr>
        <w:t>装配式混凝土结构是装配式建筑的主要结构形式之一。《装配式混凝土建筑技术标准》对装配式混凝土建筑的术语、基本规定、材料、建筑设计、结构设计、构件制作、施工安装和质量验收等内容作出了规定[12]。《装配式混凝土结构技术规程》则从结构专业角度对装配式混凝土结构的设计和施工提出了要求，其中对钢筋连接、接缝构造和构件承载力计算等关键问题作出了具体规定[13]。</w:t>
      </w:r>
    </w:p>
    <w:p>
      <w:pPr>
        <w:spacing w:line="360" w:lineRule="auto"/>
        <w:ind w:firstLine="57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pPr>
        <w:spacing w:line="360" w:lineRule="auto"/>
        <w:ind w:firstLine="570"/>
        <w:rPr>
          <w:rFonts w:hint="eastAsia"/>
          <w:color w:val="000000"/>
          <w:sz w:val="24"/>
        </w:rPr>
      </w:pPr>
      <w:r>
        <w:rPr>
          <w:rFonts w:hint="eastAsia" w:eastAsia="宋体" w:ascii="宋体" w:hAnsi="宋体"/>
          <w:color w:val="000000"/>
          <w:sz w:val="24"/>
          <w:szCs w:val="24"/>
        </w:rPr>
        <w:t>评价装配式建筑装配化程度的核心指标是装配率。《装配式建筑评价标准》规定了装配率的计算方法和评价等级划分，从主体结构、围护墙和内隔墙、装修和设备管线等方面进行评分[14]。对于采用再生混凝土的装配式住宅而言，在满足装配率要求的同时还需要满足结构安全和耐久性要求，两者之间需要统筹考虑。</w:t>
      </w:r>
    </w:p>
    <w:p>
      <w:pPr>
        <w:spacing w:line="360" w:lineRule="auto"/>
        <w:rPr>
          <w:rFonts w:hint="eastAsia" w:eastAsia="黑体"/>
          <w:color w:val="000000"/>
          <w:sz w:val="24"/>
        </w:rPr>
      </w:pPr>
      <w:r>
        <w:rPr>
          <w:rFonts w:hint="eastAsia" w:eastAsia="黑体" w:ascii="黑体" w:hAnsi="黑体"/>
          <w:sz w:val="24"/>
          <w:color w:val="000000"/>
          <w:szCs w:val="24"/>
        </w:rPr>
        <w:t xml:space="preserve">2.3.4  装配整体式剪力墙结构的连接构造</w:t>
      </w:r>
    </w:p>
    <w:p>
      <w:pPr>
        <w:spacing w:line="360" w:lineRule="auto"/>
        <w:ind w:firstLine="57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pPr>
        <w:spacing w:line="360" w:lineRule="auto"/>
        <w:ind w:firstLine="57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2．4  再生混凝土应用的标准与规定</w:t>
      </w:r>
    </w:p>
    <w:p>
      <w:pPr>
        <w:spacing w:line="360" w:lineRule="auto"/>
        <w:ind w:firstLine="570"/>
        <w:rPr>
          <w:rFonts w:hint="eastAsia"/>
          <w:color w:val="000000"/>
          <w:sz w:val="24"/>
        </w:rPr>
      </w:pPr>
      <w:r>
        <w:rPr>
          <w:rFonts w:hint="eastAsia" w:eastAsia="宋体" w:ascii="宋体" w:hAnsi="宋体"/>
          <w:color w:val="000000"/>
          <w:sz w:val="24"/>
          <w:szCs w:val="24"/>
        </w:rPr>
        <w:t>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[5]。</w:t>
      </w:r>
    </w:p>
    <w:p>
      <w:pPr>
        <w:spacing w:line="360" w:lineRule="auto"/>
        <w:ind w:firstLine="570"/>
        <w:rPr>
          <w:rFonts w:hint="eastAsia"/>
          <w:color w:val="000000"/>
          <w:sz w:val="24"/>
        </w:rPr>
      </w:pPr>
      <w:r>
        <w:rPr>
          <w:rFonts w:hint="eastAsia" w:eastAsia="宋体" w:ascii="宋体" w:hAnsi="宋体"/>
          <w:color w:val="000000"/>
          <w:sz w:val="24"/>
          <w:szCs w:val="24"/>
        </w:rPr>
        <w:t>地方层面也在推进相关标准的制定。深圳市发布的《建筑废弃物再生产品应用工程技术规程》结合当地建筑废弃物产量大、再生利用需求迫切的特点，对建筑废弃物再生产品在工程中的应用提出了技术要求[15]。山东省发布的《再生混凝土预制构件应用技术规程》则专门针对再生混凝土预制构件，对构件的设计、制作、检验和应用作出了规定[16]。这些地方标准的出台，说明再生混凝土从"能用"走向"规范地用"的条件正在逐步成熟。</w:t>
      </w:r>
    </w:p>
    <w:p>
      <w:pPr>
        <w:spacing w:line="360" w:lineRule="auto"/>
        <w:ind w:firstLine="570"/>
        <w:rPr>
          <w:rFonts w:hint="eastAsia"/>
          <w:color w:val="000000"/>
          <w:sz w:val="24"/>
        </w:rPr>
      </w:pPr>
      <w:r>
        <w:rPr>
          <w:rFonts w:hint="eastAsia" w:eastAsia="宋体" w:ascii="宋体" w:hAnsi="宋体"/>
          <w:color w:val="000000"/>
          <w:sz w:val="24"/>
          <w:szCs w:val="24"/>
        </w:rPr>
        <w:t>质量验收方面，《混凝土结构工程施工质量验收规范》是混凝土结构工程验收的基本依据，再生混凝土结构同样应当执行该规范的有关规定，对混凝土强度、构件尺寸偏差和结构实体质量进行检验[17]。</w:t>
      </w:r>
    </w:p>
    <w:p>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3  工程概况与再生混凝土应用方案</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3．1  项目基本情况</w:t>
      </w:r>
    </w:p>
    <w:p>
      <w:pPr>
        <w:spacing w:line="360" w:lineRule="auto"/>
        <w:ind w:firstLine="570"/>
        <w:rPr>
          <w:rFonts w:hint="eastAsia"/>
          <w:color w:val="000000"/>
          <w:sz w:val="24"/>
        </w:rPr>
      </w:pPr>
      <w:r>
        <w:rPr>
          <w:rFonts w:hint="eastAsia" w:eastAsia="宋体" w:ascii="宋体" w:hAnsi="宋体"/>
          <w:color w:val="000000"/>
          <w:sz w:val="24"/>
          <w:szCs w:val="24"/>
        </w:rPr>
        <w:t>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m³，是目前公开报道中首栋实现百米级规模化应用再生混凝土的高层建筑[4]。</w:t>
      </w:r>
    </w:p>
    <w:p>
      <w:pPr>
        <w:spacing w:line="360" w:lineRule="auto"/>
        <w:ind w:firstLine="570"/>
        <w:rPr>
          <w:rFonts w:hint="eastAsia"/>
          <w:color w:val="000000"/>
          <w:sz w:val="24"/>
        </w:rPr>
      </w:pPr>
      <w:r>
        <w:rPr>
          <w:rFonts w:hint="eastAsia" w:eastAsia="宋体" w:ascii="宋体" w:hAnsi="宋体"/>
          <w:color w:val="000000"/>
          <w:sz w:val="24"/>
          <w:szCs w:val="24"/>
        </w:rPr>
        <w:t>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[4]。</w:t>
      </w:r>
    </w:p>
    <w:p>
      <w:pPr>
        <w:spacing w:line="360" w:lineRule="auto"/>
        <w:ind w:firstLine="57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3．2  结构体系与构件配置</w:t>
      </w:r>
    </w:p>
    <w:p>
      <w:pPr>
        <w:spacing w:line="360" w:lineRule="auto"/>
        <w:ind w:firstLine="57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pPr>
        <w:spacing w:line="360" w:lineRule="auto"/>
        <w:ind w:firstLine="570"/>
        <w:rPr>
          <w:rFonts w:hint="eastAsia"/>
          <w:color w:val="000000"/>
          <w:sz w:val="24"/>
        </w:rPr>
      </w:pPr>
      <w:r>
        <w:rPr>
          <w:rFonts w:hint="eastAsia" w:eastAsia="宋体" w:ascii="宋体" w:hAnsi="宋体"/>
          <w:color w:val="000000"/>
          <w:sz w:val="24"/>
          <w:szCs w:val="24"/>
        </w:rPr>
        <w:t>从构件配置上看，竖向构件为剪力墙和框架柱，水平构件为楼盖梁板。项目在这一部分的处理方式是：竖向承重结构和水平结构均采用再生混凝土，即再生混凝土不是局部试用，而是整体性地进入了结构受力体系[4]。这种做法与早期再生混凝土只用于垫层、非承重填充墙的做法有明显区别，属于真正意义上的结构应用。</w:t>
      </w:r>
    </w:p>
    <w:p>
      <w:pPr>
        <w:spacing w:line="360" w:lineRule="auto"/>
        <w:ind w:firstLine="57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3．3  再生混凝土的配合比与制备工艺</w:t>
      </w:r>
    </w:p>
    <w:p>
      <w:pPr>
        <w:spacing w:line="360" w:lineRule="auto"/>
        <w:ind w:firstLine="57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pPr>
        <w:spacing w:line="360" w:lineRule="auto"/>
        <w:ind w:firstLine="570"/>
        <w:rPr>
          <w:rFonts w:hint="eastAsia"/>
          <w:color w:val="000000"/>
          <w:sz w:val="24"/>
        </w:rPr>
      </w:pPr>
      <w:r>
        <w:rPr>
          <w:rFonts w:hint="eastAsia" w:eastAsia="宋体" w:ascii="宋体" w:hAnsi="宋体"/>
          <w:color w:val="000000"/>
          <w:sz w:val="24"/>
          <w:szCs w:val="24"/>
        </w:rPr>
        <w:t>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[10]。</w:t>
      </w:r>
    </w:p>
    <w:p>
      <w:pPr>
        <w:spacing w:line="360" w:lineRule="auto"/>
        <w:ind w:firstLine="570"/>
        <w:rPr>
          <w:rFonts w:hint="eastAsia"/>
          <w:color w:val="000000"/>
          <w:sz w:val="24"/>
        </w:rPr>
      </w:pPr>
      <w:r>
        <w:rPr>
          <w:rFonts w:hint="eastAsia" w:eastAsia="宋体" w:ascii="宋体" w:hAnsi="宋体"/>
          <w:color w:val="000000"/>
          <w:sz w:val="24"/>
          <w:szCs w:val="24"/>
        </w:rPr>
        <w:t>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[5]。</w:t>
      </w:r>
    </w:p>
    <w:p>
      <w:pPr>
        <w:spacing w:line="360" w:lineRule="auto"/>
        <w:ind w:firstLine="570"/>
        <w:rPr>
          <w:rFonts w:hint="eastAsia"/>
          <w:color w:val="000000"/>
          <w:sz w:val="24"/>
        </w:rPr>
      </w:pPr>
      <w:r>
        <w:rPr>
          <w:rFonts w:hint="eastAsia" w:eastAsia="宋体" w:ascii="宋体" w:hAnsi="宋体"/>
          <w:color w:val="000000"/>
          <w:sz w:val="24"/>
          <w:szCs w:val="24"/>
        </w:rPr>
        <w:t>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[3]。</w:t>
      </w:r>
    </w:p>
    <w:p>
      <w:pPr>
        <w:spacing w:line="360" w:lineRule="auto"/>
        <w:ind w:firstLine="570"/>
        <w:rPr>
          <w:rFonts w:hint="eastAsia"/>
          <w:color w:val="000000"/>
          <w:sz w:val="24"/>
        </w:rPr>
      </w:pPr>
      <w:r>
        <w:rPr>
          <w:rFonts w:hint="eastAsia" w:eastAsia="宋体" w:ascii="宋体" w:hAnsi="宋体"/>
          <w:color w:val="000000"/>
          <w:sz w:val="24"/>
          <w:szCs w:val="24"/>
        </w:rPr>
        <w:t>在拌合与生产环节，项目由中建西部建设负责再生混凝土的生产供应，采用的是再生混凝土高性能化制备的技术路线，通过专用外加剂和性能调控技术来保证混凝土的强度和工作性[4]。工厂集中拌合的方式相比现场拌合更容易控制计量精度和拌合均匀性，这也为再生混凝土的质量稳定性提供了基础条件。</w:t>
      </w:r>
    </w:p>
    <w:p>
      <w:pPr>
        <w:spacing w:line="360" w:lineRule="auto"/>
        <w:rPr>
          <w:rFonts w:hint="eastAsia" w:eastAsia="黑体"/>
          <w:color w:val="000000"/>
          <w:sz w:val="24"/>
        </w:rPr>
      </w:pPr>
      <w:r>
        <w:rPr>
          <w:rFonts w:hint="eastAsia" w:eastAsia="黑体" w:ascii="黑体" w:hAnsi="黑体"/>
          <w:sz w:val="24"/>
          <w:color w:val="000000"/>
          <w:szCs w:val="24"/>
        </w:rPr>
        <w:t xml:space="preserve">3.3.4  再生骨料主要性能指标与配合比设计要点</w:t>
      </w:r>
    </w:p>
    <w:p>
      <w:pPr>
        <w:spacing w:line="360" w:lineRule="auto"/>
        <w:ind w:firstLine="57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pPr>
        <w:spacing w:line="360" w:lineRule="auto"/>
        <w:ind w:firstLine="57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pPr>
        <w:spacing w:line="360" w:lineRule="auto"/>
        <w:ind w:firstLine="57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3．4  施工组织与质量控制措施</w:t>
      </w:r>
    </w:p>
    <w:p>
      <w:pPr>
        <w:spacing w:line="360" w:lineRule="auto"/>
        <w:ind w:firstLine="570"/>
        <w:rPr>
          <w:rFonts w:hint="eastAsia"/>
          <w:color w:val="000000"/>
          <w:sz w:val="24"/>
        </w:rPr>
      </w:pPr>
      <w:r>
        <w:rPr>
          <w:rFonts w:hint="eastAsia" w:eastAsia="宋体" w:ascii="宋体" w:hAnsi="宋体"/>
          <w:color w:val="000000"/>
          <w:sz w:val="24"/>
          <w:szCs w:val="24"/>
        </w:rPr>
        <w:t>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[17]。</w:t>
      </w:r>
    </w:p>
    <w:p>
      <w:pPr>
        <w:spacing w:line="360" w:lineRule="auto"/>
        <w:ind w:firstLine="57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pPr>
        <w:spacing w:line="360" w:lineRule="auto"/>
        <w:ind w:firstLine="570"/>
        <w:rPr>
          <w:rFonts w:hint="eastAsia"/>
          <w:color w:val="000000"/>
          <w:sz w:val="24"/>
        </w:rPr>
      </w:pPr>
      <w:r>
        <w:rPr>
          <w:rFonts w:hint="eastAsia" w:eastAsia="宋体" w:ascii="宋体" w:hAnsi="宋体"/>
          <w:color w:val="000000"/>
          <w:sz w:val="24"/>
          <w:szCs w:val="24"/>
        </w:rPr>
        <w:t>项目在质量控制上还采取了另外一个值得关注的措施：在建筑结构内嵌入智能结构安全监测系统，对结构长期性能进行持续监测[4]。这一措施的意义在于，再生混凝土的长期性能和耐久性能目前仍缺乏足够的工程实测数据支撑，通过实时的结构安全监测，可以为再生混凝土结构的长期性能研究积累第一手数据，也为后续同类工程提供参考。</w:t>
      </w:r>
    </w:p>
    <w:p>
      <w:pPr>
        <w:spacing w:line="360" w:lineRule="auto"/>
        <w:ind w:firstLine="57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pPr>
        <w:spacing w:line="440" w:lineRule="exact"/>
        <w:ind w:firstLine="573"/>
        <w:rPr>
          <w:rFonts w:hint="eastAsia"/>
          <w:color w:val="000000"/>
          <w:szCs w:val="21"/>
        </w:rPr>
        <w:jc w:val="center"/>
      </w:pPr>
      <w:r>
        <w:rPr>
          <w:rFonts w:hint="eastAsia" w:eastAsia="宋体" w:ascii="宋体" w:hAnsi="宋体"/>
          <w:szCs w:val="21"/>
          <w:color w:val="000000"/>
          <w:sz w:val="21"/>
        </w:rPr>
        <w:t>图3–1  再生混凝土应用全过程质量控制要点</w:t>
      </w:r>
    </w:p>
    <w:p>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4  再生混凝土在装配式住宅中的应用评价</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4．1  评价指标体系的构建</w:t>
      </w:r>
    </w:p>
    <w:p>
      <w:pPr>
        <w:spacing w:line="360" w:lineRule="auto"/>
        <w:ind w:firstLine="57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pPr>
        <w:spacing w:line="360" w:lineRule="auto"/>
        <w:ind w:firstLine="57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pPr>
        <w:spacing w:line="360" w:lineRule="auto"/>
        <w:ind w:firstLine="57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pPr>
        <w:spacing w:line="360" w:lineRule="auto"/>
        <w:ind w:firstLine="57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pPr>
        <w:spacing w:line="360" w:lineRule="auto"/>
        <w:ind w:firstLine="57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pPr>
        <w:spacing w:line="440" w:lineRule="exact"/>
        <w:ind w:firstLine="573"/>
        <w:rPr>
          <w:rFonts w:hint="eastAsia"/>
          <w:color w:val="000000"/>
          <w:szCs w:val="21"/>
        </w:rPr>
        <w:jc w:val="center"/>
      </w:pPr>
      <w:r>
        <w:rPr>
          <w:rFonts w:hint="eastAsia" w:eastAsia="宋体" w:ascii="宋体" w:hAnsi="宋体"/>
          <w:szCs w:val="21"/>
          <w:color w:val="000000"/>
          <w:sz w:val="21"/>
        </w:rPr>
        <w:t>图4–1  再生混凝土应用评价指标体系</w:t>
      </w:r>
    </w:p>
    <w:p>
      <w:pPr>
        <w:spacing w:line="440" w:lineRule="exact"/>
        <w:ind w:firstLine="573"/>
        <w:rPr>
          <w:rFonts w:hint="eastAsia"/>
          <w:color w:val="000000"/>
          <w:szCs w:val="21"/>
        </w:rPr>
        <w:jc w:val="center"/>
      </w:pPr>
      <w:r>
        <w:rPr>
          <w:rFonts w:hint="eastAsia" w:eastAsia="宋体" w:ascii="宋体" w:hAnsi="宋体"/>
          <w:szCs w:val="21"/>
          <w:color w:val="000000"/>
          <w:sz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sz w:val="21"/>
                <w:b/>
              </w:rPr>
              <w:t>一级指标</w:t>
            </w:r>
          </w:p>
        </w:tc>
        <w:tc>
          <w:tcPr>
            <w:tcW w:w="2400" w:type="dxa"/>
          </w:tcPr>
          <w:p>
            <w:pPr>
              <w:jc w:val="center"/>
            </w:pPr>
            <w:r>
              <w:rPr>
                <w:rFonts w:eastAsia="宋体" w:ascii="Times New Roman" w:hAnsi="Times New Roman"/>
                <w:sz w:val="21"/>
                <w:b/>
              </w:rPr>
              <w:t>二级指标</w:t>
            </w:r>
          </w:p>
        </w:tc>
        <w:tc>
          <w:tcPr>
            <w:tcW w:w="5500" w:type="dxa"/>
          </w:tcPr>
          <w:p>
            <w:pPr>
              <w:jc w:val="center"/>
            </w:pPr>
            <w:r>
              <w:rPr>
                <w:rFonts w:eastAsia="宋体" w:ascii="Times New Roman" w:hAnsi="Times New Roman"/>
                <w:sz w:val="21"/>
                <w:b/>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pPr>
        <w:spacing w:line="360" w:lineRule="auto"/>
        <w:rPr>
          <w:rFonts w:hint="eastAsia" w:eastAsia="黑体"/>
          <w:color w:val="000000"/>
          <w:sz w:val="24"/>
        </w:rPr>
      </w:pPr>
      <w:r>
        <w:rPr>
          <w:rFonts w:hint="eastAsia" w:eastAsia="黑体" w:ascii="黑体" w:hAnsi="黑体"/>
          <w:sz w:val="24"/>
          <w:color w:val="000000"/>
          <w:szCs w:val="24"/>
        </w:rPr>
        <w:t xml:space="preserve">4.1.4  评价指标权重与评价方法的确定</w:t>
      </w:r>
    </w:p>
    <w:p>
      <w:pPr>
        <w:spacing w:line="360" w:lineRule="auto"/>
        <w:ind w:firstLine="57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pPr>
        <w:spacing w:line="360" w:lineRule="auto"/>
        <w:ind w:firstLine="57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pPr>
        <w:spacing w:line="360" w:lineRule="auto"/>
        <w:ind w:firstLine="57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4．2  技术性能评价</w:t>
      </w:r>
    </w:p>
    <w:p>
      <w:pPr>
        <w:spacing w:line="360" w:lineRule="auto"/>
        <w:ind w:firstLine="570"/>
        <w:rPr>
          <w:rFonts w:hint="eastAsia"/>
          <w:color w:val="000000"/>
          <w:sz w:val="24"/>
        </w:rPr>
      </w:pPr>
      <w:r>
        <w:rPr>
          <w:rFonts w:hint="eastAsia" w:eastAsia="宋体" w:ascii="宋体" w:hAnsi="宋体"/>
          <w:color w:val="000000"/>
          <w:sz w:val="24"/>
          <w:szCs w:val="24"/>
        </w:rPr>
        <w:t>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[3]。本项目的做法是采用30%的取代率，这一取值处于研究和工程实践中相对稳妥的区间，既能够实现一定规模的固废消纳，又不至于对强度造成过大影响。据公开报道，项目经计算各项指标均满足国家标准要求[4]。</w:t>
      </w:r>
    </w:p>
    <w:p>
      <w:pPr>
        <w:spacing w:line="360" w:lineRule="auto"/>
        <w:ind w:firstLine="570"/>
        <w:rPr>
          <w:rFonts w:hint="eastAsia"/>
          <w:color w:val="000000"/>
          <w:sz w:val="24"/>
        </w:rPr>
      </w:pPr>
      <w:r>
        <w:rPr>
          <w:rFonts w:hint="eastAsia" w:eastAsia="宋体" w:ascii="宋体" w:hAnsi="宋体"/>
          <w:color w:val="000000"/>
          <w:sz w:val="24"/>
          <w:szCs w:val="24"/>
        </w:rPr>
        <w:t>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[4]。从抗震概念设计的角度看，结构刚度适当降低会使结构自振周期延长，从而在多数情况下减小地震作用，这与传统的"刚度越大越安全"的直观认识并不矛盾，关键在于刚度分布要均匀、规则，避免出现薄弱层。</w:t>
      </w:r>
    </w:p>
    <w:p>
      <w:pPr>
        <w:spacing w:line="360" w:lineRule="auto"/>
        <w:ind w:firstLine="570"/>
        <w:rPr>
          <w:rFonts w:hint="eastAsia"/>
          <w:color w:val="000000"/>
          <w:sz w:val="24"/>
        </w:rPr>
      </w:pPr>
      <w:r>
        <w:rPr>
          <w:rFonts w:hint="eastAsia" w:eastAsia="宋体" w:ascii="宋体" w:hAnsi="宋体"/>
          <w:color w:val="000000"/>
          <w:sz w:val="24"/>
          <w:szCs w:val="24"/>
        </w:rPr>
        <w:t>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[3]。对装配式住宅而言，外墙挂板、阳台板和空调板等构件直接暴露在室外，采用再生混凝土时应适当降低水胶比、增加矿物掺合料掺量并加强蒸汽养护制度，必要时还应在构件外表面增设防护层。</w:t>
      </w:r>
    </w:p>
    <w:p>
      <w:pPr>
        <w:spacing w:line="360" w:lineRule="auto"/>
        <w:ind w:firstLine="570"/>
        <w:rPr>
          <w:rFonts w:hint="eastAsia"/>
          <w:color w:val="000000"/>
          <w:sz w:val="24"/>
        </w:rPr>
      </w:pPr>
      <w:r>
        <w:rPr>
          <w:rFonts w:hint="eastAsia" w:eastAsia="宋体" w:ascii="宋体" w:hAnsi="宋体"/>
          <w:color w:val="000000"/>
          <w:sz w:val="24"/>
          <w:szCs w:val="24"/>
        </w:rPr>
        <w:t>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[9]。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pPr>
        <w:spacing w:line="360" w:lineRule="auto"/>
        <w:ind w:firstLine="57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4．3  施工适应性评价</w:t>
      </w:r>
    </w:p>
    <w:p>
      <w:pPr>
        <w:spacing w:line="360" w:lineRule="auto"/>
        <w:ind w:firstLine="57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pPr>
        <w:spacing w:line="360" w:lineRule="auto"/>
        <w:ind w:firstLine="57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pPr>
        <w:spacing w:line="360" w:lineRule="auto"/>
        <w:ind w:firstLine="57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pPr>
        <w:spacing w:line="360" w:lineRule="auto"/>
        <w:ind w:firstLine="57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pPr>
        <w:spacing w:line="360" w:lineRule="auto"/>
        <w:ind w:firstLine="57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pPr>
        <w:spacing w:line="360" w:lineRule="auto"/>
        <w:rPr>
          <w:rFonts w:hint="eastAsia" w:eastAsia="黑体"/>
          <w:color w:val="000000"/>
          <w:sz w:val="24"/>
        </w:rPr>
      </w:pPr>
      <w:r>
        <w:rPr>
          <w:rFonts w:hint="eastAsia" w:eastAsia="黑体" w:ascii="黑体" w:hAnsi="黑体"/>
          <w:sz w:val="24"/>
          <w:color w:val="000000"/>
          <w:szCs w:val="24"/>
        </w:rPr>
        <w:t xml:space="preserve">4.3.5  施工适应性的细化分析</w:t>
      </w:r>
    </w:p>
    <w:p>
      <w:pPr>
        <w:spacing w:line="360" w:lineRule="auto"/>
        <w:ind w:firstLine="57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pPr>
        <w:spacing w:line="360" w:lineRule="auto"/>
        <w:ind w:firstLine="57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pPr>
        <w:spacing w:line="360" w:lineRule="auto"/>
        <w:ind w:firstLine="57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4．4  经济与环境效益评价</w:t>
      </w:r>
    </w:p>
    <w:p>
      <w:pPr>
        <w:spacing w:line="360" w:lineRule="auto"/>
        <w:ind w:firstLine="570"/>
        <w:rPr>
          <w:rFonts w:hint="eastAsia"/>
          <w:color w:val="000000"/>
          <w:sz w:val="24"/>
        </w:rPr>
      </w:pPr>
      <w:r>
        <w:rPr>
          <w:rFonts w:hint="eastAsia" w:eastAsia="宋体" w:ascii="宋体" w:hAnsi="宋体"/>
          <w:color w:val="000000"/>
          <w:sz w:val="24"/>
          <w:szCs w:val="24"/>
        </w:rPr>
        <w:t>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[4]。此外，建筑废弃物的外运和填埋量减少，也节约了土地资源和运输能耗。</w:t>
      </w:r>
    </w:p>
    <w:p>
      <w:pPr>
        <w:spacing w:line="360" w:lineRule="auto"/>
        <w:ind w:firstLine="570"/>
        <w:rPr>
          <w:rFonts w:hint="eastAsia"/>
          <w:color w:val="000000"/>
          <w:sz w:val="24"/>
        </w:rPr>
      </w:pPr>
      <w:r>
        <w:rPr>
          <w:rFonts w:hint="eastAsia" w:eastAsia="宋体" w:ascii="宋体" w:hAnsi="宋体"/>
          <w:color w:val="000000"/>
          <w:sz w:val="24"/>
          <w:szCs w:val="24"/>
        </w:rPr>
        <w:t>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[3]。</w:t>
      </w:r>
    </w:p>
    <w:p>
      <w:pPr>
        <w:spacing w:line="360" w:lineRule="auto"/>
        <w:ind w:firstLine="570"/>
        <w:rPr>
          <w:rFonts w:hint="eastAsia"/>
          <w:color w:val="000000"/>
          <w:sz w:val="24"/>
        </w:rPr>
      </w:pPr>
      <w:r>
        <w:rPr>
          <w:rFonts w:hint="eastAsia" w:eastAsia="宋体" w:ascii="宋体" w:hAnsi="宋体"/>
          <w:color w:val="000000"/>
          <w:sz w:val="24"/>
          <w:szCs w:val="24"/>
        </w:rPr>
        <w:t>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[15][16]。</w:t>
      </w:r>
    </w:p>
    <w:p>
      <w:pPr>
        <w:spacing w:line="360" w:lineRule="auto"/>
        <w:ind w:firstLine="57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4．5  评价结果分析</w:t>
      </w:r>
    </w:p>
    <w:p>
      <w:pPr>
        <w:spacing w:line="360" w:lineRule="auto"/>
        <w:ind w:firstLine="570"/>
        <w:rPr>
          <w:rFonts w:hint="eastAsia"/>
          <w:color w:val="000000"/>
          <w:sz w:val="24"/>
        </w:rPr>
      </w:pPr>
      <w:r>
        <w:rPr>
          <w:rFonts w:hint="eastAsia" w:eastAsia="宋体" w:ascii="宋体" w:hAnsi="宋体"/>
          <w:color w:val="000000"/>
          <w:sz w:val="24"/>
          <w:szCs w:val="24"/>
        </w:rPr>
        <w:t>把三个维度的评价结果汇总起来看，可以得到以下几点认识。</w:t>
      </w:r>
    </w:p>
    <w:p>
      <w:pPr>
        <w:spacing w:line="360" w:lineRule="auto"/>
        <w:ind w:firstLine="57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pPr>
        <w:spacing w:line="360" w:lineRule="auto"/>
        <w:ind w:firstLine="57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pPr>
        <w:spacing w:line="360" w:lineRule="auto"/>
        <w:ind w:firstLine="57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pPr>
        <w:spacing w:line="360" w:lineRule="auto"/>
        <w:ind w:firstLine="570"/>
        <w:rPr>
          <w:rFonts w:hint="eastAsia"/>
          <w:color w:val="000000"/>
          <w:sz w:val="24"/>
        </w:rPr>
      </w:pPr>
      <w:r>
        <w:rPr>
          <w:rFonts w:hint="eastAsia" w:eastAsia="宋体" w:ascii="宋体" w:hAnsi="宋体"/>
          <w:color w:val="000000"/>
          <w:sz w:val="24"/>
          <w:szCs w:val="24"/>
        </w:rPr>
        <w:t>第四，标准体系的完善程度直接决定推广速度。《再生骨料应用技术规程》给出了基本的技术依据，深圳、山东等地也在推进地方标准的制定[5][15][16]，但从实际工程反馈看，在再生骨料分级、配合比设计方法、预制构件的适用性等方面仍有进一步细化的空间。</w:t>
      </w:r>
    </w:p>
    <w:p>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5  应用中存在的主要问题与优化对策</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5．1  存在的主要问题</w:t>
      </w:r>
    </w:p>
    <w:p>
      <w:pPr>
        <w:spacing w:line="360" w:lineRule="auto"/>
        <w:rPr>
          <w:rFonts w:hint="eastAsia" w:eastAsia="黑体"/>
          <w:color w:val="000000"/>
          <w:sz w:val="24"/>
        </w:rPr>
      </w:pPr>
      <w:r>
        <w:rPr>
          <w:rFonts w:hint="eastAsia" w:eastAsia="黑体" w:ascii="黑体" w:hAnsi="黑体"/>
          <w:sz w:val="24"/>
          <w:color w:val="000000"/>
          <w:szCs w:val="24"/>
        </w:rPr>
        <w:t xml:space="preserve">5.1.1  再生骨料品质波动大</w:t>
      </w:r>
    </w:p>
    <w:p>
      <w:pPr>
        <w:spacing w:line="360" w:lineRule="auto"/>
        <w:ind w:firstLine="57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pPr>
        <w:spacing w:line="360" w:lineRule="auto"/>
        <w:rPr>
          <w:rFonts w:hint="eastAsia" w:eastAsia="黑体"/>
          <w:color w:val="000000"/>
          <w:sz w:val="24"/>
        </w:rPr>
      </w:pPr>
      <w:r>
        <w:rPr>
          <w:rFonts w:hint="eastAsia" w:eastAsia="黑体" w:ascii="黑体" w:hAnsi="黑体"/>
          <w:sz w:val="24"/>
          <w:color w:val="000000"/>
          <w:szCs w:val="24"/>
        </w:rPr>
        <w:t xml:space="preserve">5.1.2  拌合物工作性控制难度大</w:t>
      </w:r>
    </w:p>
    <w:p>
      <w:pPr>
        <w:spacing w:line="360" w:lineRule="auto"/>
        <w:ind w:firstLine="57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pPr>
        <w:spacing w:line="360" w:lineRule="auto"/>
        <w:rPr>
          <w:rFonts w:hint="eastAsia" w:eastAsia="黑体"/>
          <w:color w:val="000000"/>
          <w:sz w:val="24"/>
        </w:rPr>
      </w:pPr>
      <w:r>
        <w:rPr>
          <w:rFonts w:hint="eastAsia" w:eastAsia="黑体" w:ascii="黑体" w:hAnsi="黑体"/>
          <w:sz w:val="24"/>
          <w:color w:val="000000"/>
          <w:szCs w:val="24"/>
        </w:rPr>
        <w:t xml:space="preserve">5.1.3  预制构件早期强度与生产节奏的矛盾</w:t>
      </w:r>
    </w:p>
    <w:p>
      <w:pPr>
        <w:spacing w:line="360" w:lineRule="auto"/>
        <w:ind w:firstLine="57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pPr>
        <w:spacing w:line="360" w:lineRule="auto"/>
        <w:rPr>
          <w:rFonts w:hint="eastAsia" w:eastAsia="黑体"/>
          <w:color w:val="000000"/>
          <w:sz w:val="24"/>
        </w:rPr>
      </w:pPr>
      <w:r>
        <w:rPr>
          <w:rFonts w:hint="eastAsia" w:eastAsia="黑体" w:ascii="黑体" w:hAnsi="黑体"/>
          <w:sz w:val="24"/>
          <w:color w:val="000000"/>
          <w:szCs w:val="24"/>
        </w:rPr>
        <w:t xml:space="preserve">5.1.4  标准配套与检测手段仍有短板</w:t>
      </w:r>
    </w:p>
    <w:p>
      <w:pPr>
        <w:spacing w:line="360" w:lineRule="auto"/>
        <w:ind w:firstLine="570"/>
        <w:rPr>
          <w:rFonts w:hint="eastAsia"/>
          <w:color w:val="000000"/>
          <w:sz w:val="24"/>
        </w:rPr>
      </w:pPr>
      <w:r>
        <w:rPr>
          <w:rFonts w:hint="eastAsia" w:eastAsia="宋体" w:ascii="宋体" w:hAnsi="宋体"/>
          <w:color w:val="000000"/>
          <w:sz w:val="24"/>
          <w:szCs w:val="24"/>
        </w:rPr>
        <w:t>现行《再生骨料应用技术规程》对再生骨料的应用作出了规定[5]，但在预制构件这一细分领域，配套的技术依据还不够完善。虽然深圳、山东等地已经出台或正在推进地方标准[15][16]，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pPr>
        <w:spacing w:line="360" w:lineRule="auto"/>
        <w:rPr>
          <w:rFonts w:hint="eastAsia" w:eastAsia="黑体"/>
          <w:color w:val="000000"/>
          <w:sz w:val="24"/>
        </w:rPr>
      </w:pPr>
      <w:r>
        <w:rPr>
          <w:rFonts w:hint="eastAsia" w:eastAsia="黑体" w:ascii="黑体" w:hAnsi="黑体"/>
          <w:sz w:val="24"/>
          <w:color w:val="000000"/>
          <w:szCs w:val="24"/>
        </w:rPr>
        <w:t xml:space="preserve">5.1.5  施工过程中的温度与养护控制</w:t>
      </w:r>
    </w:p>
    <w:p>
      <w:pPr>
        <w:spacing w:line="360" w:lineRule="auto"/>
        <w:ind w:firstLine="57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pPr>
        <w:spacing w:line="360" w:lineRule="auto"/>
        <w:ind w:firstLine="57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pPr>
        <w:spacing w:line="360" w:lineRule="auto"/>
        <w:rPr>
          <w:rFonts w:hint="eastAsia" w:eastAsia="黑体"/>
          <w:color w:val="000000"/>
          <w:sz w:val="24"/>
        </w:rPr>
      </w:pPr>
      <w:r>
        <w:rPr>
          <w:rFonts w:hint="eastAsia" w:eastAsia="黑体" w:ascii="黑体" w:hAnsi="黑体"/>
          <w:sz w:val="24"/>
          <w:color w:val="000000"/>
          <w:szCs w:val="24"/>
        </w:rPr>
        <w:t xml:space="preserve">5.1.6  质量检测与验收的关键环节</w:t>
      </w:r>
    </w:p>
    <w:p>
      <w:pPr>
        <w:spacing w:line="360" w:lineRule="auto"/>
        <w:ind w:firstLine="57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pPr>
        <w:spacing w:line="360" w:lineRule="auto"/>
        <w:ind w:firstLine="57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pPr>
        <w:spacing w:line="360" w:lineRule="auto"/>
        <w:ind w:firstLine="57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5．2  优化对策</w:t>
      </w:r>
    </w:p>
    <w:p>
      <w:pPr>
        <w:spacing w:line="360" w:lineRule="auto"/>
        <w:rPr>
          <w:rFonts w:hint="eastAsia" w:eastAsia="黑体"/>
          <w:color w:val="000000"/>
          <w:sz w:val="24"/>
        </w:rPr>
      </w:pPr>
      <w:r>
        <w:rPr>
          <w:rFonts w:hint="eastAsia" w:eastAsia="黑体" w:ascii="黑体" w:hAnsi="黑体"/>
          <w:sz w:val="24"/>
          <w:color w:val="000000"/>
          <w:szCs w:val="24"/>
        </w:rPr>
        <w:t xml:space="preserve">5.2.1  加强再生骨料的分级与预处理</w:t>
      </w:r>
    </w:p>
    <w:p>
      <w:pPr>
        <w:spacing w:line="360" w:lineRule="auto"/>
        <w:ind w:firstLine="570"/>
        <w:rPr>
          <w:rFonts w:hint="eastAsia"/>
          <w:color w:val="000000"/>
          <w:sz w:val="24"/>
        </w:rPr>
      </w:pPr>
      <w:r>
        <w:rPr>
          <w:rFonts w:hint="eastAsia" w:eastAsia="宋体" w:ascii="宋体" w:hAnsi="宋体"/>
          <w:color w:val="000000"/>
          <w:sz w:val="24"/>
          <w:szCs w:val="24"/>
        </w:rPr>
        <w:t>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[10]；在料堆设置防雨设施，减少含水率的大幅波动；有条件的构件厂可以采用颗粒整形或强化处理工艺改善骨料粒形和表面状态。这些措施会增加一定的成本，但换来的是质量的稳定性。</w:t>
      </w:r>
    </w:p>
    <w:p>
      <w:pPr>
        <w:spacing w:line="360" w:lineRule="auto"/>
        <w:rPr>
          <w:rFonts w:hint="eastAsia" w:eastAsia="黑体"/>
          <w:color w:val="000000"/>
          <w:sz w:val="24"/>
        </w:rPr>
      </w:pPr>
      <w:r>
        <w:rPr>
          <w:rFonts w:hint="eastAsia" w:eastAsia="黑体" w:ascii="黑体" w:hAnsi="黑体"/>
          <w:sz w:val="24"/>
          <w:color w:val="000000"/>
          <w:szCs w:val="24"/>
        </w:rPr>
        <w:t xml:space="preserve">5.2.2  优化配合比设计参数</w:t>
      </w:r>
    </w:p>
    <w:p>
      <w:pPr>
        <w:spacing w:line="360" w:lineRule="auto"/>
        <w:ind w:firstLine="570"/>
        <w:rPr>
          <w:rFonts w:hint="eastAsia"/>
          <w:color w:val="000000"/>
          <w:sz w:val="24"/>
        </w:rPr>
      </w:pPr>
      <w:r>
        <w:rPr>
          <w:rFonts w:hint="eastAsia" w:eastAsia="宋体" w:ascii="宋体" w:hAnsi="宋体"/>
          <w:color w:val="000000"/>
          <w:sz w:val="24"/>
          <w:szCs w:val="24"/>
        </w:rPr>
        <w:t>配合比设计上，建议采取以下几项措施。一是控制水胶比并掺入矿物掺合料，改善界面过渡区结构，提高密实度和耐久性[3]。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pPr>
        <w:spacing w:line="360" w:lineRule="auto"/>
        <w:rPr>
          <w:rFonts w:hint="eastAsia" w:eastAsia="黑体"/>
          <w:color w:val="000000"/>
          <w:sz w:val="24"/>
        </w:rPr>
      </w:pPr>
      <w:r>
        <w:rPr>
          <w:rFonts w:hint="eastAsia" w:eastAsia="黑体" w:ascii="黑体" w:hAnsi="黑体"/>
          <w:sz w:val="24"/>
          <w:color w:val="000000"/>
          <w:szCs w:val="24"/>
        </w:rPr>
        <w:t xml:space="preserve">5.2.3  完善生产过程的质量留痕</w:t>
      </w:r>
    </w:p>
    <w:p>
      <w:pPr>
        <w:spacing w:line="360" w:lineRule="auto"/>
        <w:ind w:firstLine="57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pPr>
        <w:spacing w:line="360" w:lineRule="auto"/>
        <w:rPr>
          <w:rFonts w:hint="eastAsia" w:eastAsia="黑体"/>
          <w:color w:val="000000"/>
          <w:sz w:val="24"/>
        </w:rPr>
      </w:pPr>
      <w:r>
        <w:rPr>
          <w:rFonts w:hint="eastAsia" w:eastAsia="黑体" w:ascii="黑体" w:hAnsi="黑体"/>
          <w:sz w:val="24"/>
          <w:color w:val="000000"/>
          <w:szCs w:val="24"/>
        </w:rPr>
        <w:t xml:space="preserve">5.2.4  加强连接节点的试验验证</w:t>
      </w:r>
    </w:p>
    <w:p>
      <w:pPr>
        <w:spacing w:line="360" w:lineRule="auto"/>
        <w:ind w:firstLine="570"/>
        <w:rPr>
          <w:rFonts w:hint="eastAsia"/>
          <w:color w:val="000000"/>
          <w:sz w:val="24"/>
        </w:rPr>
      </w:pPr>
      <w:r>
        <w:rPr>
          <w:rFonts w:hint="eastAsia" w:eastAsia="宋体" w:ascii="宋体" w:hAnsi="宋体"/>
          <w:color w:val="000000"/>
          <w:sz w:val="24"/>
          <w:szCs w:val="24"/>
        </w:rPr>
        <w:t>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[9]。对剪力墙洞口和墙柱连接部位，应按试验结果采取加强措施，如增设暗柱、加密箍筋或调整洞口位置。</w:t>
      </w:r>
    </w:p>
    <w:p>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6  结论与展望</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6．1  主要结论</w:t>
      </w:r>
    </w:p>
    <w:p>
      <w:pPr>
        <w:spacing w:line="360" w:lineRule="auto"/>
        <w:ind w:firstLine="57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pPr>
        <w:spacing w:line="360" w:lineRule="auto"/>
        <w:ind w:firstLine="57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pPr>
        <w:spacing w:line="360" w:lineRule="auto"/>
        <w:ind w:firstLine="57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pPr>
        <w:spacing w:line="360" w:lineRule="auto"/>
        <w:ind w:firstLine="57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pPr>
        <w:spacing w:line="360" w:lineRule="auto"/>
        <w:ind w:firstLine="57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pPr>
        <w:spacing w:line="360" w:lineRule="auto"/>
        <w:rPr>
          <w:rFonts w:hint="eastAsia" w:eastAsia="黑体"/>
          <w:color w:val="000000"/>
          <w:sz w:val="24"/>
        </w:rPr>
      </w:pPr>
      <w:r>
        <w:rPr>
          <w:rFonts w:hint="eastAsia" w:eastAsia="黑体" w:ascii="黑体" w:hAnsi="黑体"/>
          <w:sz w:val="24"/>
          <w:color w:val="000000"/>
          <w:szCs w:val="24"/>
        </w:rPr>
        <w:t xml:space="preserve">6.1.5  工程应用的若干建议</w:t>
      </w:r>
    </w:p>
    <w:p>
      <w:pPr>
        <w:spacing w:line="360" w:lineRule="auto"/>
        <w:ind w:firstLine="57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pPr>
        <w:spacing w:line="360" w:lineRule="auto"/>
        <w:ind w:firstLine="57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pPr>
        <w:spacing w:line="360" w:lineRule="auto"/>
        <w:rPr>
          <w:rFonts w:hint="eastAsia" w:eastAsia="黑体"/>
          <w:color w:val="000000"/>
          <w:sz w:val="24"/>
        </w:rPr>
      </w:pPr>
      <w:r>
        <w:rPr>
          <w:rFonts w:hint="eastAsia" w:eastAsia="黑体" w:ascii="黑体" w:hAnsi="黑体"/>
          <w:sz w:val="24"/>
          <w:color w:val="000000"/>
          <w:szCs w:val="24"/>
        </w:rPr>
        <w:t>6.1.6 研究方法的适用性与局限</w:t>
      </w:r>
    </w:p>
    <w:p>
      <w:pPr>
        <w:spacing w:line="360" w:lineRule="auto"/>
        <w:ind w:firstLine="57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pPr>
        <w:spacing w:line="360" w:lineRule="auto"/>
        <w:ind w:firstLine="57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pPr>
        <w:spacing w:line="360" w:lineRule="auto"/>
        <w:rPr>
          <w:rFonts w:hint="eastAsia" w:eastAsia="黑体"/>
          <w:b/>
          <w:bCs/>
          <w:color w:val="000000"/>
          <w:sz w:val="28"/>
        </w:rPr>
      </w:pPr>
      <w:r>
        <w:rPr>
          <w:rFonts w:hint="eastAsia" w:eastAsia="黑体" w:ascii="黑体" w:hAnsi="黑体"/>
          <w:b/>
          <w:bCs/>
          <w:sz w:val="28"/>
          <w:color w:val="000000"/>
          <w:szCs w:val="28"/>
        </w:rPr>
        <w:t xml:space="preserve">6．2  展望</w:t>
      </w:r>
    </w:p>
    <w:p>
      <w:pPr>
        <w:spacing w:line="360" w:lineRule="auto"/>
        <w:ind w:firstLine="57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pPr>
        <w:spacing w:line="360" w:lineRule="auto"/>
        <w:ind w:firstLine="57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pPr>
        <w:pStyle w:val="4"/>
        <w:ind w:firstLine="480"/>
        <w:rPr>
          <w:rFonts w:hint="eastAsia" w:ascii="Times New Roman" w:hAnsi="Times New Roman"/>
          <w:sz w:val="24"/>
        </w:rPr>
      </w:pPr>
    </w:p>
    <w:p>
      <w:pPr>
        <w:spacing w:line="360" w:lineRule="auto"/>
        <w:rPr>
          <w:rFonts w:hint="eastAsia"/>
          <w:color w:val="000000"/>
          <w:sz w:val="30"/>
        </w:rPr>
      </w:pPr>
      <w:r>
        <w:br w:type="page"/>
      </w:r>
    </w:p>
    <w:p>
      <w:pPr>
        <w:spacing w:line="360" w:lineRule="auto"/>
        <w:jc w:val="center"/>
        <w:rPr>
          <w:rFonts w:hint="eastAsia" w:eastAsia="黑体"/>
          <w:color w:val="000000"/>
          <w:sz w:val="30"/>
        </w:rPr>
      </w:pPr>
      <w:r>
        <w:rPr>
          <w:rFonts w:hint="eastAsia" w:eastAsia="宋体" w:ascii="宋体" w:hAnsi="宋体"/>
          <w:color w:val="000000"/>
          <w:sz w:val="28"/>
          <w:szCs w:val="28"/>
          <w:b/>
        </w:rPr>
        <w:t xml:space="preserve">结  论</w:t>
      </w:r>
    </w:p>
    <w:p>
      <w:pPr>
        <w:spacing w:line="360" w:lineRule="auto"/>
        <w:ind w:firstLine="570"/>
        <w:rPr>
          <w:rFonts w:hint="eastAsia"/>
          <w:color w:val="000000"/>
          <w:sz w:val="30"/>
        </w:rPr>
      </w:pPr>
    </w:p>
    <w:p>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pPr>
        <w:spacing w:line="360" w:lineRule="auto"/>
        <w:ind w:firstLine="570"/>
        <w:rPr>
          <w:rFonts w:hint="eastAsia"/>
          <w:color w:val="000000"/>
          <w:sz w:val="24"/>
        </w:rPr>
      </w:pPr>
      <w:r>
        <w:br w:type="page"/>
      </w:r>
    </w:p>
    <w:p>
      <w:pPr>
        <w:spacing w:line="360" w:lineRule="auto"/>
        <w:jc w:val="center"/>
        <w:rPr>
          <w:rFonts w:hint="eastAsia" w:eastAsia="黑体"/>
          <w:color w:val="000000"/>
          <w:sz w:val="30"/>
        </w:rPr>
      </w:pPr>
      <w:r>
        <w:rPr>
          <w:rFonts w:hint="eastAsia" w:eastAsia="宋体" w:ascii="宋体" w:hAnsi="宋体"/>
          <w:color w:val="000000"/>
          <w:sz w:val="28"/>
          <w:szCs w:val="28"/>
          <w:b/>
        </w:rPr>
        <w:t>参 考 文 献</w:t>
      </w:r>
    </w:p>
    <w:p>
      <w:pPr>
        <w:spacing w:line="360" w:lineRule="auto"/>
        <w:ind w:firstLine="570"/>
        <w:rPr>
          <w:rFonts w:hint="eastAsia"/>
          <w:color w:val="000000"/>
          <w:sz w:val="24"/>
        </w:rPr>
      </w:pPr>
    </w:p>
    <w:p>
      <w:pPr>
        <w:spacing w:line="440" w:lineRule="exact"/>
        <w:ind w:firstLine="573"/>
        <w:rPr>
          <w:rFonts w:hint="eastAsia"/>
          <w:color w:val="000000"/>
          <w:szCs w:val="21"/>
        </w:rPr>
      </w:pPr>
      <w:r>
        <w:rPr>
          <w:rFonts w:hint="eastAsia" w:eastAsia="宋体" w:ascii="宋体" w:hAnsi="宋体"/>
          <w:szCs w:val="21"/>
          <w:color w:val="000000"/>
          <w:sz w:val="21"/>
        </w:rPr>
        <w:t xml:space="preserve">[1]  肖建庄. 再生混凝土[M]. 北京: 中国建筑工业出版社, 2008.</w:t>
      </w:r>
    </w:p>
    <w:p>
      <w:pPr>
        <w:spacing w:line="440" w:lineRule="exact"/>
        <w:ind w:firstLine="573"/>
        <w:rPr>
          <w:rFonts w:hint="eastAsia"/>
          <w:color w:val="000000"/>
          <w:szCs w:val="21"/>
        </w:rPr>
      </w:pPr>
      <w:r>
        <w:rPr>
          <w:rFonts w:hint="eastAsia" w:eastAsia="宋体" w:ascii="宋体" w:hAnsi="宋体"/>
          <w:szCs w:val="21"/>
          <w:color w:val="000000"/>
          <w:sz w:val="21"/>
        </w:rPr>
        <w:t xml:space="preserve">[2]  国务院办公厅. 国务院办公厅关于大力发展装配式建筑的指导意见: 国办发〔2016〕71号[Z]. 2016.</w:t>
      </w:r>
    </w:p>
    <w:p>
      <w:pPr>
        <w:spacing w:line="440" w:lineRule="exact"/>
        <w:ind w:firstLine="573"/>
        <w:rPr>
          <w:rFonts w:hint="eastAsia"/>
          <w:color w:val="000000"/>
          <w:szCs w:val="21"/>
        </w:rPr>
      </w:pPr>
      <w:r>
        <w:rPr>
          <w:rFonts w:hint="eastAsia" w:eastAsia="宋体" w:ascii="宋体" w:hAnsi="宋体"/>
          <w:szCs w:val="21"/>
          <w:color w:val="000000"/>
          <w:sz w:val="21"/>
        </w:rPr>
        <w:t xml:space="preserve">[3]  海然, 崔力, 翟胜田, 等. 基于文献聚类分析的再生混凝土抗压强度及耐久性最新研究进展[J]. 材料导报, 2025, 39(17): 24050154.</w:t>
      </w:r>
    </w:p>
    <w:p>
      <w:pPr>
        <w:spacing w:line="440" w:lineRule="exact"/>
        <w:ind w:firstLine="573"/>
        <w:rPr>
          <w:rFonts w:hint="eastAsia"/>
          <w:color w:val="000000"/>
          <w:szCs w:val="21"/>
        </w:rPr>
      </w:pPr>
      <w:r>
        <w:rPr>
          <w:rFonts w:hint="eastAsia" w:eastAsia="宋体" w:ascii="宋体" w:hAnsi="宋体"/>
          <w:szCs w:val="21"/>
          <w:color w:val="000000"/>
          <w:sz w:val="21"/>
        </w:rPr>
        <w:t xml:space="preserve">[4]  刘昊. 全球首栋30层百米级再生混凝土结构公寓封顶[N]. 中华建筑报, 2026-06-24.</w:t>
      </w:r>
    </w:p>
    <w:p>
      <w:pPr>
        <w:spacing w:line="440" w:lineRule="exact"/>
        <w:ind w:firstLine="573"/>
        <w:rPr>
          <w:rFonts w:hint="eastAsia"/>
          <w:color w:val="000000"/>
          <w:szCs w:val="21"/>
        </w:rPr>
      </w:pPr>
      <w:r>
        <w:rPr>
          <w:rFonts w:hint="eastAsia" w:eastAsia="宋体" w:ascii="宋体" w:hAnsi="宋体"/>
          <w:szCs w:val="21"/>
          <w:color w:val="000000"/>
          <w:sz w:val="21"/>
        </w:rPr>
        <w:t xml:space="preserve">[5]  中华人民共和国住房和城乡建设部. 再生骨料应用技术规程: JGJ/T 240-2011[S]. 北京: 中国建筑工业出版社, 2011.</w:t>
      </w:r>
    </w:p>
    <w:p>
      <w:pPr>
        <w:spacing w:line="440" w:lineRule="exact"/>
        <w:ind w:firstLine="573"/>
        <w:rPr>
          <w:rFonts w:hint="eastAsia"/>
          <w:color w:val="000000"/>
          <w:szCs w:val="21"/>
        </w:rPr>
      </w:pPr>
      <w:r>
        <w:rPr>
          <w:rFonts w:hint="eastAsia" w:eastAsia="宋体" w:ascii="宋体" w:hAnsi="宋体"/>
          <w:szCs w:val="21"/>
          <w:color w:val="000000"/>
          <w:sz w:val="21"/>
        </w:rPr>
        <w:t xml:space="preserve">[6]  肖建庄. 可持续混凝土结构导论[M]. 北京: 科学出版社, 2017.</w:t>
      </w:r>
    </w:p>
    <w:p>
      <w:pPr>
        <w:spacing w:line="440" w:lineRule="exact"/>
        <w:ind w:firstLine="573"/>
        <w:rPr>
          <w:rFonts w:hint="eastAsia"/>
          <w:color w:val="000000"/>
          <w:szCs w:val="21"/>
        </w:rPr>
      </w:pPr>
      <w:r>
        <w:rPr>
          <w:rFonts w:hint="eastAsia" w:eastAsia="宋体" w:ascii="宋体" w:hAnsi="宋体"/>
          <w:szCs w:val="21"/>
          <w:color w:val="000000"/>
          <w:sz w:val="21"/>
        </w:rPr>
        <w:t xml:space="preserve">[7]  XIAO J Z. Recycled Aggregate Concrete Structures[M]. Berlin: Springer, 2018.</w:t>
      </w:r>
    </w:p>
    <w:p>
      <w:pPr>
        <w:spacing w:line="440" w:lineRule="exact"/>
        <w:ind w:firstLine="573"/>
        <w:rPr>
          <w:rFonts w:hint="eastAsia"/>
          <w:color w:val="000000"/>
          <w:szCs w:val="21"/>
        </w:rPr>
      </w:pPr>
      <w:r>
        <w:rPr>
          <w:rFonts w:hint="eastAsia" w:eastAsia="宋体" w:ascii="宋体" w:hAnsi="宋体"/>
          <w:szCs w:val="21"/>
          <w:color w:val="000000"/>
          <w:sz w:val="21"/>
        </w:rPr>
        <w:t xml:space="preserve">[8]  杨海峰, 肖建庄. 再生混凝土-钢筋粘结滑移性能[M]. 北京: 中国建筑工业出版社, 2025.</w:t>
      </w:r>
    </w:p>
    <w:p>
      <w:pPr>
        <w:spacing w:line="440" w:lineRule="exact"/>
        <w:ind w:firstLine="573"/>
        <w:rPr>
          <w:rFonts w:hint="eastAsia"/>
          <w:color w:val="000000"/>
          <w:szCs w:val="21"/>
        </w:rPr>
      </w:pPr>
      <w:r>
        <w:rPr>
          <w:rFonts w:hint="eastAsia" w:eastAsia="宋体" w:ascii="宋体" w:hAnsi="宋体"/>
          <w:szCs w:val="21"/>
          <w:color w:val="000000"/>
          <w:sz w:val="21"/>
        </w:rPr>
        <w:t xml:space="preserve">[9]  李想, 孙建刚, 张书进, 等. 一种基于再生混凝土的装配式结构抗震性能试验研究[J]. 振动工程学报, 2021, 34(5).</w:t>
      </w:r>
    </w:p>
    <w:p>
      <w:pPr>
        <w:spacing w:line="440" w:lineRule="exact"/>
        <w:ind w:firstLine="573"/>
        <w:rPr>
          <w:rFonts w:hint="eastAsia"/>
          <w:color w:val="000000"/>
          <w:szCs w:val="21"/>
        </w:rPr>
      </w:pPr>
      <w:r>
        <w:rPr>
          <w:rFonts w:hint="eastAsia" w:eastAsia="宋体" w:ascii="宋体" w:hAnsi="宋体"/>
          <w:szCs w:val="21"/>
          <w:color w:val="000000"/>
          <w:sz w:val="21"/>
        </w:rPr>
        <w:t xml:space="preserve">[10]  中华人民共和国国家质量监督检验检疫总局, 中国国家标准化管理委员会. 混凝土用再生粗骨料: GB/T 25177-2010[S]. 北京: 中国标准出版社, 2010.</w:t>
      </w:r>
    </w:p>
    <w:p>
      <w:pPr>
        <w:spacing w:line="440" w:lineRule="exact"/>
        <w:ind w:firstLine="573"/>
        <w:rPr>
          <w:rFonts w:hint="eastAsia"/>
          <w:color w:val="000000"/>
          <w:szCs w:val="21"/>
        </w:rPr>
      </w:pPr>
      <w:r>
        <w:rPr>
          <w:rFonts w:hint="eastAsia" w:eastAsia="宋体" w:ascii="宋体" w:hAnsi="宋体"/>
          <w:szCs w:val="21"/>
          <w:color w:val="000000"/>
          <w:sz w:val="21"/>
        </w:rPr>
        <w:t xml:space="preserve">[11]  中华人民共和国国家质量监督检验检疫总局, 中国国家标准化管理委员会. 混凝土和砂浆用再生细骨料: GB/T 25176-2010[S]. 北京: 中国标准出版社, 2010.</w:t>
      </w:r>
    </w:p>
    <w:p>
      <w:pPr>
        <w:spacing w:line="440" w:lineRule="exact"/>
        <w:ind w:firstLine="573"/>
        <w:rPr>
          <w:rFonts w:hint="eastAsia"/>
          <w:color w:val="000000"/>
          <w:szCs w:val="21"/>
        </w:rPr>
      </w:pPr>
      <w:r>
        <w:rPr>
          <w:rFonts w:hint="eastAsia" w:eastAsia="宋体" w:ascii="宋体" w:hAnsi="宋体"/>
          <w:szCs w:val="21"/>
          <w:color w:val="000000"/>
          <w:sz w:val="21"/>
        </w:rPr>
        <w:t xml:space="preserve">[12]  中华人民共和国住房和城乡建设部. 装配式混凝土建筑技术标准: GB/T 51231-2016[S]. 北京: 中国建筑工业出版社, 2016.</w:t>
      </w:r>
    </w:p>
    <w:p>
      <w:pPr>
        <w:spacing w:line="440" w:lineRule="exact"/>
        <w:ind w:firstLine="573"/>
        <w:rPr>
          <w:rFonts w:hint="eastAsia"/>
          <w:color w:val="000000"/>
          <w:szCs w:val="21"/>
        </w:rPr>
      </w:pPr>
      <w:r>
        <w:rPr>
          <w:rFonts w:hint="eastAsia" w:eastAsia="宋体" w:ascii="宋体" w:hAnsi="宋体"/>
          <w:szCs w:val="21"/>
          <w:color w:val="000000"/>
          <w:sz w:val="21"/>
        </w:rPr>
        <w:t xml:space="preserve">[13]  中华人民共和国住房和城乡建设部. 装配式混凝土结构技术规程: JGJ 1-2014[S]. 北京: 中国建筑工业出版社, 2014.</w:t>
      </w:r>
    </w:p>
    <w:p>
      <w:pPr>
        <w:spacing w:line="440" w:lineRule="exact"/>
        <w:ind w:firstLine="573"/>
        <w:rPr>
          <w:rFonts w:hint="eastAsia"/>
          <w:color w:val="000000"/>
          <w:szCs w:val="21"/>
        </w:rPr>
      </w:pPr>
      <w:r>
        <w:rPr>
          <w:rFonts w:hint="eastAsia" w:eastAsia="宋体" w:ascii="宋体" w:hAnsi="宋体"/>
          <w:szCs w:val="21"/>
          <w:color w:val="000000"/>
          <w:sz w:val="21"/>
        </w:rPr>
        <w:t xml:space="preserve">[14]  中华人民共和国住房和城乡建设部. 装配式建筑评价标准: GB/T 51129-2017[S]. 北京: 中国建筑工业出版社, 2017.</w:t>
      </w:r>
    </w:p>
    <w:p>
      <w:pPr>
        <w:spacing w:line="440" w:lineRule="exact"/>
        <w:ind w:firstLine="573"/>
        <w:rPr>
          <w:rFonts w:hint="eastAsia"/>
          <w:color w:val="000000"/>
          <w:szCs w:val="21"/>
        </w:rPr>
      </w:pPr>
      <w:r>
        <w:rPr>
          <w:rFonts w:hint="eastAsia" w:eastAsia="宋体" w:ascii="宋体" w:hAnsi="宋体"/>
          <w:szCs w:val="21"/>
          <w:color w:val="000000"/>
          <w:sz w:val="21"/>
        </w:rPr>
        <w:t xml:space="preserve">[15]  深圳市住房和建设局. 建筑废弃物再生产品应用工程技术规程: SJG 37-2026[S]. 深圳, 2026.</w:t>
      </w:r>
    </w:p>
    <w:p>
      <w:pPr>
        <w:spacing w:line="440" w:lineRule="exact"/>
        <w:ind w:firstLine="573"/>
        <w:rPr>
          <w:rFonts w:hint="eastAsia"/>
          <w:color w:val="000000"/>
          <w:szCs w:val="21"/>
        </w:rPr>
      </w:pPr>
      <w:r>
        <w:rPr>
          <w:rFonts w:hint="eastAsia" w:eastAsia="宋体" w:ascii="宋体" w:hAnsi="宋体"/>
          <w:szCs w:val="21"/>
          <w:color w:val="000000"/>
          <w:sz w:val="21"/>
        </w:rPr>
        <w:t xml:space="preserve">[16]  山东省市场监督管理局. 再生混凝土预制构件应用技术规程: DB37/T 5276-2024[S]. 济南, 2024.</w:t>
      </w:r>
    </w:p>
    <w:p>
      <w:pPr>
        <w:spacing w:line="440" w:lineRule="exact"/>
        <w:ind w:firstLine="573"/>
        <w:rPr>
          <w:rFonts w:hint="eastAsia"/>
          <w:color w:val="000000"/>
          <w:szCs w:val="21"/>
        </w:rPr>
      </w:pPr>
      <w:r>
        <w:rPr>
          <w:rFonts w:hint="eastAsia" w:eastAsia="宋体" w:ascii="宋体" w:hAnsi="宋体"/>
          <w:szCs w:val="21"/>
          <w:color w:val="000000"/>
          <w:sz w:val="21"/>
        </w:rPr>
        <w:t xml:space="preserve">[17]  中华人民共和国住房和城乡建设部. 混凝土结构工程施工质量验收规范: GB 50204-2015[S]. 北京: 中国建筑工业出版社, 2015.</w:t>
      </w:r>
    </w:p>
    <w:p>
      <w:pPr>
        <w:spacing w:before="156" w:beforeLines="50" w:line="360" w:lineRule="auto"/>
        <w:rPr>
          <w:rFonts w:hint="eastAsia"/>
          <w:color w:val="000000"/>
          <w:sz w:val="30"/>
        </w:rPr>
      </w:pPr>
    </w:p>
    <w:p>
      <w:pPr>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spacing w:line="360" w:lineRule="auto"/>
        <w:ind w:firstLine="570"/>
        <w:rPr>
          <w:rFonts w:hint="eastAsia" w:ascii="宋体" w:hAnsi="宋体"/>
          <w:color w:val="000000"/>
          <w:sz w:val="30"/>
        </w:rPr>
      </w:pPr>
    </w:p>
    <w:p>
      <w:pPr>
        <w:spacing w:line="440" w:lineRule="exact"/>
        <w:ind w:firstLine="480" w:firstLineChars="200"/>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ind w:firstLine="123" w:firstLineChars="49"/>
      <w:jc w:val="both"/>
      <w:rPr>
        <w:sz w:val="21"/>
      </w:rPr>
      <w:tabs>
        <w:tab w:val="right" w:pos="8306"/>
      </w:tabs>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