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Loan Processor</w:t>
      </w:r>
    </w:p>
    <w:p>
      <w:pPr>
        <w:spacing w:after="60"/>
      </w:pPr>
      <w:r>
        <w:t xml:space="preserve">Brookhaven Home Lending | Charlotte, NC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Brookhaven Home Lending is a regional retail mortgage lender focused on first-time buyers and refinance customers. The company is growing its commercial-adjacent small loan division.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 conventional and government-backed mortgage files with minimal rework.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and disclose loan documents in line with compliance timelines.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 as the primary contact for loan officers, underwriters, and closing agents.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quality control audits and resolve findings.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3+ years of mortgage processing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knowledge of agency and government loan guidelines.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organizational skills in a high-volume pipeline.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compliance disclosure timelines.</w:t>
      </w:r>
    </w:p>
    <w:p>
      <w:pPr>
        <w:spacing w:after="0" w:before="200"/>
      </w:pPr>
      <w:r>
        <w:t xml:space="preserve">Brookhaven Home Lending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Processor - Brookhaven Home Lending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2026-10-26T13:22:01.024Z</dcterms:created>
  <dcterms:modified xsi:type="dcterms:W3CDTF">2026-10-26T13:22:01.024Z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