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Insurance Underwriter</w:t>
      </w:r>
    </w:p>
    <w:p>
      <w:pPr>
        <w:spacing w:after="60"/>
      </w:pPr>
      <w:r>
        <w:t xml:space="preserve">Ridgeway Specialty Underwriters | Hartford, CT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Ridgeway Specialty Underwriters writes complex commercial risks through a network of wholesale brokers. The company is launching a new middle-market property and casualty unit.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Underwrite middle-market property accounts with larger limits and layered programs.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 pricing strategy and underwriting guidelines for the new unit.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relationships with wholesale brokers and attend marketing events.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 with reinsurance and actuarial teams on capacity and rate adequacy.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12+ years of commercial underwriting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with larger-limit or catastrophe-exposed property is preferred.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Demonstrated profitable portfolio management.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coach and develop underwriters.</w:t>
      </w:r>
    </w:p>
    <w:p>
      <w:pPr>
        <w:spacing w:after="0" w:before="200"/>
      </w:pPr>
      <w:r>
        <w:t xml:space="preserve">Ridgeway Specialty Underwriters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 Underwriter - Ridgeway Specialty Underwriters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2026-10-26T13:22:01.059Z</dcterms:created>
  <dcterms:modified xsi:type="dcterms:W3CDTF">2026-10-26T13:22:01.059Z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