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Content Writer</w:t>
      </w:r>
    </w:p>
    <w:p>
      <w:pPr>
        <w:spacing w:after="60"/>
      </w:pPr>
      <w:r>
        <w:t xml:space="preserve">Fernwood Financial Learning | Charlotte, NC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Fernwood Financial Learning publishes plain-language guides and courses on budgeting, saving and retirement. Its editorial team works closely with licensed advisors to review content.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accurate, accessible articles and guides on personal finance topics.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with subject-matter experts to verify technical content.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 content around audience questions and search trends.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brand voice and update older content on a regular schedule.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5+ years of professional writing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explain complex topics in plain language.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working with subject-matter reviewers.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Knowledge of search-informed content planning.</w:t>
      </w:r>
    </w:p>
    <w:p>
      <w:pPr>
        <w:spacing w:after="0" w:before="200"/>
      </w:pPr>
      <w:r>
        <w:t xml:space="preserve">Fernwood Financial Learning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Writer - Fernwood Financial Learning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2026-10-26T13:22:01.136Z</dcterms:created>
  <dcterms:modified xsi:type="dcterms:W3CDTF">2026-10-26T13:22:01.136Z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