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Linux Systems Administrator</w:t>
      </w:r>
    </w:p>
    <w:p>
      <w:pPr>
        <w:spacing w:after="60"/>
      </w:pPr>
      <w:r>
        <w:t xml:space="preserve">Brightwater Cloud Services | Seattle, WA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Brightwater Cloud Services provides managed infrastructure to mid-sized healthcare and education customers. The platform team runs a hybrid environment of private servers and public cloud workloads.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Operate and improve a hybrid fleet of Linux servers and cloud instances.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infrastructure-as-code templates and configuration management workflows.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Participate in on-call rotation and lead post-incident reviews.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security on hardening standards and audits.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8+ years of Linux systems administration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scripting and automation in Bash or Python.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Hands-on exposure to public cloud platforms and infrastructure as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container orchestration is a plus.</w:t>
      </w:r>
    </w:p>
    <w:p>
      <w:pPr>
        <w:spacing w:after="0" w:before="200"/>
      </w:pPr>
      <w:r>
        <w:t xml:space="preserve">Brightwater Cloud Services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Systems Administrator - Brightwater Cloud Services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2026-10-26T13:22:01.070Z</dcterms:created>
  <dcterms:modified xsi:type="dcterms:W3CDTF">2026-10-26T13:22:01.070Z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