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Noor Al-Rashid</w:t>
      </w:r>
    </w:p>
    <w:p>
      <w:pPr>
        <w:spacing w:after="60"/>
      </w:pPr>
      <w:r>
        <w:t xml:space="preserve">Jersey City, NJ | 555-0127 | noor.rashid@example.test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Compliance analyst with 12 years of experience in anti-money laundering, transaction monitoring, and regulatory exam preparation at community and regional banks. Effective at turning regulatory requirements into practical controls and mentoring junior analysts.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Compliance Analyst, Atlas Meridian Bank</w:t>
      </w:r>
    </w:p>
    <w:p>
      <w:pPr>
        <w:spacing w:after="40"/>
      </w:pPr>
      <w:r>
        <w:t xml:space="preserve">Jersey City, NJ | Mar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the BSA/AML monitoring program review for a $4 billion institution, covering 18 scenarios and quarterly tuning.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false-positive alerts by 31 percent through threshold analysis while maintaining examiner-accepted coverage.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regulatory exam requests and responses, with zero repeat findings in the last two exam cycles.</w:t>
      </w:r>
    </w:p>
    <w:p>
      <w:pPr>
        <w:pStyle w:val="Heading2"/>
      </w:pPr>
      <w:r>
        <w:t xml:space="preserve">Compliance Analyst, Brandywine Trust and Savings</w:t>
      </w:r>
    </w:p>
    <w:p>
      <w:pPr>
        <w:spacing w:after="40"/>
      </w:pPr>
      <w:r>
        <w:t xml:space="preserve">Newark, NJ | Jun 2016 – Feb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Performed independent testing of lending and deposit compliance controls across 14 branches.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Investigated and filed suspicious activity reports, averaging 25 cases per quarter within required deadlines.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policy updates and trained 200 employees annually on AML and fair lending requirements.</w:t>
      </w:r>
    </w:p>
    <w:p>
      <w:pPr>
        <w:pStyle w:val="Heading2"/>
      </w:pPr>
      <w:r>
        <w:t xml:space="preserve">Operations Risk Associate, Cobblestone Financial Group</w:t>
      </w:r>
    </w:p>
    <w:p>
      <w:pPr>
        <w:spacing w:after="40"/>
      </w:pPr>
      <w:r>
        <w:t xml:space="preserve">New York, NY | Jul 2014 – May 2016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Reviewed account opening documentation for completeness and customer due diligence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Maintained the operational loss event log and contributed to quarterly risk reports.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M.S., Financial Management, Hudson River University College, 2014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B.A., Economics, Hudson River University College, 2012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BSA/AML program management, Transaction monitoring tuning, Suspicious activity investigation, Regulatory exam management, Controls testing, Policy writing, Fair lending basics, Risk assessment, Training development, Mentoring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Certified Anti-Money Laundering Specialist (CAMS)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Noor Al-Rashid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2026-10-26T13:22:01.041Z</dcterms:created>
  <dcterms:modified xsi:type="dcterms:W3CDTF">2026-10-26T13:22:01.041Z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