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Walter Dubois</w:t>
      </w:r>
    </w:p>
    <w:p>
      <w:pPr>
        <w:spacing w:after="60"/>
      </w:pPr>
      <w:r>
        <w:t xml:space="preserve">Hartford, CT | 555-0128 | walter.dubois@example.test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Commercial property underwriter with 16 years of experience evaluating and pricing risk for small and mid-market accounts. Balances disciplined risk selection with strong broker relationships and a record of profitable portfolio growth.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Underwriter, Commercial Property, Fairhaven Mutual Casualty</w:t>
      </w:r>
    </w:p>
    <w:p>
      <w:pPr>
        <w:spacing w:after="40"/>
      </w:pPr>
      <w:r>
        <w:t xml:space="preserve">Hartford, CT | May 2019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Underwrite a $38 million commercial property book of small and mid-sized accounts, maintaining a loss ratio of 54 percent against a 60 percent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25 to 30 submissions per week, binding about 40 percent with clear pricing and coverage rationale.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 four junior underwriters and lead quarterly peer file reviews.</w:t>
      </w:r>
    </w:p>
    <w:p>
      <w:pPr>
        <w:pStyle w:val="Heading2"/>
      </w:pPr>
      <w:r>
        <w:t xml:space="preserve">Underwriter, Commercial Package, Stonebridge Insurance Group</w:t>
      </w:r>
    </w:p>
    <w:p>
      <w:pPr>
        <w:spacing w:after="40"/>
      </w:pPr>
      <w:r>
        <w:t xml:space="preserve">Springfield, MA | Feb 2014 – Apr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Underwrote package policies for retail, light manufacturing, and professional office risks up to $5 million in insured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Grew a producer-assigned territory by 22 percent in premium while keeping loss ratio below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Conducted site surveys and worked with loss control to improve risk quality on 60 accounts.</w:t>
      </w:r>
    </w:p>
    <w:p>
      <w:pPr>
        <w:pStyle w:val="Heading2"/>
      </w:pPr>
      <w:r>
        <w:t xml:space="preserve">Underwriting Assistant, Stonebridge Insurance Group</w:t>
      </w:r>
    </w:p>
    <w:p>
      <w:pPr>
        <w:spacing w:after="40"/>
      </w:pPr>
      <w:r>
        <w:t xml:space="preserve">Springfield, MA | Jul 2010 – Jan 2014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Prepared quotes, processed renewals, and verified exposure data for a team of three underwriters.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 about 900 policy transactions annually with low error rates.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B.S., Risk Management and Insurance, New England Commerce College, 2010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Commercial property underwriting, Risk selection and pricing, Broker relationship management, Exposure and catastrophe analysis, Portfolio management, Loss ratio analysis, Policy form and coverage knowledge, Site survey review, Mentoring, Negotiation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Chartered Property Casualty Underwriter (CPCU)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in Commercial Underwriting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Walter Dubois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2026-10-26T13:22:01.053Z</dcterms:created>
  <dcterms:modified xsi:type="dcterms:W3CDTF">2026-10-26T13:22:01.053Z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