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Teodor Petrescu</w:t>
      </w:r>
    </w:p>
    <w:p>
      <w:pPr>
        <w:spacing w:after="60"/>
      </w:pPr>
      <w:r>
        <w:t xml:space="preserve">Dayton, OH | 555-0120 | teodor.petrescu@example.test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CNC machine operator with seven years of precision machining experience across stamping and milling environments. Known for consistent first-pass quality, quick changeovers, and steady improvement of cycle times on high-volume aluminum and steel parts.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CNC Machine Operator, Brightline Precision Components</w:t>
      </w:r>
    </w:p>
    <w:p>
      <w:pPr>
        <w:spacing w:after="40"/>
      </w:pPr>
      <w:r>
        <w:t xml:space="preserve">Dayton, OH | Mar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Operate four 3-axis vertical mills running aluminum housings, holding tolerances of +/- 0.002 inch across 98 percent of lots.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Reduced changeover time on a recurring bracket job from 52 to 34 minutes by staging tooling and pre-setting offsets.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 in-process inspections with calipers, micrometers, and a height gauge, cutting scrap by 18 percent over two years.</w:t>
      </w:r>
    </w:p>
    <w:p>
      <w:pPr>
        <w:pStyle w:val="Heading2"/>
      </w:pPr>
      <w:r>
        <w:t xml:space="preserve">Machine Operator, Calder Valley Metalworks</w:t>
      </w:r>
    </w:p>
    <w:p>
      <w:pPr>
        <w:spacing w:after="40"/>
      </w:pPr>
      <w:r>
        <w:t xml:space="preserve">Springfield, OH | Jun 2020 – Feb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 CNC lathes and a small horizontal mill on a two-shift schedule, producing about 600 steel shafts per week.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Edited basic G-code programs for feed and speed adjustments under supervision of the lead programmer.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Trained six new hires on machine startup, tool wear checks, and first-article procedures.</w:t>
      </w:r>
    </w:p>
    <w:p>
      <w:pPr>
        <w:pStyle w:val="Heading2"/>
      </w:pPr>
      <w:r>
        <w:t xml:space="preserve">Production Associate, Harlow Stamping Company</w:t>
      </w:r>
    </w:p>
    <w:p>
      <w:pPr>
        <w:spacing w:after="40"/>
      </w:pPr>
      <w:r>
        <w:t xml:space="preserve">Dayton, OH | Jan 2018 – May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Loaded and unloaded stamping presses and sorted finished parts to a quota of 1,200 pieces per shift.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Logged daily defect counts and flagged die wear to maintenance, helping reduce unplanned stoppages by 10 percent.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Certificate in Machine Tool Technology, Miami Valley Polytechnic Institute, 2017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CNC mill and lathe operation, G-code editing, Blueprint reading, Precision measurement, First-article inspection, Tool offset and setup, Changeover reduction, 5S and visual management, Shop safety practices, Basic SPC charting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OSHA 10-Hour General Industry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Teodor Petrescu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2026-10-26T13:22:00.961Z</dcterms:created>
  <dcterms:modified xsi:type="dcterms:W3CDTF">2026-10-26T13:22:00.961Z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