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Darnell Whitfield</w:t>
      </w:r>
    </w:p>
    <w:p>
      <w:pPr>
        <w:spacing w:after="60"/>
      </w:pPr>
      <w:r>
        <w:t xml:space="preserve">Greenville, SC | 555-0122 | darnell.whitfield@example.test</w:t>
      </w:r>
    </w:p>
    <w:p>
      <w:pPr>
        <w:pStyle w:val="Heading1"/>
      </w:pPr>
      <w:r>
        <w:t xml:space="preserve">Summary</w:t>
      </w:r>
    </w:p>
    <w:p>
      <w:pPr>
        <w:spacing w:after="60"/>
      </w:pPr>
      <w:r>
        <w:t xml:space="preserve">ERP data analyst with six years of experience maintaining item masters, bills of material, and costing data for discrete manufacturers. Combines SQL reporting skills with floor-level process knowledge to improve data accuracy and support planning and finance teams.</w:t>
      </w:r>
    </w:p>
    <w:p>
      <w:pPr>
        <w:pStyle w:val="Heading1"/>
      </w:pPr>
      <w:r>
        <w:t xml:space="preserve">Experience</w:t>
      </w:r>
    </w:p>
    <w:p>
      <w:pPr>
        <w:pStyle w:val="Heading2"/>
      </w:pPr>
      <w:r>
        <w:t xml:space="preserve">ERP Data Analyst, Piedmont Gearworks</w:t>
      </w:r>
    </w:p>
    <w:p>
      <w:pPr>
        <w:spacing w:after="40"/>
      </w:pPr>
      <w:r>
        <w:t xml:space="preserve">Greenville, SC | Sep 2022 – Present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Maintain item master, BOM, and routing data for about 9,000 active parts, keeping record accuracy above 99 percent in quarterly audits.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15 SQL-based exception reports that cut manual cycle count reconciliation time from 10 hours to 3 hours per week.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Led data validation for an ERP module upgrade, resolving 410 discrepancies before go-live.</w:t>
      </w:r>
    </w:p>
    <w:p>
      <w:pPr>
        <w:pStyle w:val="Heading2"/>
      </w:pPr>
      <w:r>
        <w:t xml:space="preserve">Inventory Control Analyst, Southbank Fastener Corporation</w:t>
      </w:r>
    </w:p>
    <w:p>
      <w:pPr>
        <w:spacing w:after="40"/>
      </w:pPr>
      <w:r>
        <w:t xml:space="preserve">Spartanburg, SC | Jul 2019 – Aug 2022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Reconciled inventory transactions across two warehouses, reducing book-to-physical variance from 3.1 to 1.2 percent.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Produced weekly slow-moving stock reports that supported a $380,000 write-down decision.</w:t>
      </w:r>
    </w:p>
    <w:p>
      <w:pPr>
        <w:pStyle w:val="Heading2"/>
      </w:pPr>
      <w:r>
        <w:t xml:space="preserve">Materials Clerk, Southbank Fastener Corporation</w:t>
      </w:r>
    </w:p>
    <w:p>
      <w:pPr>
        <w:spacing w:after="40"/>
      </w:pPr>
      <w:r>
        <w:t xml:space="preserve">Spartanburg, SC | Jun 2018 – Jun 2019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Processed receipts and issues in the ERP system and resolved discrepancies with receiving staff.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Assisted with annual physical inventory counts covering 4,500 locations.</w:t>
      </w:r>
    </w:p>
    <w:p>
      <w:pPr>
        <w:pStyle w:val="Heading1"/>
      </w:pPr>
      <w:r>
        <w:t xml:space="preserve">Education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B.S., Information Systems, Upstate Carolina University College, 2018</w:t>
      </w:r>
    </w:p>
    <w:p>
      <w:pPr>
        <w:pStyle w:val="Heading1"/>
      </w:pPr>
      <w:r>
        <w:t xml:space="preserve">Skills</w:t>
      </w:r>
    </w:p>
    <w:p>
      <w:pPr>
        <w:spacing w:after="60"/>
      </w:pPr>
      <w:r>
        <w:t xml:space="preserve">SQL reporting, ERP master data management, Bill of material maintenance, Inventory reconciliation, Data validation and cleansing, Dashboard building, Standard cost roll-ups, Process documentation, Advanced spreadsheet modeling, Stakeholder training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Darnell Whitfield - Resume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2026-10-26T13:22:00.985Z</dcterms:created>
  <dcterms:modified xsi:type="dcterms:W3CDTF">2026-10-26T13:22:00.985Z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