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0"/>
          <w:szCs w:val="30"/>
        </w:rPr>
        <w:t xml:space="preserve">SUPPORT &amp; MAINTENANCE AGREEMENT</w:t>
      </w:r>
    </w:p>
    <w:p>
      <w:pPr>
        <w:spacing w:after="200"/>
        <w:jc w:val="center"/>
      </w:pPr>
      <w:r>
        <w:rPr>
          <w:rFonts w:ascii="Calibri" w:cs="Calibri" w:eastAsia="Calibri" w:hAnsi="Calibri"/>
          <w:i/>
          <w:iCs/>
          <w:color w:val="444444"/>
          <w:sz w:val="22"/>
          <w:szCs w:val="22"/>
        </w:rPr>
        <w:t xml:space="preserve">Electronic PRF System for Ambulance and Emergency Medical Services</w:t>
      </w:r>
    </w:p>
    <w:p>
      <w:pPr>
        <w:spacing w:after="120" w:line="264"/>
      </w:pPr>
      <w:r>
        <w:rPr>
          <w:rFonts w:ascii="Calibri" w:cs="Calibri" w:eastAsia="Calibri" w:hAnsi="Calibri"/>
          <w:sz w:val="21"/>
          <w:szCs w:val="21"/>
        </w:rPr>
        <w:t xml:space="preserve">This Support &amp; Maintenance Agreement ("Agreement") is entered into on ________________ 2026 by and between </w:t>
      </w:r>
      <w:r>
        <w:rPr>
          <w:rFonts w:ascii="Calibri" w:cs="Calibri" w:eastAsia="Calibri" w:hAnsi="Calibri"/>
          <w:b/>
          <w:bCs/>
          <w:sz w:val="21"/>
          <w:szCs w:val="21"/>
        </w:rPr>
        <w:t xml:space="preserve">[DEVELOPER FULL NAME] </w:t>
      </w:r>
      <w:r>
        <w:rPr>
          <w:rFonts w:ascii="Calibri" w:cs="Calibri" w:eastAsia="Calibri" w:hAnsi="Calibri"/>
          <w:sz w:val="21"/>
          <w:szCs w:val="21"/>
        </w:rPr>
        <w:t xml:space="preserve">(the "Developer") and </w:t>
      </w:r>
      <w:r>
        <w:rPr>
          <w:rFonts w:ascii="Calibri" w:cs="Calibri" w:eastAsia="Calibri" w:hAnsi="Calibri"/>
          <w:b/>
          <w:bCs/>
          <w:sz w:val="21"/>
          <w:szCs w:val="21"/>
        </w:rPr>
        <w:t xml:space="preserve">EMS Medical Claims Administrators (EMS MCA Limited) </w:t>
      </w:r>
      <w:r>
        <w:rPr>
          <w:rFonts w:ascii="Calibri" w:cs="Calibri" w:eastAsia="Calibri" w:hAnsi="Calibri"/>
          <w:sz w:val="21"/>
          <w:szCs w:val="21"/>
        </w:rPr>
        <w:t xml:space="preserve">(the "Client"), and is supplemental to the Software Development Agreement between the Parties (the "Development Agreement"). Capitalised terms not defined here have the meanings given in the Development Agreement.</w:t>
      </w:r>
    </w:p>
    <w:p>
      <w:pPr>
        <w:pStyle w:val="Heading2"/>
        <w:spacing w:after="80" w:before="200"/>
      </w:pPr>
      <w:r>
        <w:rPr>
          <w:rFonts w:ascii="Calibri" w:cs="Calibri" w:eastAsia="Calibri" w:hAnsi="Calibri"/>
          <w:b/>
          <w:bCs/>
          <w:color w:val="1F3864"/>
          <w:sz w:val="22"/>
          <w:szCs w:val="22"/>
        </w:rPr>
        <w:t xml:space="preserve">1. PURPOSE</w:t>
      </w:r>
    </w:p>
    <w:p>
      <w:pPr>
        <w:spacing w:after="120" w:line="264"/>
      </w:pPr>
      <w:r>
        <w:rPr>
          <w:rFonts w:ascii="Calibri" w:cs="Calibri" w:eastAsia="Calibri" w:hAnsi="Calibri"/>
          <w:sz w:val="21"/>
          <w:szCs w:val="21"/>
        </w:rPr>
        <w:t xml:space="preserve">1.1  This Agreement provides the Client with ongoing support and maintenance of the Electronic PRF System from Go-Live, ensuring the System remains operational, compliant, and current with medical scheme billing requirements as the Client onboards service providers.</w:t>
      </w:r>
    </w:p>
    <w:p>
      <w:pPr>
        <w:pStyle w:val="Heading2"/>
        <w:spacing w:after="80" w:before="200"/>
      </w:pPr>
      <w:r>
        <w:rPr>
          <w:rFonts w:ascii="Calibri" w:cs="Calibri" w:eastAsia="Calibri" w:hAnsi="Calibri"/>
          <w:b/>
          <w:bCs/>
          <w:color w:val="1F3864"/>
          <w:sz w:val="22"/>
          <w:szCs w:val="22"/>
        </w:rPr>
        <w:t xml:space="preserve">2. SERVICES INCLUDED</w:t>
      </w:r>
    </w:p>
    <w:p>
      <w:pPr>
        <w:spacing w:after="120" w:line="264"/>
      </w:pPr>
      <w:r>
        <w:rPr>
          <w:rFonts w:ascii="Calibri" w:cs="Calibri" w:eastAsia="Calibri" w:hAnsi="Calibri"/>
          <w:sz w:val="21"/>
          <w:szCs w:val="21"/>
        </w:rPr>
        <w:t xml:space="preserve">2.1  During the term, the Developer shall provide:</w:t>
      </w:r>
    </w:p>
    <w:p>
      <w:pPr>
        <w:pStyle w:val="ListParagraph"/>
        <w:numPr>
          <w:ilvl w:val="0"/>
          <w:numId w:val="2"/>
        </w:numPr>
        <w:spacing w:after="120" w:line="264"/>
      </w:pPr>
      <w:r>
        <w:rPr>
          <w:rFonts w:ascii="Calibri" w:cs="Calibri" w:eastAsia="Calibri" w:hAnsi="Calibri"/>
          <w:sz w:val="21"/>
          <w:szCs w:val="21"/>
        </w:rPr>
        <w:t xml:space="preserve">Priority defect resolution and bug fixes for the System in production;</w:t>
      </w:r>
    </w:p>
    <w:p>
      <w:pPr>
        <w:pStyle w:val="ListParagraph"/>
        <w:numPr>
          <w:ilvl w:val="0"/>
          <w:numId w:val="2"/>
        </w:numPr>
        <w:spacing w:after="120" w:line="264"/>
      </w:pPr>
      <w:r>
        <w:rPr>
          <w:rFonts w:ascii="Calibri" w:cs="Calibri" w:eastAsia="Calibri" w:hAnsi="Calibri"/>
          <w:sz w:val="21"/>
          <w:szCs w:val="21"/>
        </w:rPr>
        <w:t xml:space="preserve">Updates to scheme billing validation rules and tariff tables when medical schemes (including Netcare, Discovery, GEMS, and ER24) publish revised guidelines;</w:t>
      </w:r>
    </w:p>
    <w:p>
      <w:pPr>
        <w:pStyle w:val="ListParagraph"/>
        <w:numPr>
          <w:ilvl w:val="0"/>
          <w:numId w:val="2"/>
        </w:numPr>
        <w:spacing w:after="120" w:line="264"/>
      </w:pPr>
      <w:r>
        <w:rPr>
          <w:rFonts w:ascii="Calibri" w:cs="Calibri" w:eastAsia="Calibri" w:hAnsi="Calibri"/>
          <w:sz w:val="21"/>
          <w:szCs w:val="21"/>
        </w:rPr>
        <w:t xml:space="preserve">System monitoring, security patches, and dependency updates;</w:t>
      </w:r>
    </w:p>
    <w:p>
      <w:pPr>
        <w:pStyle w:val="ListParagraph"/>
        <w:numPr>
          <w:ilvl w:val="0"/>
          <w:numId w:val="2"/>
        </w:numPr>
        <w:spacing w:after="120" w:line="264"/>
      </w:pPr>
      <w:r>
        <w:rPr>
          <w:rFonts w:ascii="Calibri" w:cs="Calibri" w:eastAsia="Calibri" w:hAnsi="Calibri"/>
          <w:sz w:val="21"/>
          <w:szCs w:val="21"/>
        </w:rPr>
        <w:t xml:space="preserve">Reasonable telephonic and email support during business hours (08:00–17:00, Mon–Fri);</w:t>
      </w:r>
    </w:p>
    <w:p>
      <w:pPr>
        <w:pStyle w:val="ListParagraph"/>
        <w:numPr>
          <w:ilvl w:val="0"/>
          <w:numId w:val="2"/>
        </w:numPr>
        <w:spacing w:after="120" w:line="264"/>
      </w:pPr>
      <w:r>
        <w:rPr>
          <w:rFonts w:ascii="Calibri" w:cs="Calibri" w:eastAsia="Calibri" w:hAnsi="Calibri"/>
          <w:sz w:val="21"/>
          <w:szCs w:val="21"/>
        </w:rPr>
        <w:t xml:space="preserve">Dedicated launch standby support for the first fourteen (14) days after Go-Live.</w:t>
      </w:r>
    </w:p>
    <w:p>
      <w:pPr>
        <w:spacing w:after="120" w:line="264"/>
      </w:pPr>
      <w:r>
        <w:rPr>
          <w:rFonts w:ascii="Calibri" w:cs="Calibri" w:eastAsia="Calibri" w:hAnsi="Calibri"/>
          <w:sz w:val="21"/>
          <w:szCs w:val="21"/>
        </w:rPr>
        <w:t xml:space="preserve">2.2  Excluded (available via written change request at agreed rates): new features or modules, custom integrations beyond those in Schedule 1 of the Development Agreement, third-party API costs, and cloud hosting/infrastructure costs.</w:t>
      </w:r>
    </w:p>
    <w:p>
      <w:pPr>
        <w:pStyle w:val="Heading2"/>
        <w:spacing w:after="80" w:before="200"/>
      </w:pPr>
      <w:r>
        <w:rPr>
          <w:rFonts w:ascii="Calibri" w:cs="Calibri" w:eastAsia="Calibri" w:hAnsi="Calibri"/>
          <w:b/>
          <w:bCs/>
          <w:color w:val="1F3864"/>
          <w:sz w:val="22"/>
          <w:szCs w:val="22"/>
        </w:rPr>
        <w:t xml:space="preserve">3. RESPONSE TIMES</w:t>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2400"/>
        <w:gridCol w:w="4800"/>
        <w:gridCol w:w="2800"/>
      </w:tblGrid>
      <w:tr>
        <w:tc>
          <w:tcPr>
            <w:tcW w:type="dxa" w:w="2400"/>
            <w:shd w:fill="EDF1F8" w:val="clear"/>
            <w:tcMar>
              <w:top w:type="dxa" w:w="60"/>
              <w:left w:type="dxa" w:w="100"/>
              <w:bottom w:type="dxa" w:w="60"/>
              <w:right w:type="dxa" w:w="100"/>
            </w:tcMar>
          </w:tcPr>
          <w:p>
            <w:r>
              <w:rPr>
                <w:rFonts w:ascii="Calibri" w:cs="Calibri" w:eastAsia="Calibri" w:hAnsi="Calibri"/>
                <w:b/>
                <w:bCs/>
                <w:sz w:val="20"/>
                <w:szCs w:val="20"/>
              </w:rPr>
              <w:t xml:space="preserve">Severity</w:t>
            </w:r>
          </w:p>
        </w:tc>
        <w:tc>
          <w:tcPr>
            <w:tcW w:type="dxa" w:w="4800"/>
            <w:shd w:fill="EDF1F8" w:val="clear"/>
            <w:tcMar>
              <w:top w:type="dxa" w:w="60"/>
              <w:left w:type="dxa" w:w="100"/>
              <w:bottom w:type="dxa" w:w="60"/>
              <w:right w:type="dxa" w:w="100"/>
            </w:tcMar>
          </w:tcPr>
          <w:p>
            <w:r>
              <w:rPr>
                <w:rFonts w:ascii="Calibri" w:cs="Calibri" w:eastAsia="Calibri" w:hAnsi="Calibri"/>
                <w:b/>
                <w:bCs/>
                <w:sz w:val="20"/>
                <w:szCs w:val="20"/>
              </w:rPr>
              <w:t xml:space="preserve">Definition</w:t>
            </w:r>
          </w:p>
        </w:tc>
        <w:tc>
          <w:tcPr>
            <w:tcW w:type="dxa" w:w="2800"/>
            <w:shd w:fill="EDF1F8" w:val="clear"/>
            <w:tcMar>
              <w:top w:type="dxa" w:w="60"/>
              <w:left w:type="dxa" w:w="100"/>
              <w:bottom w:type="dxa" w:w="60"/>
              <w:right w:type="dxa" w:w="100"/>
            </w:tcMar>
          </w:tcPr>
          <w:p>
            <w:r>
              <w:rPr>
                <w:rFonts w:ascii="Calibri" w:cs="Calibri" w:eastAsia="Calibri" w:hAnsi="Calibri"/>
                <w:b/>
                <w:bCs/>
                <w:sz w:val="20"/>
                <w:szCs w:val="20"/>
              </w:rPr>
              <w:t xml:space="preserve">Response / target fix</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Critical</w:t>
            </w:r>
          </w:p>
        </w:tc>
        <w:tc>
          <w:tcPr>
            <w:tcW w:type="dxa" w:w="4800"/>
            <w:tcMar>
              <w:top w:type="dxa" w:w="60"/>
              <w:left w:type="dxa" w:w="100"/>
              <w:bottom w:type="dxa" w:w="60"/>
              <w:right w:type="dxa" w:w="100"/>
            </w:tcMar>
          </w:tcPr>
          <w:p>
            <w:r>
              <w:rPr>
                <w:rFonts w:ascii="Calibri" w:cs="Calibri" w:eastAsia="Calibri" w:hAnsi="Calibri"/>
                <w:b w:val="false"/>
                <w:bCs w:val="false"/>
                <w:sz w:val="20"/>
                <w:szCs w:val="20"/>
              </w:rPr>
              <w:t xml:space="preserve">System down or claims/PRF submission impossible</w:t>
            </w:r>
          </w:p>
        </w:tc>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4 business hours / 1 business day</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High</w:t>
            </w:r>
          </w:p>
        </w:tc>
        <w:tc>
          <w:tcPr>
            <w:tcW w:type="dxa" w:w="4800"/>
            <w:tcMar>
              <w:top w:type="dxa" w:w="60"/>
              <w:left w:type="dxa" w:w="100"/>
              <w:bottom w:type="dxa" w:w="60"/>
              <w:right w:type="dxa" w:w="100"/>
            </w:tcMar>
          </w:tcPr>
          <w:p>
            <w:r>
              <w:rPr>
                <w:rFonts w:ascii="Calibri" w:cs="Calibri" w:eastAsia="Calibri" w:hAnsi="Calibri"/>
                <w:b w:val="false"/>
                <w:bCs w:val="false"/>
                <w:sz w:val="20"/>
                <w:szCs w:val="20"/>
              </w:rPr>
              <w:t xml:space="preserve">Major function impaired, workaround exists</w:t>
            </w:r>
          </w:p>
        </w:tc>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1 business day / 3 business days</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Normal</w:t>
            </w:r>
          </w:p>
        </w:tc>
        <w:tc>
          <w:tcPr>
            <w:tcW w:type="dxa" w:w="4800"/>
            <w:tcMar>
              <w:top w:type="dxa" w:w="60"/>
              <w:left w:type="dxa" w:w="100"/>
              <w:bottom w:type="dxa" w:w="60"/>
              <w:right w:type="dxa" w:w="100"/>
            </w:tcMar>
          </w:tcPr>
          <w:p>
            <w:r>
              <w:rPr>
                <w:rFonts w:ascii="Calibri" w:cs="Calibri" w:eastAsia="Calibri" w:hAnsi="Calibri"/>
                <w:b w:val="false"/>
                <w:bCs w:val="false"/>
                <w:sz w:val="20"/>
                <w:szCs w:val="20"/>
              </w:rPr>
              <w:t xml:space="preserve">Minor defect or cosmetic issue</w:t>
            </w:r>
          </w:p>
        </w:tc>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2 business days / next release</w:t>
            </w:r>
          </w:p>
        </w:tc>
      </w:tr>
    </w:tbl>
    <w:p>
      <w:pPr>
        <w:spacing w:after="120"/>
      </w:pPr>
    </w:p>
    <w:p>
      <w:pPr>
        <w:pStyle w:val="Heading2"/>
        <w:spacing w:after="80" w:before="200"/>
      </w:pPr>
      <w:r>
        <w:rPr>
          <w:rFonts w:ascii="Calibri" w:cs="Calibri" w:eastAsia="Calibri" w:hAnsi="Calibri"/>
          <w:b/>
          <w:bCs/>
          <w:color w:val="1F3864"/>
          <w:sz w:val="22"/>
          <w:szCs w:val="22"/>
        </w:rPr>
        <w:t xml:space="preserve">4. FEES</w:t>
      </w:r>
    </w:p>
    <w:p>
      <w:pPr>
        <w:spacing w:after="120" w:line="264"/>
      </w:pPr>
      <w:r>
        <w:rPr>
          <w:rFonts w:ascii="Calibri" w:cs="Calibri" w:eastAsia="Calibri" w:hAnsi="Calibri"/>
          <w:sz w:val="21"/>
          <w:szCs w:val="21"/>
        </w:rPr>
        <w:t xml:space="preserve">4.1  In consideration for the services in clause 2, the Client shall pay the Developer a monthly fee equal to </w:t>
      </w:r>
      <w:r>
        <w:rPr>
          <w:rFonts w:ascii="Calibri" w:cs="Calibri" w:eastAsia="Calibri" w:hAnsi="Calibri"/>
          <w:b/>
          <w:bCs/>
          <w:sz w:val="21"/>
          <w:szCs w:val="21"/>
        </w:rPr>
        <w:t xml:space="preserve">eight and a half percent (8.5%) of the gross monthly fees received by the Client from service providers </w:t>
      </w:r>
      <w:r>
        <w:rPr>
          <w:rFonts w:ascii="Calibri" w:cs="Calibri" w:eastAsia="Calibri" w:hAnsi="Calibri"/>
          <w:sz w:val="21"/>
          <w:szCs w:val="21"/>
        </w:rPr>
        <w:t xml:space="preserve">for access to and use of the System (including per-ambulance onboarding and subscription fees), calculated on amounts received in each calendar month.</w:t>
      </w:r>
    </w:p>
    <w:p>
      <w:pPr>
        <w:spacing w:after="120" w:line="264"/>
      </w:pPr>
      <w:r>
        <w:rPr>
          <w:rFonts w:ascii="Calibri" w:cs="Calibri" w:eastAsia="Calibri" w:hAnsi="Calibri"/>
          <w:sz w:val="21"/>
          <w:szCs w:val="21"/>
        </w:rPr>
        <w:t xml:space="preserve">4.2  [Optional — recommended] The fee in clause 4.1 shall be subject to a minimum of R5,000.00 (five thousand Rand) per month with effect from the fourth (4th) month after Go-Live.</w:t>
      </w:r>
    </w:p>
    <w:p>
      <w:pPr>
        <w:spacing w:after="120" w:line="264"/>
      </w:pPr>
      <w:r>
        <w:rPr>
          <w:rFonts w:ascii="Calibri" w:cs="Calibri" w:eastAsia="Calibri" w:hAnsi="Calibri"/>
          <w:sz w:val="21"/>
          <w:szCs w:val="21"/>
        </w:rPr>
        <w:t xml:space="preserve">4.3  The Client shall, within seven (7) days of each month end, provide the Developer with a statement of service providers onboarded, ambulances active on the System, and gross fees received, together with payment of the amount due. The Developer may, on reasonable notice and no more than twice per year, audit the records supporting such statements.</w:t>
      </w:r>
    </w:p>
    <w:p>
      <w:pPr>
        <w:spacing w:after="120" w:line="264"/>
      </w:pPr>
      <w:r>
        <w:rPr>
          <w:rFonts w:ascii="Calibri" w:cs="Calibri" w:eastAsia="Calibri" w:hAnsi="Calibri"/>
          <w:sz w:val="21"/>
          <w:szCs w:val="21"/>
        </w:rPr>
        <w:t xml:space="preserve">4.4  Amounts are exclusive of VAT. Interest on overdue amounts accrues at the prime lending rate plus 2% per annum, calculated daily.</w:t>
      </w:r>
    </w:p>
    <w:p>
      <w:pPr>
        <w:pStyle w:val="Heading2"/>
        <w:spacing w:after="80" w:before="200"/>
      </w:pPr>
      <w:r>
        <w:rPr>
          <w:rFonts w:ascii="Calibri" w:cs="Calibri" w:eastAsia="Calibri" w:hAnsi="Calibri"/>
          <w:b/>
          <w:bCs/>
          <w:color w:val="1F3864"/>
          <w:sz w:val="22"/>
          <w:szCs w:val="22"/>
        </w:rPr>
        <w:t xml:space="preserve">5. TERM AND TERMINATION</w:t>
      </w:r>
    </w:p>
    <w:p>
      <w:pPr>
        <w:spacing w:after="120" w:line="264"/>
      </w:pPr>
      <w:r>
        <w:rPr>
          <w:rFonts w:ascii="Calibri" w:cs="Calibri" w:eastAsia="Calibri" w:hAnsi="Calibri"/>
          <w:sz w:val="21"/>
          <w:szCs w:val="21"/>
        </w:rPr>
        <w:t xml:space="preserve">5.1  This Agreement commences on Go-Live and continues for an initial period of twelve (12) months, whereafter it renews automatically on a month-to-month basis unless either Party gives thirty (30) days’ written notice.</w:t>
      </w:r>
    </w:p>
    <w:p>
      <w:pPr>
        <w:spacing w:after="120" w:line="264"/>
      </w:pPr>
      <w:r>
        <w:rPr>
          <w:rFonts w:ascii="Calibri" w:cs="Calibri" w:eastAsia="Calibri" w:hAnsi="Calibri"/>
          <w:sz w:val="21"/>
          <w:szCs w:val="21"/>
        </w:rPr>
        <w:t xml:space="preserve">5.2  Either Party may terminate on written notice if the other commits a material breach and fails to remedy it within fourteen (14) days of written notice.</w:t>
      </w:r>
    </w:p>
    <w:p>
      <w:pPr>
        <w:spacing w:after="120" w:line="264"/>
      </w:pPr>
      <w:r>
        <w:rPr>
          <w:rFonts w:ascii="Calibri" w:cs="Calibri" w:eastAsia="Calibri" w:hAnsi="Calibri"/>
          <w:sz w:val="21"/>
          <w:szCs w:val="21"/>
        </w:rPr>
        <w:t xml:space="preserve">5.3  Fees accrued under clause 4 up to the effective date of termination remain payable.</w:t>
      </w:r>
    </w:p>
    <w:p>
      <w:pPr>
        <w:pStyle w:val="Heading2"/>
        <w:spacing w:after="80" w:before="200"/>
      </w:pPr>
      <w:r>
        <w:rPr>
          <w:rFonts w:ascii="Calibri" w:cs="Calibri" w:eastAsia="Calibri" w:hAnsi="Calibri"/>
          <w:b/>
          <w:bCs/>
          <w:color w:val="1F3864"/>
          <w:sz w:val="22"/>
          <w:szCs w:val="22"/>
        </w:rPr>
        <w:t xml:space="preserve">6. GENERAL</w:t>
      </w:r>
    </w:p>
    <w:p>
      <w:pPr>
        <w:spacing w:after="120" w:line="264"/>
      </w:pPr>
      <w:r>
        <w:rPr>
          <w:rFonts w:ascii="Calibri" w:cs="Calibri" w:eastAsia="Calibri" w:hAnsi="Calibri"/>
          <w:sz w:val="21"/>
          <w:szCs w:val="21"/>
        </w:rPr>
        <w:t xml:space="preserve">6.1  The confidentiality, data protection (POPIA), limitation of liability, dispute resolution, and governing law provisions of the Development Agreement apply to this Agreement as if set out in full.</w:t>
      </w:r>
    </w:p>
    <w:p>
      <w:pPr>
        <w:spacing w:after="120" w:line="264"/>
      </w:pPr>
      <w:r>
        <w:rPr>
          <w:rFonts w:ascii="Calibri" w:cs="Calibri" w:eastAsia="Calibri" w:hAnsi="Calibri"/>
          <w:sz w:val="21"/>
          <w:szCs w:val="21"/>
        </w:rPr>
        <w:t xml:space="preserve">6.2  No variation of this Agreement is effective unless in writing and signed by both Parties. This Agreement may be signed in counterparts.</w:t>
      </w:r>
    </w:p>
    <w:p>
      <w:pPr>
        <w:spacing w:after="200" w:before="300"/>
      </w:pPr>
      <w:r>
        <w:rPr>
          <w:rFonts w:ascii="Calibri" w:cs="Calibri" w:eastAsia="Calibri" w:hAnsi="Calibri"/>
          <w:b/>
          <w:bCs/>
          <w:sz w:val="22"/>
          <w:szCs w:val="22"/>
        </w:rPr>
        <w:t xml:space="preserve">SIGNED BY THE PARTIES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5000"/>
        <w:gridCol w:w="5000"/>
      </w:tblGrid>
      <w:tr>
        <w:tc>
          <w:tcPr>
            <w:tcW w:type="dxa" w:w="5000"/>
            <w:tcBorders>
              <w:top w:val="none" w:color="FFFFFF" w:sz="0"/>
              <w:left w:val="none" w:color="FFFFFF" w:sz="0"/>
              <w:bottom w:val="none" w:color="FFFFFF" w:sz="0"/>
              <w:right w:val="none" w:color="FFFFFF" w:sz="0"/>
            </w:tcBorders>
          </w:tcPr>
          <w:p>
            <w:pPr>
              <w:spacing w:after="120" w:line="264"/>
            </w:pPr>
            <w:r>
              <w:rPr>
                <w:rFonts w:ascii="Calibri" w:cs="Calibri" w:eastAsia="Calibri" w:hAnsi="Calibri"/>
                <w:b/>
                <w:bCs/>
                <w:sz w:val="21"/>
                <w:szCs w:val="21"/>
              </w:rPr>
              <w:t xml:space="preserve">For the DEVELOPER:</w:t>
            </w:r>
          </w:p>
          <w:p>
            <w:pPr>
              <w:spacing w:after="120" w:line="264"/>
            </w:pPr>
            <w:r>
              <w:rPr>
                <w:rFonts w:ascii="Calibri" w:cs="Calibri" w:eastAsia="Calibri" w:hAnsi="Calibri"/>
                <w:sz w:val="21"/>
                <w:szCs w:val="21"/>
              </w:rPr>
              <w:t xml:space="preserve">Signature: ______________________</w:t>
            </w:r>
          </w:p>
          <w:p>
            <w:pPr>
              <w:spacing w:after="120" w:line="264"/>
            </w:pPr>
            <w:r>
              <w:rPr>
                <w:rFonts w:ascii="Calibri" w:cs="Calibri" w:eastAsia="Calibri" w:hAnsi="Calibri"/>
                <w:sz w:val="21"/>
                <w:szCs w:val="21"/>
              </w:rPr>
              <w:t xml:space="preserve">Name: __________________________</w:t>
            </w:r>
          </w:p>
          <w:p>
            <w:pPr>
              <w:spacing w:after="120" w:line="264"/>
            </w:pPr>
            <w:r>
              <w:rPr>
                <w:rFonts w:ascii="Calibri" w:cs="Calibri" w:eastAsia="Calibri" w:hAnsi="Calibri"/>
                <w:sz w:val="21"/>
                <w:szCs w:val="21"/>
              </w:rPr>
              <w:t xml:space="preserve">Date: ___________________________</w:t>
            </w:r>
          </w:p>
        </w:tc>
        <w:tc>
          <w:tcPr>
            <w:tcW w:type="dxa" w:w="5000"/>
            <w:tcBorders>
              <w:top w:val="none" w:color="FFFFFF" w:sz="0"/>
              <w:left w:val="none" w:color="FFFFFF" w:sz="0"/>
              <w:bottom w:val="none" w:color="FFFFFF" w:sz="0"/>
              <w:right w:val="none" w:color="FFFFFF" w:sz="0"/>
            </w:tcBorders>
          </w:tcPr>
          <w:p>
            <w:pPr>
              <w:spacing w:after="120" w:line="264"/>
            </w:pPr>
            <w:r>
              <w:rPr>
                <w:rFonts w:ascii="Calibri" w:cs="Calibri" w:eastAsia="Calibri" w:hAnsi="Calibri"/>
                <w:b/>
                <w:bCs/>
                <w:sz w:val="21"/>
                <w:szCs w:val="21"/>
              </w:rPr>
              <w:t xml:space="preserve">For the CLIENT (EMS MCA Limited):</w:t>
            </w:r>
          </w:p>
          <w:p>
            <w:pPr>
              <w:spacing w:after="120" w:line="264"/>
            </w:pPr>
            <w:r>
              <w:rPr>
                <w:rFonts w:ascii="Calibri" w:cs="Calibri" w:eastAsia="Calibri" w:hAnsi="Calibri"/>
                <w:sz w:val="21"/>
                <w:szCs w:val="21"/>
              </w:rPr>
              <w:t xml:space="preserve">Signature: ______________________</w:t>
            </w:r>
          </w:p>
          <w:p>
            <w:pPr>
              <w:spacing w:after="120" w:line="264"/>
            </w:pPr>
            <w:r>
              <w:rPr>
                <w:rFonts w:ascii="Calibri" w:cs="Calibri" w:eastAsia="Calibri" w:hAnsi="Calibri"/>
                <w:sz w:val="21"/>
                <w:szCs w:val="21"/>
              </w:rPr>
              <w:t xml:space="preserve">Name: __________________________</w:t>
            </w:r>
          </w:p>
          <w:p>
            <w:pPr>
              <w:spacing w:after="120" w:line="264"/>
            </w:pPr>
            <w:r>
              <w:rPr>
                <w:rFonts w:ascii="Calibri" w:cs="Calibri" w:eastAsia="Calibri" w:hAnsi="Calibri"/>
                <w:sz w:val="21"/>
                <w:szCs w:val="21"/>
              </w:rPr>
              <w:t xml:space="preserve">Date: ___________________________</w:t>
            </w:r>
          </w:p>
        </w:tc>
      </w:tr>
    </w:tbl>
    <w:p>
      <w:pPr>
        <w:spacing w:before="200"/>
      </w:pPr>
      <w:r>
        <w:rPr>
          <w:rFonts w:ascii="Calibri" w:cs="Calibri" w:eastAsia="Calibri" w:hAnsi="Calibri"/>
          <w:i/>
          <w:iCs/>
          <w:color w:val="888888"/>
          <w:sz w:val="18"/>
          <w:szCs w:val="18"/>
        </w:rPr>
        <w:t xml:space="preserve">DRAFT for discussion — subject to legal review.</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2026-07-11T12:36:54.931Z</dcterms:created>
  <dcterms:modified xsi:type="dcterms:W3CDTF">2026-07-11T12:36:54.931Z</dcterms:modified>
</cp:coreProperties>
</file>

<file path=docProps/custom.xml><?xml version="1.0" encoding="utf-8"?>
<Properties xmlns="http://schemas.openxmlformats.org/officeDocument/2006/custom-properties" xmlns:vt="http://schemas.openxmlformats.org/officeDocument/2006/docPropsVTypes"/>
</file>