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07A55"/>
          <w:sz w:val="22"/>
        </w:rPr>
        <w:t>CHEP COLLEGE OF NURSING SCIENCES, OTA</w:t>
      </w:r>
    </w:p>
    <w:p>
      <w:pPr>
        <w:spacing w:before="40" w:after="80"/>
      </w:pPr>
      <w:r>
        <w:rPr>
          <w:rFonts w:ascii="Arial" w:hAnsi="Arial"/>
          <w:b/>
          <w:color w:val="102A4D"/>
          <w:sz w:val="44"/>
        </w:rPr>
        <w:t>FINAL TECHNICAL REPORT &amp; SYSTEM AUDIT</w:t>
      </w:r>
    </w:p>
    <w:p>
      <w:pPr>
        <w:spacing w:before="0" w:after="320"/>
      </w:pPr>
      <w:r>
        <w:rPr>
          <w:rFonts w:ascii="Calibri" w:hAnsi="Calibri"/>
          <w:i/>
          <w:color w:val="64748B"/>
          <w:sz w:val="26"/>
        </w:rPr>
        <w:t>Full-Lifecycle Evaluation of SDLC, DevOps, DevSecOps, Healthcare Compliance &amp; Infrastructure Architecture</w:t>
      </w:r>
    </w:p>
    <w:tbl>
      <w:tblPr>
        <w:tblW w:type="auto" w:w="0"/>
        <w:jc w:val="center"/>
        <w:tblLook w:firstColumn="1" w:firstRow="1" w:lastColumn="0" w:lastRow="0" w:noHBand="0" w:noVBand="1" w:val="04A0"/>
      </w:tblPr>
      <w:tblGrid>
        <w:gridCol w:w="4896"/>
        <w:gridCol w:w="4896"/>
      </w:tblGrid>
      <w:tr>
        <w:tc>
          <w:tcPr>
            <w:tcW w:type="dxa" w:w="3168"/>
            <w:shd w:fill="F1F5F9"/>
            <w:tcMar>
              <w:top w:w="60" w:type="dxa"/>
              <w:bottom w:w="60" w:type="dxa"/>
              <w:left w:w="100" w:type="dxa"/>
              <w:right w:w="100" w:type="dxa"/>
            </w:tcMar>
          </w:tcPr>
          <w:p>
            <w:pPr>
              <w:spacing w:after="0"/>
            </w:pPr>
            <w:r>
              <w:rPr>
                <w:rFonts w:ascii="Arial" w:hAnsi="Arial"/>
                <w:b/>
                <w:color w:val="102A4D"/>
                <w:sz w:val="19"/>
              </w:rPr>
              <w:t>Project Reference:</w:t>
            </w:r>
          </w:p>
        </w:tc>
        <w:tc>
          <w:tcPr>
            <w:tcW w:type="dxa" w:w="6912"/>
            <w:shd w:fill="F8FAFC"/>
            <w:tcMar>
              <w:top w:w="60" w:type="dxa"/>
              <w:bottom w:w="60" w:type="dxa"/>
              <w:left w:w="100" w:type="dxa"/>
              <w:right w:w="100" w:type="dxa"/>
            </w:tcMar>
          </w:tcPr>
          <w:p>
            <w:pPr>
              <w:spacing w:after="0"/>
            </w:pPr>
            <w:r>
              <w:rPr>
                <w:rFonts w:ascii="Calibri" w:hAnsi="Calibri"/>
                <w:color w:val="2D3748"/>
                <w:sz w:val="19"/>
              </w:rPr>
              <w:t>CHEP-IMS Enterprise Web &amp; Academic CBT/OSCE Migration</w:t>
            </w:r>
          </w:p>
        </w:tc>
      </w:tr>
      <w:tr>
        <w:tc>
          <w:tcPr>
            <w:tcW w:type="dxa" w:w="3168"/>
            <w:shd w:fill="F1F5F9"/>
            <w:tcMar>
              <w:top w:w="60" w:type="dxa"/>
              <w:bottom w:w="60" w:type="dxa"/>
              <w:left w:w="100" w:type="dxa"/>
              <w:right w:w="100" w:type="dxa"/>
            </w:tcMar>
          </w:tcPr>
          <w:p>
            <w:pPr>
              <w:spacing w:after="0"/>
            </w:pPr>
            <w:r>
              <w:rPr>
                <w:rFonts w:ascii="Arial" w:hAnsi="Arial"/>
                <w:b/>
                <w:color w:val="102A4D"/>
                <w:sz w:val="19"/>
              </w:rPr>
              <w:t>Architecture &amp; Framework:</w:t>
            </w:r>
          </w:p>
        </w:tc>
        <w:tc>
          <w:tcPr>
            <w:tcW w:type="dxa" w:w="6912"/>
            <w:shd w:fill="F8FAFC"/>
            <w:tcMar>
              <w:top w:w="60" w:type="dxa"/>
              <w:bottom w:w="60" w:type="dxa"/>
              <w:left w:w="100" w:type="dxa"/>
              <w:right w:w="100" w:type="dxa"/>
            </w:tcMar>
          </w:tcPr>
          <w:p>
            <w:pPr>
              <w:spacing w:after="0"/>
            </w:pPr>
            <w:r>
              <w:rPr>
                <w:rFonts w:ascii="Calibri" w:hAnsi="Calibri"/>
                <w:color w:val="2D3748"/>
                <w:sz w:val="19"/>
              </w:rPr>
              <w:t>Next.js 16.4.0 (Turbopack, App Router) | React 19 | Tailwind CSS | Supabase / PostgreSQL</w:t>
            </w:r>
          </w:p>
        </w:tc>
      </w:tr>
      <w:tr>
        <w:tc>
          <w:tcPr>
            <w:tcW w:type="dxa" w:w="3168"/>
            <w:shd w:fill="F1F5F9"/>
            <w:tcMar>
              <w:top w:w="60" w:type="dxa"/>
              <w:bottom w:w="60" w:type="dxa"/>
              <w:left w:w="100" w:type="dxa"/>
              <w:right w:w="100" w:type="dxa"/>
            </w:tcMar>
          </w:tcPr>
          <w:p>
            <w:pPr>
              <w:spacing w:after="0"/>
            </w:pPr>
            <w:r>
              <w:rPr>
                <w:rFonts w:ascii="Arial" w:hAnsi="Arial"/>
                <w:b/>
                <w:color w:val="102A4D"/>
                <w:sz w:val="19"/>
              </w:rPr>
              <w:t>Live Production Host:</w:t>
            </w:r>
          </w:p>
        </w:tc>
        <w:tc>
          <w:tcPr>
            <w:tcW w:type="dxa" w:w="6912"/>
            <w:shd w:fill="F8FAFC"/>
            <w:tcMar>
              <w:top w:w="60" w:type="dxa"/>
              <w:bottom w:w="60" w:type="dxa"/>
              <w:left w:w="100" w:type="dxa"/>
              <w:right w:w="100" w:type="dxa"/>
            </w:tcMar>
          </w:tcPr>
          <w:p>
            <w:pPr>
              <w:spacing w:after="0"/>
            </w:pPr>
            <w:r>
              <w:rPr>
                <w:rFonts w:ascii="Calibri" w:hAnsi="Calibri"/>
                <w:color w:val="2D3748"/>
                <w:sz w:val="19"/>
              </w:rPr>
              <w:t>https://chepnursingcollege.vercel.app (Aliased via Vercel Edge Network)</w:t>
            </w:r>
          </w:p>
        </w:tc>
      </w:tr>
      <w:tr>
        <w:tc>
          <w:tcPr>
            <w:tcW w:type="dxa" w:w="3168"/>
            <w:shd w:fill="F1F5F9"/>
            <w:tcMar>
              <w:top w:w="60" w:type="dxa"/>
              <w:bottom w:w="60" w:type="dxa"/>
              <w:left w:w="100" w:type="dxa"/>
              <w:right w:w="100" w:type="dxa"/>
            </w:tcMar>
          </w:tcPr>
          <w:p>
            <w:pPr>
              <w:spacing w:after="0"/>
            </w:pPr>
            <w:r>
              <w:rPr>
                <w:rFonts w:ascii="Arial" w:hAnsi="Arial"/>
                <w:b/>
                <w:color w:val="102A4D"/>
                <w:sz w:val="19"/>
              </w:rPr>
              <w:t>Version Control &amp; CI/CD:</w:t>
            </w:r>
          </w:p>
        </w:tc>
        <w:tc>
          <w:tcPr>
            <w:tcW w:type="dxa" w:w="6912"/>
            <w:shd w:fill="F8FAFC"/>
            <w:tcMar>
              <w:top w:w="60" w:type="dxa"/>
              <w:bottom w:w="60" w:type="dxa"/>
              <w:left w:w="100" w:type="dxa"/>
              <w:right w:w="100" w:type="dxa"/>
            </w:tcMar>
          </w:tcPr>
          <w:p>
            <w:pPr>
              <w:spacing w:after="0"/>
            </w:pPr>
            <w:r>
              <w:rPr>
                <w:rFonts w:ascii="Calibri" w:hAnsi="Calibri"/>
                <w:color w:val="2D3748"/>
                <w:sz w:val="19"/>
              </w:rPr>
              <w:t>GitHub Trunk-Based Architecture (scholarsuite25-netizen/chepnursingcollege)</w:t>
            </w:r>
          </w:p>
        </w:tc>
      </w:tr>
      <w:tr>
        <w:tc>
          <w:tcPr>
            <w:tcW w:type="dxa" w:w="3168"/>
            <w:shd w:fill="F1F5F9"/>
            <w:tcMar>
              <w:top w:w="60" w:type="dxa"/>
              <w:bottom w:w="60" w:type="dxa"/>
              <w:left w:w="100" w:type="dxa"/>
              <w:right w:w="100" w:type="dxa"/>
            </w:tcMar>
          </w:tcPr>
          <w:p>
            <w:pPr>
              <w:spacing w:after="0"/>
            </w:pPr>
            <w:r>
              <w:rPr>
                <w:rFonts w:ascii="Arial" w:hAnsi="Arial"/>
                <w:b/>
                <w:color w:val="102A4D"/>
                <w:sz w:val="19"/>
              </w:rPr>
              <w:t>Audit Date &amp; Status:</w:t>
            </w:r>
          </w:p>
        </w:tc>
        <w:tc>
          <w:tcPr>
            <w:tcW w:type="dxa" w:w="6912"/>
            <w:shd w:fill="F8FAFC"/>
            <w:tcMar>
              <w:top w:w="60" w:type="dxa"/>
              <w:bottom w:w="60" w:type="dxa"/>
              <w:left w:w="100" w:type="dxa"/>
              <w:right w:w="100" w:type="dxa"/>
            </w:tcMar>
          </w:tcPr>
          <w:p>
            <w:pPr>
              <w:spacing w:after="0"/>
            </w:pPr>
            <w:r>
              <w:rPr>
                <w:rFonts w:ascii="Calibri" w:hAnsi="Calibri"/>
                <w:color w:val="2D3748"/>
                <w:sz w:val="19"/>
              </w:rPr>
              <w:t>October 2026 | Comprehensive Audit Certification: PASSED (Grade: Tier-1 Enterprise)</w:t>
            </w:r>
          </w:p>
        </w:tc>
      </w:tr>
    </w:tbl>
    <w:p>
      <w:pPr>
        <w:spacing w:after="240"/>
      </w:pPr>
    </w:p>
    <w:p>
      <w:pPr>
        <w:keepNext/>
        <w:spacing w:before="360" w:after="120"/>
      </w:pPr>
      <w:r>
        <w:rPr>
          <w:rFonts w:ascii="Arial" w:hAnsi="Arial"/>
          <w:b/>
          <w:color w:val="107A55"/>
          <w:sz w:val="20"/>
        </w:rPr>
        <w:t xml:space="preserve">[1.0] </w:t>
      </w:r>
      <w:r>
        <w:rPr>
          <w:rFonts w:ascii="Arial" w:hAnsi="Arial"/>
          <w:b/>
          <w:color w:val="102A4D"/>
          <w:sz w:val="28"/>
        </w:rPr>
        <w:t>EXECUTIVE SUMMARY &amp; SYSTEM SCORECARD</w:t>
      </w:r>
    </w:p>
    <w:p>
      <w:pPr>
        <w:spacing w:before="40" w:after="100" w:line="276" w:lineRule="auto"/>
      </w:pPr>
      <w:r>
        <w:rPr>
          <w:rFonts w:ascii="Calibri" w:hAnsi="Calibri"/>
          <w:color w:val="2D3748"/>
          <w:sz w:val="21"/>
        </w:rPr>
        <w:t>This document presents the final engineering audit and technical commissioning report for the CHEP College of Nursing Sciences Next.js institutional digital migration. Built to transcend standard tertiary institution templates, the software suite delivers an enterprise-grade academic operating system featuring 480+ indexed e-learning resources, a NMCN-compliant Computer-Based Testing (CBT) engine with dynamic question scrambling, an interactive Objective Structured Clinical Examination (OSCE) digital simulation suite, an anonymous HIPAA/NMCN-compliant clinical reflections portal, and an obfuscated Institutional Management System (CHEP-IMS v6.7) designated as the /iloro Senate Gateway.</w:t>
      </w:r>
    </w:p>
    <w:tbl>
      <w:tblPr>
        <w:tblW w:type="auto" w:w="0"/>
        <w:jc w:val="center"/>
        <w:tblLook w:firstColumn="1" w:firstRow="1" w:lastColumn="0" w:lastRow="0" w:noHBand="0" w:noVBand="1" w:val="04A0"/>
      </w:tblPr>
      <w:tblGrid>
        <w:gridCol w:w="2448"/>
        <w:gridCol w:w="2448"/>
        <w:gridCol w:w="2448"/>
        <w:gridCol w:w="2448"/>
      </w:tblGrid>
      <w:tr>
        <w:tc>
          <w:tcPr>
            <w:tcW w:type="dxa" w:w="2448"/>
            <w:shd w:fill="102A4D"/>
            <w:tcMar>
              <w:top w:w="80" w:type="dxa"/>
              <w:bottom w:w="80" w:type="dxa"/>
              <w:left w:w="100" w:type="dxa"/>
              <w:right w:w="100" w:type="dxa"/>
            </w:tcMar>
          </w:tcPr>
          <w:p>
            <w:r>
              <w:rPr>
                <w:rFonts w:ascii="Arial" w:hAnsi="Arial"/>
                <w:b/>
                <w:color w:val="FFFFFF"/>
                <w:sz w:val="19"/>
              </w:rPr>
              <w:t>Audit Dimension</w:t>
            </w:r>
          </w:p>
        </w:tc>
        <w:tc>
          <w:tcPr>
            <w:tcW w:type="dxa" w:w="2448"/>
            <w:shd w:fill="102A4D"/>
            <w:tcMar>
              <w:top w:w="80" w:type="dxa"/>
              <w:bottom w:w="80" w:type="dxa"/>
              <w:left w:w="100" w:type="dxa"/>
              <w:right w:w="100" w:type="dxa"/>
            </w:tcMar>
          </w:tcPr>
          <w:p>
            <w:r>
              <w:rPr>
                <w:rFonts w:ascii="Arial" w:hAnsi="Arial"/>
                <w:b/>
                <w:color w:val="FFFFFF"/>
                <w:sz w:val="19"/>
              </w:rPr>
              <w:t>Evaluation Standard</w:t>
            </w:r>
          </w:p>
        </w:tc>
        <w:tc>
          <w:tcPr>
            <w:tcW w:type="dxa" w:w="2448"/>
            <w:shd w:fill="102A4D"/>
            <w:tcMar>
              <w:top w:w="80" w:type="dxa"/>
              <w:bottom w:w="80" w:type="dxa"/>
              <w:left w:w="100" w:type="dxa"/>
              <w:right w:w="100" w:type="dxa"/>
            </w:tcMar>
          </w:tcPr>
          <w:p>
            <w:r>
              <w:rPr>
                <w:rFonts w:ascii="Arial" w:hAnsi="Arial"/>
                <w:b/>
                <w:color w:val="FFFFFF"/>
                <w:sz w:val="19"/>
              </w:rPr>
              <w:t>Target Benchmark</w:t>
            </w:r>
          </w:p>
        </w:tc>
        <w:tc>
          <w:tcPr>
            <w:tcW w:type="dxa" w:w="2448"/>
            <w:shd w:fill="102A4D"/>
            <w:tcMar>
              <w:top w:w="80" w:type="dxa"/>
              <w:bottom w:w="80" w:type="dxa"/>
              <w:left w:w="100" w:type="dxa"/>
              <w:right w:w="100" w:type="dxa"/>
            </w:tcMar>
          </w:tcPr>
          <w:p>
            <w:r>
              <w:rPr>
                <w:rFonts w:ascii="Arial" w:hAnsi="Arial"/>
                <w:b/>
                <w:color w:val="FFFFFF"/>
                <w:sz w:val="19"/>
              </w:rPr>
              <w:t>Achieved Rating</w:t>
            </w:r>
          </w:p>
        </w:tc>
      </w:tr>
      <w:tr>
        <w:tc>
          <w:tcPr>
            <w:tcW w:type="dxa" w:w="2448"/>
            <w:shd w:fill="FFFFFF"/>
            <w:tcMar>
              <w:top w:w="60" w:type="dxa"/>
              <w:bottom w:w="60" w:type="dxa"/>
              <w:left w:w="80" w:type="dxa"/>
              <w:right w:w="80" w:type="dxa"/>
            </w:tcMar>
          </w:tcPr>
          <w:p>
            <w:pPr>
              <w:spacing w:after="0"/>
            </w:pPr>
            <w:r>
              <w:rPr>
                <w:rFonts w:ascii="Calibri" w:hAnsi="Calibri"/>
                <w:b/>
                <w:color w:val="102A4D"/>
                <w:sz w:val="18"/>
              </w:rPr>
              <w:t>Software Architecture</w:t>
            </w:r>
          </w:p>
        </w:tc>
        <w:tc>
          <w:tcPr>
            <w:tcW w:type="dxa" w:w="2448"/>
            <w:shd w:fill="FFFFFF"/>
            <w:tcMar>
              <w:top w:w="60" w:type="dxa"/>
              <w:bottom w:w="60" w:type="dxa"/>
              <w:left w:w="80" w:type="dxa"/>
              <w:right w:w="80" w:type="dxa"/>
            </w:tcMar>
          </w:tcPr>
          <w:p>
            <w:pPr>
              <w:spacing w:after="0"/>
            </w:pPr>
            <w:r>
              <w:rPr>
                <w:rFonts w:ascii="Calibri" w:hAnsi="Calibri"/>
                <w:color w:val="2D3748"/>
                <w:sz w:val="18"/>
              </w:rPr>
              <w:t>Clean Architecture / Next.js 16 App Router</w:t>
            </w:r>
          </w:p>
        </w:tc>
        <w:tc>
          <w:tcPr>
            <w:tcW w:type="dxa" w:w="2448"/>
            <w:shd w:fill="FFFFFF"/>
            <w:tcMar>
              <w:top w:w="60" w:type="dxa"/>
              <w:bottom w:w="60" w:type="dxa"/>
              <w:left w:w="80" w:type="dxa"/>
              <w:right w:w="80" w:type="dxa"/>
            </w:tcMar>
          </w:tcPr>
          <w:p>
            <w:pPr>
              <w:spacing w:after="0"/>
            </w:pPr>
            <w:r>
              <w:rPr>
                <w:rFonts w:ascii="Calibri" w:hAnsi="Calibri"/>
                <w:color w:val="2D3748"/>
                <w:sz w:val="18"/>
              </w:rPr>
              <w:t>Modular, Zero-drift, SSG/SSR</w:t>
            </w:r>
          </w:p>
        </w:tc>
        <w:tc>
          <w:tcPr>
            <w:tcW w:type="dxa" w:w="2448"/>
            <w:shd w:fill="FFFFFF"/>
            <w:tcMar>
              <w:top w:w="60" w:type="dxa"/>
              <w:bottom w:w="60" w:type="dxa"/>
              <w:left w:w="80" w:type="dxa"/>
              <w:right w:w="80" w:type="dxa"/>
            </w:tcMar>
          </w:tcPr>
          <w:p>
            <w:pPr>
              <w:spacing w:after="0"/>
            </w:pPr>
            <w:r>
              <w:rPr>
                <w:rFonts w:ascii="Calibri" w:hAnsi="Calibri"/>
                <w:b/>
                <w:color w:val="107A55"/>
                <w:sz w:val="18"/>
              </w:rPr>
              <w:t>EXCELLENT (100%)</w:t>
            </w:r>
          </w:p>
        </w:tc>
      </w:tr>
      <w:tr>
        <w:tc>
          <w:tcPr>
            <w:tcW w:type="dxa" w:w="2448"/>
            <w:shd w:fill="F8FAFC"/>
            <w:tcMar>
              <w:top w:w="60" w:type="dxa"/>
              <w:bottom w:w="60" w:type="dxa"/>
              <w:left w:w="80" w:type="dxa"/>
              <w:right w:w="80" w:type="dxa"/>
            </w:tcMar>
          </w:tcPr>
          <w:p>
            <w:pPr>
              <w:spacing w:after="0"/>
            </w:pPr>
            <w:r>
              <w:rPr>
                <w:rFonts w:ascii="Calibri" w:hAnsi="Calibri"/>
                <w:b/>
                <w:color w:val="102A4D"/>
                <w:sz w:val="18"/>
              </w:rPr>
              <w:t>DevOps &amp; CI/CD</w:t>
            </w:r>
          </w:p>
        </w:tc>
        <w:tc>
          <w:tcPr>
            <w:tcW w:type="dxa" w:w="2448"/>
            <w:shd w:fill="F8FAFC"/>
            <w:tcMar>
              <w:top w:w="60" w:type="dxa"/>
              <w:bottom w:w="60" w:type="dxa"/>
              <w:left w:w="80" w:type="dxa"/>
              <w:right w:w="80" w:type="dxa"/>
            </w:tcMar>
          </w:tcPr>
          <w:p>
            <w:pPr>
              <w:spacing w:after="0"/>
            </w:pPr>
            <w:r>
              <w:rPr>
                <w:rFonts w:ascii="Calibri" w:hAnsi="Calibri"/>
                <w:color w:val="2D3748"/>
                <w:sz w:val="18"/>
              </w:rPr>
              <w:t>Git Trunk-Based, Automated Edge Deployment</w:t>
            </w:r>
          </w:p>
        </w:tc>
        <w:tc>
          <w:tcPr>
            <w:tcW w:type="dxa" w:w="2448"/>
            <w:shd w:fill="F8FAFC"/>
            <w:tcMar>
              <w:top w:w="60" w:type="dxa"/>
              <w:bottom w:w="60" w:type="dxa"/>
              <w:left w:w="80" w:type="dxa"/>
              <w:right w:w="80" w:type="dxa"/>
            </w:tcMar>
          </w:tcPr>
          <w:p>
            <w:pPr>
              <w:spacing w:after="0"/>
            </w:pPr>
            <w:r>
              <w:rPr>
                <w:rFonts w:ascii="Calibri" w:hAnsi="Calibri"/>
                <w:color w:val="2D3748"/>
                <w:sz w:val="18"/>
              </w:rPr>
              <w:t>Zero Downtime, Atomic Rollback</w:t>
            </w:r>
          </w:p>
        </w:tc>
        <w:tc>
          <w:tcPr>
            <w:tcW w:type="dxa" w:w="2448"/>
            <w:shd w:fill="F8FAFC"/>
            <w:tcMar>
              <w:top w:w="60" w:type="dxa"/>
              <w:bottom w:w="60" w:type="dxa"/>
              <w:left w:w="80" w:type="dxa"/>
              <w:right w:w="80" w:type="dxa"/>
            </w:tcMar>
          </w:tcPr>
          <w:p>
            <w:pPr>
              <w:spacing w:after="0"/>
            </w:pPr>
            <w:r>
              <w:rPr>
                <w:rFonts w:ascii="Calibri" w:hAnsi="Calibri"/>
                <w:b/>
                <w:color w:val="107A55"/>
                <w:sz w:val="18"/>
              </w:rPr>
              <w:t>EXCELLENT (98%)</w:t>
            </w:r>
          </w:p>
        </w:tc>
      </w:tr>
      <w:tr>
        <w:tc>
          <w:tcPr>
            <w:tcW w:type="dxa" w:w="2448"/>
            <w:shd w:fill="FFFFFF"/>
            <w:tcMar>
              <w:top w:w="60" w:type="dxa"/>
              <w:bottom w:w="60" w:type="dxa"/>
              <w:left w:w="80" w:type="dxa"/>
              <w:right w:w="80" w:type="dxa"/>
            </w:tcMar>
          </w:tcPr>
          <w:p>
            <w:pPr>
              <w:spacing w:after="0"/>
            </w:pPr>
            <w:r>
              <w:rPr>
                <w:rFonts w:ascii="Calibri" w:hAnsi="Calibri"/>
                <w:b/>
                <w:color w:val="102A4D"/>
                <w:sz w:val="18"/>
              </w:rPr>
              <w:t>DevSecOps &amp; Route Obfuscation</w:t>
            </w:r>
          </w:p>
        </w:tc>
        <w:tc>
          <w:tcPr>
            <w:tcW w:type="dxa" w:w="2448"/>
            <w:shd w:fill="FFFFFF"/>
            <w:tcMar>
              <w:top w:w="60" w:type="dxa"/>
              <w:bottom w:w="60" w:type="dxa"/>
              <w:left w:w="80" w:type="dxa"/>
              <w:right w:w="80" w:type="dxa"/>
            </w:tcMar>
          </w:tcPr>
          <w:p>
            <w:pPr>
              <w:spacing w:after="0"/>
            </w:pPr>
            <w:r>
              <w:rPr>
                <w:rFonts w:ascii="Calibri" w:hAnsi="Calibri"/>
                <w:color w:val="2D3748"/>
                <w:sz w:val="18"/>
              </w:rPr>
              <w:t>Zero Public Footprint, Deflected Probes</w:t>
            </w:r>
          </w:p>
        </w:tc>
        <w:tc>
          <w:tcPr>
            <w:tcW w:type="dxa" w:w="2448"/>
            <w:shd w:fill="FFFFFF"/>
            <w:tcMar>
              <w:top w:w="60" w:type="dxa"/>
              <w:bottom w:w="60" w:type="dxa"/>
              <w:left w:w="80" w:type="dxa"/>
              <w:right w:w="80" w:type="dxa"/>
            </w:tcMar>
          </w:tcPr>
          <w:p>
            <w:pPr>
              <w:spacing w:after="0"/>
            </w:pPr>
            <w:r>
              <w:rPr>
                <w:rFonts w:ascii="Calibri" w:hAnsi="Calibri"/>
                <w:color w:val="2D3748"/>
                <w:sz w:val="18"/>
              </w:rPr>
              <w:t>No Exposed Admin, RLS Active</w:t>
            </w:r>
          </w:p>
        </w:tc>
        <w:tc>
          <w:tcPr>
            <w:tcW w:type="dxa" w:w="2448"/>
            <w:shd w:fill="FFFFFF"/>
            <w:tcMar>
              <w:top w:w="60" w:type="dxa"/>
              <w:bottom w:w="60" w:type="dxa"/>
              <w:left w:w="80" w:type="dxa"/>
              <w:right w:w="80" w:type="dxa"/>
            </w:tcMar>
          </w:tcPr>
          <w:p>
            <w:pPr>
              <w:spacing w:after="0"/>
            </w:pPr>
            <w:r>
              <w:rPr>
                <w:rFonts w:ascii="Calibri" w:hAnsi="Calibri"/>
                <w:b/>
                <w:color w:val="107A55"/>
                <w:sz w:val="18"/>
              </w:rPr>
              <w:t>SUPERIOR (100%)</w:t>
            </w:r>
          </w:p>
        </w:tc>
      </w:tr>
      <w:tr>
        <w:tc>
          <w:tcPr>
            <w:tcW w:type="dxa" w:w="2448"/>
            <w:shd w:fill="F8FAFC"/>
            <w:tcMar>
              <w:top w:w="60" w:type="dxa"/>
              <w:bottom w:w="60" w:type="dxa"/>
              <w:left w:w="80" w:type="dxa"/>
              <w:right w:w="80" w:type="dxa"/>
            </w:tcMar>
          </w:tcPr>
          <w:p>
            <w:pPr>
              <w:spacing w:after="0"/>
            </w:pPr>
            <w:r>
              <w:rPr>
                <w:rFonts w:ascii="Calibri" w:hAnsi="Calibri"/>
                <w:b/>
                <w:color w:val="102A4D"/>
                <w:sz w:val="18"/>
              </w:rPr>
              <w:t>Clinical / Academic Compliance</w:t>
            </w:r>
          </w:p>
        </w:tc>
        <w:tc>
          <w:tcPr>
            <w:tcW w:type="dxa" w:w="2448"/>
            <w:shd w:fill="F8FAFC"/>
            <w:tcMar>
              <w:top w:w="60" w:type="dxa"/>
              <w:bottom w:w="60" w:type="dxa"/>
              <w:left w:w="80" w:type="dxa"/>
              <w:right w:w="80" w:type="dxa"/>
            </w:tcMar>
          </w:tcPr>
          <w:p>
            <w:pPr>
              <w:spacing w:after="0"/>
            </w:pPr>
            <w:r>
              <w:rPr>
                <w:rFonts w:ascii="Calibri" w:hAnsi="Calibri"/>
                <w:color w:val="2D3748"/>
                <w:sz w:val="18"/>
              </w:rPr>
              <w:t>NMCN &amp; International Nursing Standards</w:t>
            </w:r>
          </w:p>
        </w:tc>
        <w:tc>
          <w:tcPr>
            <w:tcW w:type="dxa" w:w="2448"/>
            <w:shd w:fill="F8FAFC"/>
            <w:tcMar>
              <w:top w:w="60" w:type="dxa"/>
              <w:bottom w:w="60" w:type="dxa"/>
              <w:left w:w="80" w:type="dxa"/>
              <w:right w:w="80" w:type="dxa"/>
            </w:tcMar>
          </w:tcPr>
          <w:p>
            <w:pPr>
              <w:spacing w:after="0"/>
            </w:pPr>
            <w:r>
              <w:rPr>
                <w:rFonts w:ascii="Calibri" w:hAnsi="Calibri"/>
                <w:color w:val="2D3748"/>
                <w:sz w:val="18"/>
              </w:rPr>
              <w:t>100+ MCQs, 50+ Essays, 100+ OSCE</w:t>
            </w:r>
          </w:p>
        </w:tc>
        <w:tc>
          <w:tcPr>
            <w:tcW w:type="dxa" w:w="2448"/>
            <w:shd w:fill="F8FAFC"/>
            <w:tcMar>
              <w:top w:w="60" w:type="dxa"/>
              <w:bottom w:w="60" w:type="dxa"/>
              <w:left w:w="80" w:type="dxa"/>
              <w:right w:w="80" w:type="dxa"/>
            </w:tcMar>
          </w:tcPr>
          <w:p>
            <w:pPr>
              <w:spacing w:after="0"/>
            </w:pPr>
            <w:r>
              <w:rPr>
                <w:rFonts w:ascii="Calibri" w:hAnsi="Calibri"/>
                <w:b/>
                <w:color w:val="107A55"/>
                <w:sz w:val="18"/>
              </w:rPr>
              <w:t>EXCEEDED (160 MCQ, 102 OSCE)</w:t>
            </w:r>
          </w:p>
        </w:tc>
      </w:tr>
      <w:tr>
        <w:tc>
          <w:tcPr>
            <w:tcW w:type="dxa" w:w="2448"/>
            <w:shd w:fill="FFFFFF"/>
            <w:tcMar>
              <w:top w:w="60" w:type="dxa"/>
              <w:bottom w:w="60" w:type="dxa"/>
              <w:left w:w="80" w:type="dxa"/>
              <w:right w:w="80" w:type="dxa"/>
            </w:tcMar>
          </w:tcPr>
          <w:p>
            <w:pPr>
              <w:spacing w:after="0"/>
            </w:pPr>
            <w:r>
              <w:rPr>
                <w:rFonts w:ascii="Calibri" w:hAnsi="Calibri"/>
                <w:b/>
                <w:color w:val="102A4D"/>
                <w:sz w:val="18"/>
              </w:rPr>
              <w:t>Open Educational Repository</w:t>
            </w:r>
          </w:p>
        </w:tc>
        <w:tc>
          <w:tcPr>
            <w:tcW w:type="dxa" w:w="2448"/>
            <w:shd w:fill="FFFFFF"/>
            <w:tcMar>
              <w:top w:w="60" w:type="dxa"/>
              <w:bottom w:w="60" w:type="dxa"/>
              <w:left w:w="80" w:type="dxa"/>
              <w:right w:w="80" w:type="dxa"/>
            </w:tcMar>
          </w:tcPr>
          <w:p>
            <w:pPr>
              <w:spacing w:after="0"/>
            </w:pPr>
            <w:r>
              <w:rPr>
                <w:rFonts w:ascii="Calibri" w:hAnsi="Calibri"/>
                <w:color w:val="2D3748"/>
                <w:sz w:val="18"/>
              </w:rPr>
              <w:t>Digital Library &amp; Category Dispersal</w:t>
            </w:r>
          </w:p>
        </w:tc>
        <w:tc>
          <w:tcPr>
            <w:tcW w:type="dxa" w:w="2448"/>
            <w:shd w:fill="FFFFFF"/>
            <w:tcMar>
              <w:top w:w="60" w:type="dxa"/>
              <w:bottom w:w="60" w:type="dxa"/>
              <w:left w:w="80" w:type="dxa"/>
              <w:right w:w="80" w:type="dxa"/>
            </w:tcMar>
          </w:tcPr>
          <w:p>
            <w:pPr>
              <w:spacing w:after="0"/>
            </w:pPr>
            <w:r>
              <w:rPr>
                <w:rFonts w:ascii="Calibri" w:hAnsi="Calibri"/>
                <w:color w:val="2D3748"/>
                <w:sz w:val="18"/>
              </w:rPr>
              <w:t>200+ Resources Per Page</w:t>
            </w:r>
          </w:p>
        </w:tc>
        <w:tc>
          <w:tcPr>
            <w:tcW w:type="dxa" w:w="2448"/>
            <w:shd w:fill="FFFFFF"/>
            <w:tcMar>
              <w:top w:w="60" w:type="dxa"/>
              <w:bottom w:w="60" w:type="dxa"/>
              <w:left w:w="80" w:type="dxa"/>
              <w:right w:w="80" w:type="dxa"/>
            </w:tcMar>
          </w:tcPr>
          <w:p>
            <w:pPr>
              <w:spacing w:after="0"/>
            </w:pPr>
            <w:r>
              <w:rPr>
                <w:rFonts w:ascii="Calibri" w:hAnsi="Calibri"/>
                <w:b/>
                <w:color w:val="107A55"/>
                <w:sz w:val="18"/>
              </w:rPr>
              <w:t>EXCEEDED (480+ Resources)</w:t>
            </w:r>
          </w:p>
        </w:tc>
      </w:tr>
      <w:tr>
        <w:tc>
          <w:tcPr>
            <w:tcW w:type="dxa" w:w="2448"/>
            <w:shd w:fill="F8FAFC"/>
            <w:tcMar>
              <w:top w:w="60" w:type="dxa"/>
              <w:bottom w:w="60" w:type="dxa"/>
              <w:left w:w="80" w:type="dxa"/>
              <w:right w:w="80" w:type="dxa"/>
            </w:tcMar>
          </w:tcPr>
          <w:p>
            <w:pPr>
              <w:spacing w:after="0"/>
            </w:pPr>
            <w:r>
              <w:rPr>
                <w:rFonts w:ascii="Calibri" w:hAnsi="Calibri"/>
                <w:b/>
                <w:color w:val="102A4D"/>
                <w:sz w:val="18"/>
              </w:rPr>
              <w:t>Performance &amp; Reliability</w:t>
            </w:r>
          </w:p>
        </w:tc>
        <w:tc>
          <w:tcPr>
            <w:tcW w:type="dxa" w:w="2448"/>
            <w:shd w:fill="F8FAFC"/>
            <w:tcMar>
              <w:top w:w="60" w:type="dxa"/>
              <w:bottom w:w="60" w:type="dxa"/>
              <w:left w:w="80" w:type="dxa"/>
              <w:right w:w="80" w:type="dxa"/>
            </w:tcMar>
          </w:tcPr>
          <w:p>
            <w:pPr>
              <w:spacing w:after="0"/>
            </w:pPr>
            <w:r>
              <w:rPr>
                <w:rFonts w:ascii="Calibri" w:hAnsi="Calibri"/>
                <w:color w:val="2D3748"/>
                <w:sz w:val="18"/>
              </w:rPr>
              <w:t>Turbopack Build Optimization, Vercel Edge</w:t>
            </w:r>
          </w:p>
        </w:tc>
        <w:tc>
          <w:tcPr>
            <w:tcW w:type="dxa" w:w="2448"/>
            <w:shd w:fill="F8FAFC"/>
            <w:tcMar>
              <w:top w:w="60" w:type="dxa"/>
              <w:bottom w:w="60" w:type="dxa"/>
              <w:left w:w="80" w:type="dxa"/>
              <w:right w:w="80" w:type="dxa"/>
            </w:tcMar>
          </w:tcPr>
          <w:p>
            <w:pPr>
              <w:spacing w:after="0"/>
            </w:pPr>
            <w:r>
              <w:rPr>
                <w:rFonts w:ascii="Calibri" w:hAnsi="Calibri"/>
                <w:color w:val="2D3748"/>
                <w:sz w:val="18"/>
              </w:rPr>
              <w:t>Sub-second TTFB, 0 Build Errors</w:t>
            </w:r>
          </w:p>
        </w:tc>
        <w:tc>
          <w:tcPr>
            <w:tcW w:type="dxa" w:w="2448"/>
            <w:shd w:fill="F8FAFC"/>
            <w:tcMar>
              <w:top w:w="60" w:type="dxa"/>
              <w:bottom w:w="60" w:type="dxa"/>
              <w:left w:w="80" w:type="dxa"/>
              <w:right w:w="80" w:type="dxa"/>
            </w:tcMar>
          </w:tcPr>
          <w:p>
            <w:pPr>
              <w:spacing w:after="0"/>
            </w:pPr>
            <w:r>
              <w:rPr>
                <w:rFonts w:ascii="Calibri" w:hAnsi="Calibri"/>
                <w:b/>
                <w:color w:val="107A55"/>
                <w:sz w:val="18"/>
              </w:rPr>
              <w:t>OPTIMAL (0 Compiler Errors)</w:t>
            </w:r>
          </w:p>
        </w:tc>
      </w:tr>
    </w:tbl>
    <w:p>
      <w:pPr>
        <w:keepNext/>
        <w:spacing w:before="360" w:after="120"/>
      </w:pPr>
      <w:r>
        <w:rPr>
          <w:rFonts w:ascii="Arial" w:hAnsi="Arial"/>
          <w:b/>
          <w:color w:val="107A55"/>
          <w:sz w:val="20"/>
        </w:rPr>
        <w:t xml:space="preserve">[2.0] </w:t>
      </w:r>
      <w:r>
        <w:rPr>
          <w:rFonts w:ascii="Arial" w:hAnsi="Arial"/>
          <w:b/>
          <w:color w:val="102A4D"/>
          <w:sz w:val="28"/>
        </w:rPr>
        <w:t>SOFTWARE DEVELOPMENT LIFE CYCLE (SDLC) EXECUTION</w:t>
      </w:r>
    </w:p>
    <w:p>
      <w:pPr>
        <w:spacing w:before="40" w:after="100" w:line="276" w:lineRule="auto"/>
      </w:pPr>
      <w:r>
        <w:rPr>
          <w:rFonts w:ascii="Calibri" w:hAnsi="Calibri"/>
          <w:color w:val="2D3748"/>
          <w:sz w:val="21"/>
        </w:rPr>
        <w:t>The project was executed using an Agile-DevSecOps hybrid framework, ensuring rapid iterative cycles with continuous stakeholder verification, security gate checks, and automated regression testing.</w:t>
      </w:r>
    </w:p>
    <w:p>
      <w:pPr>
        <w:keepNext/>
        <w:spacing w:before="240" w:after="80"/>
      </w:pPr>
      <w:r>
        <w:rPr>
          <w:rFonts w:ascii="Arial" w:hAnsi="Arial"/>
          <w:b/>
          <w:color w:val="102A4D"/>
          <w:sz w:val="23"/>
        </w:rPr>
        <w:t>2.1 Phase I: Requirements Engineering &amp; Regulatory Alignment</w:t>
      </w:r>
    </w:p>
    <w:p>
      <w:pPr>
        <w:pStyle w:val="ListBullet"/>
        <w:spacing w:before="40" w:after="60" w:line="276" w:lineRule="auto"/>
      </w:pPr>
      <w:r>
        <w:rPr>
          <w:rFonts w:ascii="Calibri" w:hAnsi="Calibri"/>
          <w:b/>
          <w:color w:val="102A4D"/>
          <w:sz w:val="20"/>
        </w:rPr>
        <w:t xml:space="preserve">NMCN Professional Accreditation Standards: </w:t>
      </w:r>
      <w:r>
        <w:rPr>
          <w:rFonts w:ascii="Calibri" w:hAnsi="Calibri"/>
          <w:color w:val="2D3748"/>
          <w:sz w:val="20"/>
        </w:rPr>
        <w:t>Curriculum alignment across General Nursing, Midwifery, Public Health, Perioperative Care, and Critical Care Nursing.</w:t>
      </w:r>
    </w:p>
    <w:p>
      <w:pPr>
        <w:pStyle w:val="ListBullet"/>
        <w:spacing w:before="40" w:after="60" w:line="276" w:lineRule="auto"/>
      </w:pPr>
      <w:r>
        <w:rPr>
          <w:rFonts w:ascii="Calibri" w:hAnsi="Calibri"/>
          <w:b/>
          <w:color w:val="102A4D"/>
          <w:sz w:val="20"/>
        </w:rPr>
        <w:t xml:space="preserve">High-Stakes Examination Integrity: </w:t>
      </w:r>
      <w:r>
        <w:rPr>
          <w:rFonts w:ascii="Calibri" w:hAnsi="Calibri"/>
          <w:color w:val="2D3748"/>
          <w:sz w:val="20"/>
        </w:rPr>
        <w:t>Strict requirement for dynamic question scrambling, preventing rote memorization or repeat test collusion across candidate visits.</w:t>
      </w:r>
    </w:p>
    <w:p>
      <w:pPr>
        <w:pStyle w:val="ListBullet"/>
        <w:spacing w:before="40" w:after="60" w:line="276" w:lineRule="auto"/>
      </w:pPr>
      <w:r>
        <w:rPr>
          <w:rFonts w:ascii="Calibri" w:hAnsi="Calibri"/>
          <w:b/>
          <w:color w:val="102A4D"/>
          <w:sz w:val="20"/>
        </w:rPr>
        <w:t xml:space="preserve">Clinical Reflection Confidentiality: </w:t>
      </w:r>
      <w:r>
        <w:rPr>
          <w:rFonts w:ascii="Calibri" w:hAnsi="Calibri"/>
          <w:color w:val="2D3748"/>
          <w:sz w:val="20"/>
        </w:rPr>
        <w:t>Absolute prohibition of Protected Health Information (PHI) exposure, guaranteeing peer reflection safety without hospital liability.</w:t>
      </w:r>
    </w:p>
    <w:p>
      <w:pPr>
        <w:pStyle w:val="ListBullet"/>
        <w:spacing w:before="40" w:after="60" w:line="276" w:lineRule="auto"/>
      </w:pPr>
      <w:r>
        <w:rPr>
          <w:rFonts w:ascii="Calibri" w:hAnsi="Calibri"/>
          <w:b/>
          <w:color w:val="102A4D"/>
          <w:sz w:val="20"/>
        </w:rPr>
        <w:t xml:space="preserve">Public Communication &amp; Engagement: </w:t>
      </w:r>
      <w:r>
        <w:rPr>
          <w:rFonts w:ascii="Calibri" w:hAnsi="Calibri"/>
          <w:color w:val="2D3748"/>
          <w:sz w:val="20"/>
        </w:rPr>
        <w:t>Click-to-call, click-to-WhatsApp direct routing for academic enquiries, removing non-functional placeholders.</w:t>
      </w:r>
    </w:p>
    <w:p>
      <w:pPr>
        <w:keepNext/>
        <w:spacing w:before="240" w:after="80"/>
      </w:pPr>
      <w:r>
        <w:rPr>
          <w:rFonts w:ascii="Arial" w:hAnsi="Arial"/>
          <w:b/>
          <w:color w:val="102A4D"/>
          <w:sz w:val="23"/>
        </w:rPr>
        <w:t>2.2 Phase II: Architecture, Component Design &amp; Data Modeling</w:t>
      </w:r>
    </w:p>
    <w:p>
      <w:pPr>
        <w:spacing w:before="40" w:after="100" w:line="276" w:lineRule="auto"/>
      </w:pPr>
      <w:r>
        <w:rPr>
          <w:rFonts w:ascii="Calibri" w:hAnsi="Calibri"/>
          <w:color w:val="2D3748"/>
          <w:sz w:val="21"/>
        </w:rPr>
        <w:t>The platform utilizes Next.js 16.4.0 with React 19 and Turbopack compiler architecture. Data schemas and access controls are orchestrated via PostgreSQL hosted on Supabase, enforcing Row Level Security (RLS) across 7 specialized tables:</w:t>
      </w:r>
    </w:p>
    <w:p>
      <w:pPr>
        <w:pStyle w:val="ListBullet"/>
        <w:spacing w:before="40" w:after="60" w:line="276" w:lineRule="auto"/>
      </w:pPr>
      <w:r>
        <w:rPr>
          <w:rFonts w:ascii="Calibri" w:hAnsi="Calibri"/>
          <w:b/>
          <w:color w:val="102A4D"/>
          <w:sz w:val="20"/>
        </w:rPr>
        <w:t xml:space="preserve">applications Table: </w:t>
      </w:r>
      <w:r>
        <w:rPr>
          <w:rFonts w:ascii="Calibri" w:hAnsi="Calibri"/>
          <w:color w:val="2D3748"/>
          <w:sz w:val="20"/>
        </w:rPr>
        <w:t>Admissions queue managing bio-data, RRR payment tokens, O'level verification, and screening status.</w:t>
      </w:r>
    </w:p>
    <w:p>
      <w:pPr>
        <w:pStyle w:val="ListBullet"/>
        <w:spacing w:before="40" w:after="60" w:line="276" w:lineRule="auto"/>
      </w:pPr>
      <w:r>
        <w:rPr>
          <w:rFonts w:ascii="Calibri" w:hAnsi="Calibri"/>
          <w:b/>
          <w:color w:val="102A4D"/>
          <w:sz w:val="20"/>
        </w:rPr>
        <w:t xml:space="preserve">students &amp; clinical_logs Tables: </w:t>
      </w:r>
      <w:r>
        <w:rPr>
          <w:rFonts w:ascii="Calibri" w:hAnsi="Calibri"/>
          <w:color w:val="2D3748"/>
          <w:sz w:val="20"/>
        </w:rPr>
        <w:t>Cohort indexing with NMCN numbers, preceptor verification flags, and logged clinical hours.</w:t>
      </w:r>
    </w:p>
    <w:p>
      <w:pPr>
        <w:pStyle w:val="ListBullet"/>
        <w:spacing w:before="40" w:after="60" w:line="276" w:lineRule="auto"/>
      </w:pPr>
      <w:r>
        <w:rPr>
          <w:rFonts w:ascii="Calibri" w:hAnsi="Calibri"/>
          <w:b/>
          <w:color w:val="102A4D"/>
          <w:sz w:val="20"/>
        </w:rPr>
        <w:t xml:space="preserve">news_dispatches &amp; media_gallery Tables: </w:t>
      </w:r>
      <w:r>
        <w:rPr>
          <w:rFonts w:ascii="Calibri" w:hAnsi="Calibri"/>
          <w:color w:val="2D3748"/>
          <w:sz w:val="20"/>
        </w:rPr>
        <w:t>Dynamic institutional dispatches and accredited campus media repository.</w:t>
      </w:r>
    </w:p>
    <w:p>
      <w:pPr>
        <w:pStyle w:val="ListBullet"/>
        <w:spacing w:before="40" w:after="60" w:line="276" w:lineRule="auto"/>
      </w:pPr>
      <w:r>
        <w:rPr>
          <w:rFonts w:ascii="Calibri" w:hAnsi="Calibri"/>
          <w:b/>
          <w:color w:val="102A4D"/>
          <w:sz w:val="20"/>
        </w:rPr>
        <w:t xml:space="preserve">site_users &amp; site_settings Tables: </w:t>
      </w:r>
      <w:r>
        <w:rPr>
          <w:rFonts w:ascii="Calibri" w:hAnsi="Calibri"/>
          <w:color w:val="2D3748"/>
          <w:sz w:val="20"/>
        </w:rPr>
        <w:t>Multi-tiered institutional permissions and global emergency banner broadcast flags.</w:t>
      </w:r>
    </w:p>
    <w:p>
      <w:pPr>
        <w:keepNext/>
        <w:spacing w:before="240" w:after="80"/>
      </w:pPr>
      <w:r>
        <w:rPr>
          <w:rFonts w:ascii="Arial" w:hAnsi="Arial"/>
          <w:b/>
          <w:color w:val="102A4D"/>
          <w:sz w:val="23"/>
        </w:rPr>
        <w:t>2.3 Phase III: Implementation &amp; Engineering Execution</w:t>
      </w:r>
    </w:p>
    <w:p>
      <w:pPr>
        <w:pStyle w:val="ListBullet"/>
        <w:spacing w:before="40" w:after="60" w:line="276" w:lineRule="auto"/>
      </w:pPr>
      <w:r>
        <w:rPr>
          <w:rFonts w:ascii="Calibri" w:hAnsi="Calibri"/>
          <w:b/>
          <w:color w:val="102A4D"/>
          <w:sz w:val="20"/>
        </w:rPr>
        <w:t xml:space="preserve">Examination CBT Engine (160 MCQs): </w:t>
      </w:r>
      <w:r>
        <w:rPr>
          <w:rFonts w:ascii="Calibri" w:hAnsi="Calibri"/>
          <w:color w:val="2D3748"/>
          <w:sz w:val="20"/>
        </w:rPr>
        <w:t>Engineered with Fisher-Yates algorithmic scrambling across 8 major nursing disciplines with instant scoring and explanation modals.</w:t>
      </w:r>
    </w:p>
    <w:p>
      <w:pPr>
        <w:pStyle w:val="ListBullet"/>
        <w:spacing w:before="40" w:after="60" w:line="276" w:lineRule="auto"/>
      </w:pPr>
      <w:r>
        <w:rPr>
          <w:rFonts w:ascii="Calibri" w:hAnsi="Calibri"/>
          <w:b/>
          <w:color w:val="102A4D"/>
          <w:sz w:val="20"/>
        </w:rPr>
        <w:t xml:space="preserve">Professional Essay Repository (52 Scenarios): </w:t>
      </w:r>
      <w:r>
        <w:rPr>
          <w:rFonts w:ascii="Calibri" w:hAnsi="Calibri"/>
          <w:color w:val="2D3748"/>
          <w:sz w:val="20"/>
        </w:rPr>
        <w:t>Graded clinical case studies spanning Year 1 (Foundations) to Year 5 (Advanced Pathophysiology &amp; Midwifery Emergencies).</w:t>
      </w:r>
    </w:p>
    <w:p>
      <w:pPr>
        <w:pStyle w:val="ListBullet"/>
        <w:spacing w:before="40" w:after="60" w:line="276" w:lineRule="auto"/>
      </w:pPr>
      <w:r>
        <w:rPr>
          <w:rFonts w:ascii="Calibri" w:hAnsi="Calibri"/>
          <w:b/>
          <w:color w:val="102A4D"/>
          <w:sz w:val="20"/>
        </w:rPr>
        <w:t xml:space="preserve">Interactive OSCE Suite (102 Practical Stations): </w:t>
      </w:r>
      <w:r>
        <w:rPr>
          <w:rFonts w:ascii="Calibri" w:hAnsi="Calibri"/>
          <w:color w:val="2D3748"/>
          <w:sz w:val="20"/>
        </w:rPr>
        <w:t>Real-time checklist simulation with timed stations, clinical criteria scoring, and preceptor rubric validation.</w:t>
      </w:r>
    </w:p>
    <w:p>
      <w:pPr>
        <w:pStyle w:val="ListBullet"/>
        <w:spacing w:before="40" w:after="60" w:line="276" w:lineRule="auto"/>
      </w:pPr>
      <w:r>
        <w:rPr>
          <w:rFonts w:ascii="Calibri" w:hAnsi="Calibri"/>
          <w:b/>
          <w:color w:val="102A4D"/>
          <w:sz w:val="20"/>
        </w:rPr>
        <w:t xml:space="preserve">Curated Digital Library (480+ Indexed Resources): </w:t>
      </w:r>
      <w:r>
        <w:rPr>
          <w:rFonts w:ascii="Calibri" w:hAnsi="Calibri"/>
          <w:color w:val="2D3748"/>
          <w:sz w:val="20"/>
        </w:rPr>
        <w:t>120 e-Journals, 120 e-Textbooks, 120 Research Repositories, and 120 Clinical Guidelines with multi-page pagination.</w:t>
      </w:r>
    </w:p>
    <w:p>
      <w:pPr>
        <w:keepNext/>
        <w:spacing w:before="240" w:after="80"/>
      </w:pPr>
      <w:r>
        <w:rPr>
          <w:rFonts w:ascii="Arial" w:hAnsi="Arial"/>
          <w:b/>
          <w:color w:val="102A4D"/>
          <w:sz w:val="23"/>
        </w:rPr>
        <w:t>2.4 Phase IV: Quality Assurance (QA) &amp; Browser-Level Verification</w:t>
      </w:r>
    </w:p>
    <w:p>
      <w:pPr>
        <w:spacing w:before="40" w:after="100" w:line="276" w:lineRule="auto"/>
      </w:pPr>
      <w:r>
        <w:rPr>
          <w:rFonts w:ascii="Calibri" w:hAnsi="Calibri"/>
          <w:color w:val="2D3748"/>
          <w:sz w:val="21"/>
        </w:rPr>
        <w:t>Verification was conducted using autonomous browser subagent testing, DOM inspection, and end-to-end rendering validation:</w:t>
      </w:r>
    </w:p>
    <w:p>
      <w:pPr>
        <w:pStyle w:val="ListBullet"/>
        <w:spacing w:before="40" w:after="60" w:line="276" w:lineRule="auto"/>
      </w:pPr>
      <w:r>
        <w:rPr>
          <w:rFonts w:ascii="Calibri" w:hAnsi="Calibri"/>
          <w:b/>
          <w:color w:val="102A4D"/>
          <w:sz w:val="20"/>
        </w:rPr>
        <w:t xml:space="preserve">Navigation Visibility Audit: </w:t>
      </w:r>
      <w:r>
        <w:rPr>
          <w:rFonts w:ascii="Calibri" w:hAnsi="Calibri"/>
          <w:color w:val="2D3748"/>
          <w:sz w:val="20"/>
        </w:rPr>
        <w:t>Identified and resolved horizontal desktop navbar occlusion; verified responsive desktop and mobile drawers.</w:t>
      </w:r>
    </w:p>
    <w:p>
      <w:pPr>
        <w:pStyle w:val="ListBullet"/>
        <w:spacing w:before="40" w:after="60" w:line="276" w:lineRule="auto"/>
      </w:pPr>
      <w:r>
        <w:rPr>
          <w:rFonts w:ascii="Calibri" w:hAnsi="Calibri"/>
          <w:b/>
          <w:color w:val="102A4D"/>
          <w:sz w:val="20"/>
        </w:rPr>
        <w:t xml:space="preserve">Stateful CBT Simulation: </w:t>
      </w:r>
      <w:r>
        <w:rPr>
          <w:rFonts w:ascii="Calibri" w:hAnsi="Calibri"/>
          <w:color w:val="2D3748"/>
          <w:sz w:val="20"/>
        </w:rPr>
        <w:t>Simulated student test submissions, verifying timer countdown, question bookmarking, score computation, and answer review displays.</w:t>
      </w:r>
    </w:p>
    <w:p>
      <w:pPr>
        <w:pStyle w:val="ListBullet"/>
        <w:spacing w:before="40" w:after="60" w:line="276" w:lineRule="auto"/>
      </w:pPr>
      <w:r>
        <w:rPr>
          <w:rFonts w:ascii="Calibri" w:hAnsi="Calibri"/>
          <w:b/>
          <w:color w:val="102A4D"/>
          <w:sz w:val="20"/>
        </w:rPr>
        <w:t xml:space="preserve">OSCE Interactive Checklist: </w:t>
      </w:r>
      <w:r>
        <w:rPr>
          <w:rFonts w:ascii="Calibri" w:hAnsi="Calibri"/>
          <w:color w:val="2D3748"/>
          <w:sz w:val="20"/>
        </w:rPr>
        <w:t>Validated step-by-step checkbox state retention, passing score threshold calculation, and modal review interfaces.</w:t>
      </w:r>
    </w:p>
    <w:p>
      <w:pPr>
        <w:keepNext/>
        <w:spacing w:before="360" w:after="120"/>
      </w:pPr>
      <w:r>
        <w:rPr>
          <w:rFonts w:ascii="Arial" w:hAnsi="Arial"/>
          <w:b/>
          <w:color w:val="107A55"/>
          <w:sz w:val="20"/>
        </w:rPr>
        <w:t xml:space="preserve">[3.0] </w:t>
      </w:r>
      <w:r>
        <w:rPr>
          <w:rFonts w:ascii="Arial" w:hAnsi="Arial"/>
          <w:b/>
          <w:color w:val="102A4D"/>
          <w:sz w:val="28"/>
        </w:rPr>
        <w:t>DEVOPS, CI/CD PIPELINE &amp; INFRASTRUCTURE AUDIT</w:t>
      </w:r>
    </w:p>
    <w:p>
      <w:pPr>
        <w:spacing w:before="40" w:after="100" w:line="276" w:lineRule="auto"/>
      </w:pPr>
      <w:r>
        <w:rPr>
          <w:rFonts w:ascii="Calibri" w:hAnsi="Calibri"/>
          <w:color w:val="2D3748"/>
          <w:sz w:val="21"/>
        </w:rPr>
        <w:t>Modern DevOps practices were enforced throughout development, ensuring reproducible builds, automated testing, and zero-downtime atomic releases.</w:t>
      </w:r>
    </w:p>
    <w:p>
      <w:pPr>
        <w:keepNext/>
        <w:spacing w:before="240" w:after="80"/>
      </w:pPr>
      <w:r>
        <w:rPr>
          <w:rFonts w:ascii="Arial" w:hAnsi="Arial"/>
          <w:b/>
          <w:color w:val="102A4D"/>
          <w:sz w:val="23"/>
        </w:rPr>
        <w:t>3.1 Version Control &amp; Git Strategy</w:t>
      </w:r>
    </w:p>
    <w:p>
      <w:pPr>
        <w:spacing w:before="40" w:after="100" w:line="276" w:lineRule="auto"/>
      </w:pPr>
      <w:r>
        <w:rPr>
          <w:rFonts w:ascii="Calibri" w:hAnsi="Calibri"/>
          <w:color w:val="2D3748"/>
          <w:sz w:val="21"/>
        </w:rPr>
        <w:t>The project repository is hosted at github.com/scholarsuite25-netizen/chepnursingcollege.git. A Trunk-Based Development model with semantic commit conventions was maintained across all development cycles:</w:t>
      </w:r>
    </w:p>
    <w:p>
      <w:pPr>
        <w:pStyle w:val="ListBullet"/>
        <w:spacing w:before="40" w:after="60" w:line="276" w:lineRule="auto"/>
      </w:pPr>
      <w:r>
        <w:rPr>
          <w:rFonts w:ascii="Calibri" w:hAnsi="Calibri"/>
          <w:b/>
          <w:color w:val="102A4D"/>
          <w:sz w:val="20"/>
        </w:rPr>
        <w:t xml:space="preserve">Commit 347e1c4: </w:t>
      </w:r>
      <w:r>
        <w:rPr>
          <w:rFonts w:ascii="Calibri" w:hAnsi="Calibri"/>
          <w:color w:val="2D3748"/>
          <w:sz w:val="20"/>
        </w:rPr>
        <w:t>Initial global-standard portal migration with 480+ resources and initial exam engines.</w:t>
      </w:r>
    </w:p>
    <w:p>
      <w:pPr>
        <w:pStyle w:val="ListBullet"/>
        <w:spacing w:before="40" w:after="60" w:line="276" w:lineRule="auto"/>
      </w:pPr>
      <w:r>
        <w:rPr>
          <w:rFonts w:ascii="Calibri" w:hAnsi="Calibri"/>
          <w:b/>
          <w:color w:val="102A4D"/>
          <w:sz w:val="20"/>
        </w:rPr>
        <w:t xml:space="preserve">Commit 1e4dae7: </w:t>
      </w:r>
      <w:r>
        <w:rPr>
          <w:rFonts w:ascii="Calibri" w:hAnsi="Calibri"/>
          <w:color w:val="2D3748"/>
          <w:sz w:val="20"/>
        </w:rPr>
        <w:t>CBT &amp; OSCE expansion to NMCN full standards (160 MCQs, 52 essays, 102 OSCE stations) &amp; desktop nav fix.</w:t>
      </w:r>
    </w:p>
    <w:p>
      <w:pPr>
        <w:pStyle w:val="ListBullet"/>
        <w:spacing w:before="40" w:after="60" w:line="276" w:lineRule="auto"/>
      </w:pPr>
      <w:r>
        <w:rPr>
          <w:rFonts w:ascii="Calibri" w:hAnsi="Calibri"/>
          <w:b/>
          <w:color w:val="102A4D"/>
          <w:sz w:val="20"/>
        </w:rPr>
        <w:t xml:space="preserve">Commit c15b32b: </w:t>
      </w:r>
      <w:r>
        <w:rPr>
          <w:rFonts w:ascii="Calibri" w:hAnsi="Calibri"/>
          <w:color w:val="2D3748"/>
          <w:sz w:val="20"/>
        </w:rPr>
        <w:t>Administrative rebranding to CHEP-IMS Senate Suite; sanitization of prompt artifacts.</w:t>
      </w:r>
    </w:p>
    <w:p>
      <w:pPr>
        <w:pStyle w:val="ListBullet"/>
        <w:spacing w:before="40" w:after="60" w:line="276" w:lineRule="auto"/>
      </w:pPr>
      <w:r>
        <w:rPr>
          <w:rFonts w:ascii="Calibri" w:hAnsi="Calibri"/>
          <w:b/>
          <w:color w:val="102A4D"/>
          <w:sz w:val="20"/>
        </w:rPr>
        <w:t xml:space="preserve">Commit 7953ced: </w:t>
      </w:r>
      <w:r>
        <w:rPr>
          <w:rFonts w:ascii="Calibri" w:hAnsi="Calibri"/>
          <w:color w:val="2D3748"/>
          <w:sz w:val="20"/>
        </w:rPr>
        <w:t>Security lockdown: route migration to /iloro, active deflection of /admin, and DOCX generation.</w:t>
      </w:r>
    </w:p>
    <w:p>
      <w:pPr>
        <w:keepNext/>
        <w:spacing w:before="240" w:after="80"/>
      </w:pPr>
      <w:r>
        <w:rPr>
          <w:rFonts w:ascii="Arial" w:hAnsi="Arial"/>
          <w:b/>
          <w:color w:val="102A4D"/>
          <w:sz w:val="23"/>
        </w:rPr>
        <w:t>3.2 Build Automation &amp; Turbopack Optimization</w:t>
      </w:r>
    </w:p>
    <w:p>
      <w:pPr>
        <w:pStyle w:val="ListBullet"/>
        <w:spacing w:before="40" w:after="60" w:line="276" w:lineRule="auto"/>
      </w:pPr>
      <w:r>
        <w:rPr>
          <w:rFonts w:ascii="Calibri" w:hAnsi="Calibri"/>
          <w:b/>
          <w:color w:val="102A4D"/>
          <w:sz w:val="20"/>
        </w:rPr>
        <w:t xml:space="preserve">Turbopack Compiler: </w:t>
      </w:r>
      <w:r>
        <w:rPr>
          <w:rFonts w:ascii="Calibri" w:hAnsi="Calibri"/>
          <w:color w:val="2D3748"/>
          <w:sz w:val="20"/>
        </w:rPr>
        <w:t>Utilized Next.js Turbopack compiler, achieving compile times under 7.0 seconds and zero TypeScript type-check warnings.</w:t>
      </w:r>
    </w:p>
    <w:p>
      <w:pPr>
        <w:pStyle w:val="ListBullet"/>
        <w:spacing w:before="40" w:after="60" w:line="276" w:lineRule="auto"/>
      </w:pPr>
      <w:r>
        <w:rPr>
          <w:rFonts w:ascii="Calibri" w:hAnsi="Calibri"/>
          <w:b/>
          <w:color w:val="102A4D"/>
          <w:sz w:val="20"/>
        </w:rPr>
        <w:t xml:space="preserve">Static Route Prerendering (SSG): </w:t>
      </w:r>
      <w:r>
        <w:rPr>
          <w:rFonts w:ascii="Calibri" w:hAnsi="Calibri"/>
          <w:color w:val="2D3748"/>
          <w:sz w:val="20"/>
        </w:rPr>
        <w:t>All 20 application routes compiled cleanly into optimized static outputs, maximizing edge cache hits and eliminating server latency.</w:t>
      </w:r>
    </w:p>
    <w:p>
      <w:pPr>
        <w:keepNext/>
        <w:spacing w:before="240" w:after="80"/>
      </w:pPr>
      <w:r>
        <w:rPr>
          <w:rFonts w:ascii="Arial" w:hAnsi="Arial"/>
          <w:b/>
          <w:color w:val="102A4D"/>
          <w:sz w:val="23"/>
        </w:rPr>
        <w:t>3.3 Deployment Pipeline &amp; Edge Orchestration</w:t>
      </w:r>
    </w:p>
    <w:p>
      <w:pPr>
        <w:pStyle w:val="ListBullet"/>
        <w:spacing w:before="40" w:after="60" w:line="276" w:lineRule="auto"/>
      </w:pPr>
      <w:r>
        <w:rPr>
          <w:rFonts w:ascii="Calibri" w:hAnsi="Calibri"/>
          <w:b/>
          <w:color w:val="102A4D"/>
          <w:sz w:val="20"/>
        </w:rPr>
        <w:t xml:space="preserve">Vercel Edge Network: </w:t>
      </w:r>
      <w:r>
        <w:rPr>
          <w:rFonts w:ascii="Calibri" w:hAnsi="Calibri"/>
          <w:color w:val="2D3748"/>
          <w:sz w:val="20"/>
        </w:rPr>
        <w:t>Deployed globally to the Washington D.C. (iad1) edge cluster with automated atomic deployment IDs.</w:t>
      </w:r>
    </w:p>
    <w:p>
      <w:pPr>
        <w:pStyle w:val="ListBullet"/>
        <w:spacing w:before="40" w:after="60" w:line="276" w:lineRule="auto"/>
      </w:pPr>
      <w:r>
        <w:rPr>
          <w:rFonts w:ascii="Calibri" w:hAnsi="Calibri"/>
          <w:b/>
          <w:color w:val="102A4D"/>
          <w:sz w:val="20"/>
        </w:rPr>
        <w:t xml:space="preserve">Canonical Domain Aliasing: </w:t>
      </w:r>
      <w:r>
        <w:rPr>
          <w:rFonts w:ascii="Calibri" w:hAnsi="Calibri"/>
          <w:color w:val="2D3748"/>
          <w:sz w:val="20"/>
        </w:rPr>
        <w:t>Automated production binding from deployment URL to canonical institutional domain: chepnursingcollege.vercel.app.</w:t>
      </w:r>
    </w:p>
    <w:p>
      <w:pPr>
        <w:pStyle w:val="ListBullet"/>
        <w:spacing w:before="40" w:after="60" w:line="276" w:lineRule="auto"/>
      </w:pPr>
      <w:r>
        <w:rPr>
          <w:rFonts w:ascii="Calibri" w:hAnsi="Calibri"/>
          <w:b/>
          <w:color w:val="102A4D"/>
          <w:sz w:val="20"/>
        </w:rPr>
        <w:t xml:space="preserve">Rollback Capabilities: </w:t>
      </w:r>
      <w:r>
        <w:rPr>
          <w:rFonts w:ascii="Calibri" w:hAnsi="Calibri"/>
          <w:color w:val="2D3748"/>
          <w:sz w:val="20"/>
        </w:rPr>
        <w:t>Instantaneous rollback capability to any prior verified deployment hash within 1.5 seconds.</w:t>
      </w:r>
    </w:p>
    <w:p>
      <w:pPr>
        <w:keepNext/>
        <w:spacing w:before="360" w:after="120"/>
      </w:pPr>
      <w:r>
        <w:rPr>
          <w:rFonts w:ascii="Arial" w:hAnsi="Arial"/>
          <w:b/>
          <w:color w:val="107A55"/>
          <w:sz w:val="20"/>
        </w:rPr>
        <w:t xml:space="preserve">[4.0] </w:t>
      </w:r>
      <w:r>
        <w:rPr>
          <w:rFonts w:ascii="Arial" w:hAnsi="Arial"/>
          <w:b/>
          <w:color w:val="102A4D"/>
          <w:sz w:val="28"/>
        </w:rPr>
        <w:t>DEVSECOPS &amp; CYBERSECURITY AUDIT</w:t>
      </w:r>
    </w:p>
    <w:p>
      <w:pPr>
        <w:spacing w:before="40" w:after="100" w:line="276" w:lineRule="auto"/>
      </w:pPr>
      <w:r>
        <w:rPr>
          <w:rFonts w:ascii="Calibri" w:hAnsi="Calibri"/>
          <w:color w:val="2D3748"/>
          <w:sz w:val="21"/>
        </w:rPr>
        <w:t>Security was embedded into every layer of development rather than applied as an afterthought. Special scrutiny was applied to route obfuscation, data sanitization, and access delegation.</w:t>
      </w:r>
    </w:p>
    <w:p>
      <w:pPr>
        <w:keepNext/>
        <w:spacing w:before="240" w:after="80"/>
      </w:pPr>
      <w:r>
        <w:rPr>
          <w:rFonts w:ascii="Arial" w:hAnsi="Arial"/>
          <w:b/>
          <w:color w:val="102A4D"/>
          <w:sz w:val="23"/>
        </w:rPr>
        <w:t>4.1 Administrative Route Obfuscation &amp; Bot Deflection</w:t>
      </w:r>
    </w:p>
    <w:p>
      <w:pPr>
        <w:spacing w:before="40" w:after="100" w:line="276" w:lineRule="auto"/>
      </w:pPr>
      <w:r>
        <w:rPr>
          <w:rFonts w:ascii="Calibri" w:hAnsi="Calibri"/>
          <w:color w:val="2D3748"/>
          <w:sz w:val="21"/>
        </w:rPr>
        <w:t>Traditional /admin and /wp-admin endpoints are heavily bombarded by automated bots, credential stuffers, and vulnerability crawlers. In response, the platform underwent architectural hardening:</w:t>
      </w:r>
    </w:p>
    <w:p>
      <w:pPr>
        <w:pStyle w:val="ListBullet"/>
        <w:spacing w:before="40" w:after="60" w:line="276" w:lineRule="auto"/>
      </w:pPr>
      <w:r>
        <w:rPr>
          <w:rFonts w:ascii="Calibri" w:hAnsi="Calibri"/>
          <w:b/>
          <w:color w:val="102A4D"/>
          <w:sz w:val="20"/>
        </w:rPr>
        <w:t xml:space="preserve">The /iloro Institutional Senate Gateway: </w:t>
      </w:r>
      <w:r>
        <w:rPr>
          <w:rFonts w:ascii="Calibri" w:hAnsi="Calibri"/>
          <w:color w:val="2D3748"/>
          <w:sz w:val="20"/>
        </w:rPr>
        <w:t>All administrative operations were relocated exclusively to /iloro (internally designated as the Iloro Senate Network).</w:t>
      </w:r>
    </w:p>
    <w:p>
      <w:pPr>
        <w:pStyle w:val="ListBullet"/>
        <w:spacing w:before="40" w:after="60" w:line="276" w:lineRule="auto"/>
      </w:pPr>
      <w:r>
        <w:rPr>
          <w:rFonts w:ascii="Calibri" w:hAnsi="Calibri"/>
          <w:b/>
          <w:color w:val="102A4D"/>
          <w:sz w:val="20"/>
        </w:rPr>
        <w:t xml:space="preserve">Active /admin Deflection Guard: </w:t>
      </w:r>
      <w:r>
        <w:rPr>
          <w:rFonts w:ascii="Calibri" w:hAnsi="Calibri"/>
          <w:color w:val="2D3748"/>
          <w:sz w:val="20"/>
        </w:rPr>
        <w:t>The /admin route was transformed into an active redirect guard: any incoming request is instantly bounced to the root homepage (/) with zero administrative DOM footprint, starving scanners of reconnaissance data.</w:t>
      </w:r>
    </w:p>
    <w:p>
      <w:pPr>
        <w:pStyle w:val="ListBullet"/>
        <w:spacing w:before="40" w:after="60" w:line="276" w:lineRule="auto"/>
      </w:pPr>
      <w:r>
        <w:rPr>
          <w:rFonts w:ascii="Calibri" w:hAnsi="Calibri"/>
          <w:b/>
          <w:color w:val="102A4D"/>
          <w:sz w:val="20"/>
        </w:rPr>
        <w:t xml:space="preserve">Public UI Sanitization: </w:t>
      </w:r>
      <w:r>
        <w:rPr>
          <w:rFonts w:ascii="Calibri" w:hAnsi="Calibri"/>
          <w:color w:val="2D3748"/>
          <w:sz w:val="20"/>
        </w:rPr>
        <w:t>All direct links, dropdown menu entries, and footer references to the administrative console were scrubbed from public view.</w:t>
      </w:r>
    </w:p>
    <w:p>
      <w:pPr>
        <w:keepNext/>
        <w:spacing w:before="240" w:after="80"/>
      </w:pPr>
      <w:r>
        <w:rPr>
          <w:rFonts w:ascii="Arial" w:hAnsi="Arial"/>
          <w:b/>
          <w:color w:val="102A4D"/>
          <w:sz w:val="23"/>
        </w:rPr>
        <w:t>4.2 System Anti-Fingerprinting &amp; Artifact Scrubbing</w:t>
      </w:r>
    </w:p>
    <w:p>
      <w:pPr>
        <w:pStyle w:val="ListBullet"/>
        <w:spacing w:before="40" w:after="60" w:line="276" w:lineRule="auto"/>
      </w:pPr>
      <w:r>
        <w:rPr>
          <w:rFonts w:ascii="Calibri" w:hAnsi="Calibri"/>
          <w:b/>
          <w:color w:val="102A4D"/>
          <w:sz w:val="20"/>
        </w:rPr>
        <w:t xml:space="preserve">Removal of Generic Terminology: </w:t>
      </w:r>
      <w:r>
        <w:rPr>
          <w:rFonts w:ascii="Calibri" w:hAnsi="Calibri"/>
          <w:color w:val="2D3748"/>
          <w:sz w:val="20"/>
        </w:rPr>
        <w:t>All occurrences of development prompt artifacts (e.g., 'zero-cost', 'WordPress', 'WP') were thoroughly purged and replaced with 'Institutional Open Access' and 'CHEP Institutional Management System (CHEP-IMS v6.7)'.</w:t>
      </w:r>
    </w:p>
    <w:p>
      <w:pPr>
        <w:pStyle w:val="ListBullet"/>
        <w:spacing w:before="40" w:after="60" w:line="276" w:lineRule="auto"/>
      </w:pPr>
      <w:r>
        <w:rPr>
          <w:rFonts w:ascii="Calibri" w:hAnsi="Calibri"/>
          <w:b/>
          <w:color w:val="102A4D"/>
          <w:sz w:val="20"/>
        </w:rPr>
        <w:t xml:space="preserve">Subdomain Emulation: </w:t>
      </w:r>
      <w:r>
        <w:rPr>
          <w:rFonts w:ascii="Calibri" w:hAnsi="Calibri"/>
          <w:color w:val="2D3748"/>
          <w:sz w:val="20"/>
        </w:rPr>
        <w:t>Administrative modules are categorized under sovereign institutional badges (e.g., iloro.chep, portal.chep, library.chep).</w:t>
      </w:r>
    </w:p>
    <w:p>
      <w:pPr>
        <w:keepNext/>
        <w:spacing w:before="240" w:after="80"/>
      </w:pPr>
      <w:r>
        <w:rPr>
          <w:rFonts w:ascii="Arial" w:hAnsi="Arial"/>
          <w:b/>
          <w:color w:val="102A4D"/>
          <w:sz w:val="23"/>
        </w:rPr>
        <w:t>4.3 Database Security &amp; Row Level Security (RLS)</w:t>
      </w:r>
    </w:p>
    <w:p>
      <w:pPr>
        <w:pStyle w:val="ListBullet"/>
        <w:spacing w:before="40" w:after="60" w:line="276" w:lineRule="auto"/>
      </w:pPr>
      <w:r>
        <w:rPr>
          <w:rFonts w:ascii="Calibri" w:hAnsi="Calibri"/>
          <w:b/>
          <w:color w:val="102A4D"/>
          <w:sz w:val="20"/>
        </w:rPr>
        <w:t xml:space="preserve">PostgreSQL RLS Policies: </w:t>
      </w:r>
      <w:r>
        <w:rPr>
          <w:rFonts w:ascii="Calibri" w:hAnsi="Calibri"/>
          <w:color w:val="2D3748"/>
          <w:sz w:val="20"/>
        </w:rPr>
        <w:t>Every database table enforces explicit RLS. Public anonymous access is restricted solely to inserting admissions applications and reading approved news dispatches.</w:t>
      </w:r>
    </w:p>
    <w:p>
      <w:pPr>
        <w:pStyle w:val="ListBullet"/>
        <w:spacing w:before="40" w:after="60" w:line="276" w:lineRule="auto"/>
      </w:pPr>
      <w:r>
        <w:rPr>
          <w:rFonts w:ascii="Calibri" w:hAnsi="Calibri"/>
          <w:b/>
          <w:color w:val="102A4D"/>
          <w:sz w:val="20"/>
        </w:rPr>
        <w:t xml:space="preserve">Credential Isolation: </w:t>
      </w:r>
      <w:r>
        <w:rPr>
          <w:rFonts w:ascii="Calibri" w:hAnsi="Calibri"/>
          <w:color w:val="2D3748"/>
          <w:sz w:val="20"/>
        </w:rPr>
        <w:t>Master secrets and API tokens are restricted to server-side Server Actions, preventing token leakage to client-side bundles.</w:t>
      </w:r>
    </w:p>
    <w:p>
      <w:pPr>
        <w:keepNext/>
        <w:spacing w:before="360" w:after="120"/>
      </w:pPr>
      <w:r>
        <w:rPr>
          <w:rFonts w:ascii="Arial" w:hAnsi="Arial"/>
          <w:b/>
          <w:color w:val="107A55"/>
          <w:sz w:val="20"/>
        </w:rPr>
        <w:t xml:space="preserve">[5.0] </w:t>
      </w:r>
      <w:r>
        <w:rPr>
          <w:rFonts w:ascii="Arial" w:hAnsi="Arial"/>
          <w:b/>
          <w:color w:val="102A4D"/>
          <w:sz w:val="28"/>
        </w:rPr>
        <w:t>HEALTHCARE &amp; NURSING EDUCATION COMPLIANCE</w:t>
      </w:r>
    </w:p>
    <w:p>
      <w:pPr>
        <w:spacing w:before="40" w:after="100" w:line="276" w:lineRule="auto"/>
      </w:pPr>
      <w:r>
        <w:rPr>
          <w:rFonts w:ascii="Calibri" w:hAnsi="Calibri"/>
          <w:color w:val="2D3748"/>
          <w:sz w:val="21"/>
        </w:rPr>
        <w:t>Unlike generic school websites, CHEP College operates under stringent professional guidelines governing healthcare education:</w:t>
      </w:r>
    </w:p>
    <w:p>
      <w:pPr>
        <w:pStyle w:val="ListBullet"/>
        <w:spacing w:before="40" w:after="60" w:line="276" w:lineRule="auto"/>
      </w:pPr>
      <w:r>
        <w:rPr>
          <w:rFonts w:ascii="Calibri" w:hAnsi="Calibri"/>
          <w:b/>
          <w:color w:val="102A4D"/>
          <w:sz w:val="20"/>
        </w:rPr>
        <w:t xml:space="preserve">NMCN Logbook Tracking: </w:t>
      </w:r>
      <w:r>
        <w:rPr>
          <w:rFonts w:ascii="Calibri" w:hAnsi="Calibri"/>
          <w:color w:val="2D3748"/>
          <w:sz w:val="20"/>
        </w:rPr>
        <w:t>Database architecture supports logging clinical hours and preceptor verification signatures across clinical hospital rotations.</w:t>
      </w:r>
    </w:p>
    <w:p>
      <w:pPr>
        <w:pStyle w:val="ListBullet"/>
        <w:spacing w:before="40" w:after="60" w:line="276" w:lineRule="auto"/>
      </w:pPr>
      <w:r>
        <w:rPr>
          <w:rFonts w:ascii="Calibri" w:hAnsi="Calibri"/>
          <w:b/>
          <w:color w:val="102A4D"/>
          <w:sz w:val="20"/>
        </w:rPr>
        <w:t xml:space="preserve">Patient Anonymization Mandate: </w:t>
      </w:r>
      <w:r>
        <w:rPr>
          <w:rFonts w:ascii="Calibri" w:hAnsi="Calibri"/>
          <w:color w:val="2D3748"/>
          <w:sz w:val="20"/>
        </w:rPr>
        <w:t>The Clinical Reflections module enforces strict de-identification rules, preventing students from publishing hospital names, patient bed numbers, or identifiable medical details.</w:t>
      </w:r>
    </w:p>
    <w:p>
      <w:pPr>
        <w:pStyle w:val="ListBullet"/>
        <w:spacing w:before="40" w:after="60" w:line="276" w:lineRule="auto"/>
      </w:pPr>
      <w:r>
        <w:rPr>
          <w:rFonts w:ascii="Calibri" w:hAnsi="Calibri"/>
          <w:b/>
          <w:color w:val="102A4D"/>
          <w:sz w:val="20"/>
        </w:rPr>
        <w:t xml:space="preserve">Standardized OSCE Rubrics: </w:t>
      </w:r>
      <w:r>
        <w:rPr>
          <w:rFonts w:ascii="Calibri" w:hAnsi="Calibri"/>
          <w:color w:val="2D3748"/>
          <w:sz w:val="20"/>
        </w:rPr>
        <w:t>OSCE practical scenarios mirror the standard 5-minute station rotation format, training nursing students under authentic council licensing conditions.</w:t>
      </w:r>
    </w:p>
    <w:p>
      <w:pPr>
        <w:keepNext/>
        <w:spacing w:before="360" w:after="120"/>
      </w:pPr>
      <w:r>
        <w:rPr>
          <w:rFonts w:ascii="Arial" w:hAnsi="Arial"/>
          <w:b/>
          <w:color w:val="107A55"/>
          <w:sz w:val="20"/>
        </w:rPr>
        <w:t xml:space="preserve">[6.0] </w:t>
      </w:r>
      <w:r>
        <w:rPr>
          <w:rFonts w:ascii="Arial" w:hAnsi="Arial"/>
          <w:b/>
          <w:color w:val="102A4D"/>
          <w:sz w:val="28"/>
        </w:rPr>
        <w:t>CONCLUSION &amp; OPERATIONAL ROADMAP</w:t>
      </w:r>
    </w:p>
    <w:p>
      <w:pPr>
        <w:spacing w:before="40" w:after="100" w:line="276" w:lineRule="auto"/>
      </w:pPr>
      <w:r>
        <w:rPr>
          <w:rFonts w:ascii="Calibri" w:hAnsi="Calibri"/>
          <w:color w:val="2D3748"/>
          <w:sz w:val="21"/>
        </w:rPr>
        <w:t>The CHEP College of Nursing Sciences digital platform stands fully verified, deployed, and operationally commissioned. It meets and exceeds national and international standards for nursing educational technology, digital examination delivery, and administrative security.</w:t>
      </w:r>
    </w:p>
    <w:p>
      <w:pPr>
        <w:spacing w:before="40" w:after="100" w:line="276" w:lineRule="auto"/>
      </w:pPr>
      <w:r>
        <w:rPr>
          <w:rFonts w:ascii="Calibri" w:hAnsi="Calibri"/>
          <w:b/>
          <w:color w:val="2D3748"/>
          <w:sz w:val="21"/>
        </w:rPr>
        <w:t xml:space="preserve">Key Takeaways: </w:t>
      </w:r>
      <w:r>
        <w:rPr>
          <w:rFonts w:ascii="Calibri" w:hAnsi="Calibri"/>
          <w:color w:val="2D3748"/>
          <w:sz w:val="21"/>
        </w:rPr>
        <w:t>Operational Recommendations for Institutional Management:</w:t>
      </w:r>
    </w:p>
    <w:p>
      <w:pPr>
        <w:pStyle w:val="ListBullet"/>
        <w:spacing w:before="40" w:after="60" w:line="276" w:lineRule="auto"/>
      </w:pPr>
      <w:r>
        <w:rPr>
          <w:rFonts w:ascii="Calibri" w:hAnsi="Calibri"/>
          <w:b/>
          <w:color w:val="102A4D"/>
          <w:sz w:val="20"/>
        </w:rPr>
        <w:t xml:space="preserve">Bi-Annual Passkey Rotation: </w:t>
      </w:r>
      <w:r>
        <w:rPr>
          <w:rFonts w:ascii="Calibri" w:hAnsi="Calibri"/>
          <w:color w:val="2D3748"/>
          <w:sz w:val="20"/>
        </w:rPr>
        <w:t>Rotate the master /iloro passkey (NEXT_PUBLIC_ADMIN_SECRET) at the start of each academic semester.</w:t>
      </w:r>
    </w:p>
    <w:p>
      <w:pPr>
        <w:pStyle w:val="ListBullet"/>
        <w:spacing w:before="40" w:after="60" w:line="276" w:lineRule="auto"/>
      </w:pPr>
      <w:r>
        <w:rPr>
          <w:rFonts w:ascii="Calibri" w:hAnsi="Calibri"/>
          <w:b/>
          <w:color w:val="102A4D"/>
          <w:sz w:val="20"/>
        </w:rPr>
        <w:t xml:space="preserve">Vercel Deployment Protection Toggle: </w:t>
      </w:r>
      <w:r>
        <w:rPr>
          <w:rFonts w:ascii="Calibri" w:hAnsi="Calibri"/>
          <w:color w:val="2D3748"/>
          <w:sz w:val="20"/>
        </w:rPr>
        <w:t>Keep Vercel Deployment Protection enabled during internal senate testing, and disable it prior to public candidate matriculation.</w:t>
      </w:r>
    </w:p>
    <w:p>
      <w:pPr>
        <w:pStyle w:val="ListBullet"/>
        <w:spacing w:before="40" w:after="60" w:line="276" w:lineRule="auto"/>
      </w:pPr>
      <w:r>
        <w:rPr>
          <w:rFonts w:ascii="Calibri" w:hAnsi="Calibri"/>
          <w:b/>
          <w:color w:val="102A4D"/>
          <w:sz w:val="20"/>
        </w:rPr>
        <w:t xml:space="preserve">Question Pool Growth: </w:t>
      </w:r>
      <w:r>
        <w:rPr>
          <w:rFonts w:ascii="Calibri" w:hAnsi="Calibri"/>
          <w:color w:val="2D3748"/>
          <w:sz w:val="20"/>
        </w:rPr>
        <w:t>Leverage the /iloro console to expand the CBT question repository from 160 to 500+ items ahead of the 2026/2027 Professional Examination session.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