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16D85" w14:textId="098FE3FB" w:rsidR="00E14918" w:rsidRDefault="00084B82">
      <w:r w:rsidRPr="00084B82">
        <w:t>Nuance in the acs, acs is focused on addresses and finds people secondary. We start with a list of people. The decennial also doesn't have a list of people. Demoframe starts with people, it's person based.</w:t>
      </w:r>
    </w:p>
    <w:sectPr w:rsidR="00E1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3C"/>
    <w:rsid w:val="000412CD"/>
    <w:rsid w:val="00084B82"/>
    <w:rsid w:val="00192575"/>
    <w:rsid w:val="002D5815"/>
    <w:rsid w:val="00320F6F"/>
    <w:rsid w:val="00365C10"/>
    <w:rsid w:val="004E5B34"/>
    <w:rsid w:val="00607AC8"/>
    <w:rsid w:val="0082563C"/>
    <w:rsid w:val="00BB382D"/>
    <w:rsid w:val="00BF230C"/>
    <w:rsid w:val="00C06F81"/>
    <w:rsid w:val="00E1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0F626-6E8E-4899-9550-6B9FBE0B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2</cp:revision>
  <dcterms:created xsi:type="dcterms:W3CDTF">2025-02-11T17:25:00Z</dcterms:created>
  <dcterms:modified xsi:type="dcterms:W3CDTF">2025-02-11T17:25:00Z</dcterms:modified>
</cp:coreProperties>
</file>