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3C27C1D0"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An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6ED28350"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Operationalization of Place</w:t>
      </w:r>
    </w:p>
    <w:p w14:paraId="06B2751C" w14:textId="0A5FAD41" w:rsidR="000A562A"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57048E">
        <w:rPr>
          <w:rFonts w:ascii="Times New Roman" w:hAnsi="Times New Roman" w:cs="Times New Roman"/>
          <w:sz w:val="24"/>
          <w:szCs w:val="24"/>
        </w:rPr>
        <w:t xml:space="preserve">. </w:t>
      </w:r>
      <w:r w:rsidR="00C82429" w:rsidRPr="008B5152">
        <w:rPr>
          <w:rFonts w:ascii="Times New Roman" w:hAnsi="Times New Roman" w:cs="Times New Roman"/>
          <w:sz w:val="24"/>
          <w:szCs w:val="24"/>
        </w:rPr>
        <w:t>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57048E">
        <w:rPr>
          <w:rFonts w:ascii="Times New Roman" w:hAnsi="Times New Roman" w:cs="Times New Roman"/>
          <w:sz w:val="24"/>
          <w:szCs w:val="24"/>
        </w:rPr>
        <w:t xml:space="preserve"> The U.S. Census Bureau uses much smaller geographies, like tracts, blocks and block groups, but these are designed to reflect county, state geographies whenever possible. The ability for smaller geographies to nest into these larger geographies allows for smooth</w:t>
      </w:r>
      <w:r w:rsidR="00695A95">
        <w:rPr>
          <w:rFonts w:ascii="Times New Roman" w:hAnsi="Times New Roman" w:cs="Times New Roman"/>
          <w:sz w:val="24"/>
          <w:szCs w:val="24"/>
        </w:rPr>
        <w:t>er</w:t>
      </w:r>
      <w:r w:rsidR="0057048E">
        <w:rPr>
          <w:rFonts w:ascii="Times New Roman" w:hAnsi="Times New Roman" w:cs="Times New Roman"/>
          <w:sz w:val="24"/>
          <w:szCs w:val="24"/>
        </w:rPr>
        <w:t xml:space="preserve"> aggregation to larger levels of measurement.</w:t>
      </w:r>
    </w:p>
    <w:p w14:paraId="2F5E83B5" w14:textId="204B57BF" w:rsidR="0057048E" w:rsidRDefault="000A562A"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nesting of Census Bureau geographies ensures that estimates have the same geographical </w:t>
      </w:r>
      <w:r w:rsidR="002E05B0">
        <w:rPr>
          <w:rFonts w:ascii="Times New Roman" w:hAnsi="Times New Roman" w:cs="Times New Roman"/>
          <w:sz w:val="24"/>
          <w:szCs w:val="24"/>
        </w:rPr>
        <w:t xml:space="preserve">basis as data is aggregated or disaggregated. However, the nesting </w:t>
      </w:r>
      <w:r w:rsidR="00695A95">
        <w:rPr>
          <w:rFonts w:ascii="Times New Roman" w:hAnsi="Times New Roman" w:cs="Times New Roman"/>
          <w:sz w:val="24"/>
          <w:szCs w:val="24"/>
        </w:rPr>
        <w:t>of</w:t>
      </w:r>
      <w:r w:rsidR="002E05B0">
        <w:rPr>
          <w:rFonts w:ascii="Times New Roman" w:hAnsi="Times New Roman" w:cs="Times New Roman"/>
          <w:sz w:val="24"/>
          <w:szCs w:val="24"/>
        </w:rPr>
        <w:t xml:space="preserve"> geographies does not address the arbitrary, or sometimes instrumental, nature of the people and organizations </w:t>
      </w:r>
      <w:r w:rsidR="002E05B0">
        <w:rPr>
          <w:rFonts w:ascii="Times New Roman" w:hAnsi="Times New Roman" w:cs="Times New Roman"/>
          <w:sz w:val="24"/>
          <w:szCs w:val="24"/>
        </w:rPr>
        <w:lastRenderedPageBreak/>
        <w:t xml:space="preserve">who drew the boundaries. This portion of the modifiable areal problem, the goals and whims of the boundary makers, </w:t>
      </w:r>
      <w:r w:rsidR="00E323EB">
        <w:rPr>
          <w:rFonts w:ascii="Times New Roman" w:hAnsi="Times New Roman" w:cs="Times New Roman"/>
          <w:sz w:val="24"/>
          <w:szCs w:val="24"/>
        </w:rPr>
        <w:t>“</w:t>
      </w:r>
      <w:r w:rsidR="00E323EB" w:rsidRPr="00E323EB">
        <w:rPr>
          <w:rFonts w:ascii="Times New Roman" w:hAnsi="Times New Roman" w:cs="Times New Roman"/>
          <w:sz w:val="24"/>
          <w:szCs w:val="24"/>
        </w:rPr>
        <w:t>is ever-present</w:t>
      </w:r>
      <w:r w:rsidR="00E323EB">
        <w:rPr>
          <w:rFonts w:ascii="Times New Roman" w:hAnsi="Times New Roman" w:cs="Times New Roman"/>
          <w:sz w:val="24"/>
          <w:szCs w:val="24"/>
        </w:rPr>
        <w:t>”</w:t>
      </w:r>
      <w:r w:rsidR="0057048E">
        <w:rPr>
          <w:rFonts w:ascii="Times New Roman" w:hAnsi="Times New Roman" w:cs="Times New Roman"/>
          <w:sz w:val="24"/>
          <w:szCs w:val="24"/>
        </w:rPr>
        <w:t xml:space="preserve"> </w:t>
      </w:r>
      <w:r w:rsidR="00FE1ED8">
        <w:rPr>
          <w:rFonts w:ascii="Times New Roman" w:hAnsi="Times New Roman" w:cs="Times New Roman"/>
          <w:sz w:val="24"/>
          <w:szCs w:val="24"/>
        </w:rPr>
        <w:t xml:space="preserve"> </w:t>
      </w:r>
      <w:r w:rsidR="00A34129">
        <w:rPr>
          <w:rFonts w:ascii="Times New Roman" w:hAnsi="Times New Roman" w:cs="Times New Roman"/>
          <w:sz w:val="24"/>
          <w:szCs w:val="24"/>
        </w:rPr>
        <w:fldChar w:fldCharType="begin"/>
      </w:r>
      <w:r w:rsidR="00695A95">
        <w:rPr>
          <w:rFonts w:ascii="Times New Roman" w:hAnsi="Times New Roman" w:cs="Times New Roman"/>
          <w:sz w:val="24"/>
          <w:szCs w:val="24"/>
        </w:rPr>
        <w:instrText xml:space="preserve"> ADDIN ZOTERO_ITEM CSL_CITATION {"citationID":"BCzMBc9o","properties":{"formattedCitation":"(Buzzelli 2020)","plainCitation":"(Buzzelli 2020)","noteIndex":0},"citationItems":[{"id":1498,"uris":["http://zotero.org/users/6152647/items/5QCHARAJ"],"itemData":{"id":1498,"type":"article-journal","abstract":"The modifiable areal unit problem, MAUP, is ever-present although not always appreciated. Through real examples, this article outlines the basic causes of MAUP, namely changes in the size, shape, and/or orientation of spatial categories/polygons used to map areal data. The visual effects of changes to mapped data are obvious even though the impacts on our understanding of the world are profound. The article concludes with a discussion of technical and broader strategic approaches for confronting the effects of MAUP on our treatment and interpretation of areal data.","container-title":"International Encyclopedia of Human Geography","DOI":"10.1016/B978-0-08-102295-5.10406-8","journalAbbreviation":"International Encyclopedia of Human Geography","note":"PMID: null\nPMCID: PMC7151983","page":"169-173","source":"PubMed Central","title":"Modifiable Areal Unit Problem","URL":"https://www.ncbi.nlm.nih.gov/pmc/articles/PMC7151983/","author":[{"family":"Buzzelli","given":"Michael"}],"accessed":{"date-parts":[["2025",7,29]]},"issued":{"date-parts":[["2020"]]}}}],"schema":"https://github.com/citation-style-language/schema/raw/master/csl-citation.json"} </w:instrText>
      </w:r>
      <w:r w:rsidR="00A34129">
        <w:rPr>
          <w:rFonts w:ascii="Times New Roman" w:hAnsi="Times New Roman" w:cs="Times New Roman"/>
          <w:sz w:val="24"/>
          <w:szCs w:val="24"/>
        </w:rPr>
        <w:fldChar w:fldCharType="separate"/>
      </w:r>
      <w:r w:rsidR="00695A95" w:rsidRPr="00695A95">
        <w:rPr>
          <w:rFonts w:ascii="Times New Roman" w:hAnsi="Times New Roman" w:cs="Times New Roman"/>
          <w:sz w:val="24"/>
        </w:rPr>
        <w:t>(Buzzelli 2020</w:t>
      </w:r>
      <w:r w:rsidR="00695A95">
        <w:rPr>
          <w:rFonts w:ascii="Times New Roman" w:hAnsi="Times New Roman" w:cs="Times New Roman"/>
          <w:sz w:val="24"/>
        </w:rPr>
        <w:t>:1</w:t>
      </w:r>
      <w:r w:rsidR="00695A95" w:rsidRPr="00695A95">
        <w:rPr>
          <w:rFonts w:ascii="Times New Roman" w:hAnsi="Times New Roman" w:cs="Times New Roman"/>
          <w:sz w:val="24"/>
        </w:rPr>
        <w:t>)</w:t>
      </w:r>
      <w:r w:rsidR="00A34129">
        <w:rPr>
          <w:rFonts w:ascii="Times New Roman" w:hAnsi="Times New Roman" w:cs="Times New Roman"/>
          <w:sz w:val="24"/>
          <w:szCs w:val="24"/>
        </w:rPr>
        <w:fldChar w:fldCharType="end"/>
      </w:r>
    </w:p>
    <w:p w14:paraId="75483CF1" w14:textId="77777777" w:rsidR="00C15347" w:rsidRDefault="0057048E" w:rsidP="0057048E">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Problems arise when trying to aggregate (or disaggregate) into boundaries with messy boundary overlays. For example, because zip codes often straddle county and state lines, it can be hard to know how the characteristics of a county are reflected in a zip code which contains multiple counties. This incongruence between aggregations</w:t>
      </w:r>
      <w:r w:rsidR="00885C5F">
        <w:rPr>
          <w:rFonts w:ascii="Times New Roman" w:hAnsi="Times New Roman" w:cs="Times New Roman"/>
          <w:sz w:val="24"/>
          <w:szCs w:val="24"/>
        </w:rPr>
        <w:t xml:space="preserve"> is called the modifiable area</w:t>
      </w:r>
      <w:r w:rsidR="00923B93">
        <w:rPr>
          <w:rFonts w:ascii="Times New Roman" w:hAnsi="Times New Roman" w:cs="Times New Roman"/>
          <w:sz w:val="24"/>
          <w:szCs w:val="24"/>
        </w:rPr>
        <w:t>l unit</w:t>
      </w:r>
      <w:r w:rsidR="00885C5F">
        <w:rPr>
          <w:rFonts w:ascii="Times New Roman" w:hAnsi="Times New Roman" w:cs="Times New Roman"/>
          <w:sz w:val="24"/>
          <w:szCs w:val="24"/>
        </w:rPr>
        <w:t xml:space="preserve"> problem and</w:t>
      </w:r>
      <w:r>
        <w:rPr>
          <w:rFonts w:ascii="Times New Roman" w:hAnsi="Times New Roman" w:cs="Times New Roman"/>
          <w:sz w:val="24"/>
          <w:szCs w:val="24"/>
        </w:rPr>
        <w:t xml:space="preserve">, when ignored, </w:t>
      </w:r>
      <w:r w:rsidR="00885C5F">
        <w:rPr>
          <w:rFonts w:ascii="Times New Roman" w:hAnsi="Times New Roman" w:cs="Times New Roman"/>
          <w:sz w:val="24"/>
          <w:szCs w:val="24"/>
        </w:rPr>
        <w:t>leads to the</w:t>
      </w:r>
      <w:r>
        <w:rPr>
          <w:rFonts w:ascii="Times New Roman" w:hAnsi="Times New Roman" w:cs="Times New Roman"/>
          <w:sz w:val="24"/>
          <w:szCs w:val="24"/>
        </w:rPr>
        <w:t xml:space="preserve"> ecological fallacy</w:t>
      </w:r>
      <w:r w:rsidR="00C70E0B">
        <w:rPr>
          <w:rFonts w:ascii="Times New Roman" w:hAnsi="Times New Roman" w:cs="Times New Roman"/>
          <w:sz w:val="24"/>
          <w:szCs w:val="24"/>
        </w:rPr>
        <w:t xml:space="preserve"> or the assumption that characteristics of an aggregate will hold for individuals and vice versa</w:t>
      </w:r>
      <w:r w:rsidR="00885C5F">
        <w:rPr>
          <w:rFonts w:ascii="Times New Roman" w:hAnsi="Times New Roman" w:cs="Times New Roman"/>
          <w:sz w:val="24"/>
          <w:szCs w:val="24"/>
        </w:rPr>
        <w:t>.</w:t>
      </w:r>
    </w:p>
    <w:p w14:paraId="11841B89" w14:textId="77777777" w:rsidR="00336CAB" w:rsidRDefault="00C15347" w:rsidP="00885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Migration researchers often use individual level data where </w:t>
      </w:r>
      <w:r w:rsidR="00E85CA0">
        <w:rPr>
          <w:rFonts w:ascii="Times New Roman" w:hAnsi="Times New Roman" w:cs="Times New Roman"/>
          <w:sz w:val="24"/>
          <w:szCs w:val="24"/>
        </w:rPr>
        <w:t>a respondent’s geography</w:t>
      </w:r>
      <w:r>
        <w:rPr>
          <w:rFonts w:ascii="Times New Roman" w:hAnsi="Times New Roman" w:cs="Times New Roman"/>
          <w:sz w:val="24"/>
          <w:szCs w:val="24"/>
        </w:rPr>
        <w:t xml:space="preserve"> noted</w:t>
      </w:r>
      <w:r w:rsidR="00FE252E">
        <w:rPr>
          <w:rFonts w:ascii="Times New Roman" w:hAnsi="Times New Roman" w:cs="Times New Roman"/>
          <w:sz w:val="24"/>
          <w:szCs w:val="24"/>
        </w:rPr>
        <w:t xml:space="preserve"> and used in modeling later</w:t>
      </w:r>
      <w:r>
        <w:rPr>
          <w:rFonts w:ascii="Times New Roman" w:hAnsi="Times New Roman" w:cs="Times New Roman"/>
          <w:sz w:val="24"/>
          <w:szCs w:val="24"/>
        </w:rPr>
        <w:t xml:space="preserve">. This </w:t>
      </w:r>
      <w:r w:rsidR="00E85CA0">
        <w:rPr>
          <w:rFonts w:ascii="Times New Roman" w:hAnsi="Times New Roman" w:cs="Times New Roman"/>
          <w:sz w:val="24"/>
          <w:szCs w:val="24"/>
        </w:rPr>
        <w:t>approach is widely used</w:t>
      </w:r>
      <w:r w:rsidR="00FE252E">
        <w:rPr>
          <w:rFonts w:ascii="Times New Roman" w:hAnsi="Times New Roman" w:cs="Times New Roman"/>
          <w:sz w:val="24"/>
          <w:szCs w:val="24"/>
        </w:rPr>
        <w:t>, especially in multilevel modeling</w:t>
      </w:r>
      <w:r w:rsidR="00E85CA0">
        <w:rPr>
          <w:rFonts w:ascii="Times New Roman" w:hAnsi="Times New Roman" w:cs="Times New Roman"/>
          <w:sz w:val="24"/>
          <w:szCs w:val="24"/>
        </w:rPr>
        <w:t xml:space="preserve"> </w:t>
      </w:r>
      <w:r w:rsidR="00E85CA0">
        <w:rPr>
          <w:rFonts w:ascii="Times New Roman" w:hAnsi="Times New Roman" w:cs="Times New Roman"/>
          <w:sz w:val="24"/>
          <w:szCs w:val="24"/>
        </w:rPr>
        <w:fldChar w:fldCharType="begin"/>
      </w:r>
      <w:r w:rsidR="00FE252E">
        <w:rPr>
          <w:rFonts w:ascii="Times New Roman" w:hAnsi="Times New Roman" w:cs="Times New Roman"/>
          <w:sz w:val="24"/>
          <w:szCs w:val="24"/>
        </w:rPr>
        <w:instrText xml:space="preserve"> ADDIN ZOTERO_ITEM CSL_CITATION {"citationID":"W3QCbyFW","properties":{"formattedCitation":"(Garson 2019; Khaw et al. 2021; Zhou et al. 2022)","plainCitation":"(Garson 2019; Khaw et al. 2021; Zhou et al. 2022)","noteIndex":0},"citationItems":[{"id":675,"uris":["http://zotero.org/users/6152647/items/ZWXPMD3P"],"itemData":{"id":675,"type":"book","edition":"1st edition","event-place":"Los Angeles","ISBN":"978-1-5443-1929-2","language":"English","number-of-pages":"552","publisher":"SAGE Publications, Inc","publisher-place":"Los Angeles","source":"Amazon","title":"Multilevel Modeling: Applications in STATA®, IBM® SPSS®, SAS®, R, &amp; HLM™","title-short":"Multilevel Modeling","author":[{"family":"Garson","given":"George David"}],"issued":{"date-parts":[["2019",9,10]]}}},{"id":1248,"uris":["http://zotero.org/users/6152647/items/XBV5KGG2"],"itemData":{"id":1248,"type":"article-journal","abstract":"Purpose This study aims to identify the intentions of immigrant entrepreneurs to start new projects by investigating the role of influence of institutional support, social context, cultural intelligence, self-efficacy, optimizing personality traits and hierarchy legitimacy on intentions to start new ventures. In addition, the strength of the relationship for such factors and intentions to start new ventures was determined through the moderator role of easy access to venture capital. Design/methodology/approach To this end, this study complements the academic literature by integrating the structural equation modeling (SEM) and multiple-criteria decision-making (MCDM) techniques. Thus, the MCDM (i.e. analytic hierarchy process and vlsekriterijumska optimizcija i kaompromisno resenje [VIKOR]) is an effective approach to solving the problem of complexity and evaluation (i.e. multiple evaluation criteria, important criteria and data variation). Hence, to complete the strategic guideline solution, this study uses a survey for collecting data from 202 immigrants in Malaysia, Pakistan, Nigeria and Singapore. Findings The results from SEM prove several critical factors of immigrants’ entrepreneurs. These factors of immigrants’ entrepreneurs can be vital for academics and host countries. By focusing on these aspects and by developing some personality traits (such as self-efficacy and optimal personality traits), these factors can contribute a good deal to increasing the capabilities of immigrant’s entrepreneurs toward entrepreneurial intentions. In the validation, the statistical objective method indicates that the immigrants' prioritizations in all countries are supported by the systematic ranking. Thus, entrepreneurial intentions for immigrants can pursue the order proven by the VIKOR results. Research limitations/implications This study has some significant practical and theoretical implications. Practically, the study findings will enable managers to develop strategies to support immigrants for entrepreneurial intentions to start new ventures. Originality/value The novelty of the context under given circumstances of global environment adds to the originality of this study. Several previous studies have also emphasized the need for this type of study in other contexts. The findings can call managers’ attention toward a critical issue of immigrants’ entrepreneurial intentions to start new ventures.","container-title":"Journal of Entrepreneurship in Emerging Economies","DOI":"10.1108/JEEE-04-2021-0141","ISSN":"2053-4604","issue":"3","note":"publisher: Emerald Publishing Limited","page":"589-634","source":"Emerald Insight","title":"Influence of generational status on immigrants’ entrepreneurial intentions to start new ventures: a framework based on structural equation modeling and multicriteria decision-making","title-short":"Influence of generational status on immigrants’ entrepreneurial intentions to start new ventures","URL":"https://doi.org/10.1108/JEEE-04-2021-0141","volume":"15","author":[{"family":"Khaw","given":"Khai Wah"},{"family":"Thurasamy","given":"Ramayah"},{"family":"Al-Abrrow","given":"Hadi"},{"family":"Alnoor","given":"Alhamzah"},{"family":"Tiberius","given":"Victor"},{"family":"Abdullah","given":"Hasan Oudah"},{"family":"Abbas","given":"Sammar"}],"accessed":{"date-parts":[["2024",8,7]]},"issued":{"date-parts":[["2021",1,1]]}}},{"id":647,"uris":["http://zotero.org/users/6152647/items/2M8M8KAV"],"itemData":{"id":647,"type":"article-journal","abstract":"Social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sidR="00E85CA0">
        <w:rPr>
          <w:rFonts w:ascii="Times New Roman" w:hAnsi="Times New Roman" w:cs="Times New Roman"/>
          <w:sz w:val="24"/>
          <w:szCs w:val="24"/>
        </w:rPr>
        <w:fldChar w:fldCharType="separate"/>
      </w:r>
      <w:r w:rsidR="00FE252E" w:rsidRPr="00FE252E">
        <w:rPr>
          <w:rFonts w:ascii="Times New Roman" w:hAnsi="Times New Roman" w:cs="Times New Roman"/>
          <w:sz w:val="24"/>
        </w:rPr>
        <w:t>(Garson 2019; Khaw et al. 2021; Zhou et al. 2022)</w:t>
      </w:r>
      <w:r w:rsidR="00E85CA0">
        <w:rPr>
          <w:rFonts w:ascii="Times New Roman" w:hAnsi="Times New Roman" w:cs="Times New Roman"/>
          <w:sz w:val="24"/>
          <w:szCs w:val="24"/>
        </w:rPr>
        <w:fldChar w:fldCharType="end"/>
      </w:r>
      <w:r w:rsidR="00FE252E">
        <w:rPr>
          <w:rFonts w:ascii="Times New Roman" w:hAnsi="Times New Roman" w:cs="Times New Roman"/>
          <w:sz w:val="24"/>
          <w:szCs w:val="24"/>
        </w:rPr>
        <w:t>. There are several drawbacks to this approach: 1) Data anonymity is difficult to preserve unless the researcher is only presenting estimates</w:t>
      </w:r>
      <w:r w:rsidR="00317755">
        <w:rPr>
          <w:rFonts w:ascii="Times New Roman" w:hAnsi="Times New Roman" w:cs="Times New Roman"/>
          <w:sz w:val="24"/>
          <w:szCs w:val="24"/>
        </w:rPr>
        <w:t>,</w:t>
      </w:r>
      <w:r w:rsidR="00F82012">
        <w:rPr>
          <w:rFonts w:ascii="Times New Roman" w:hAnsi="Times New Roman" w:cs="Times New Roman"/>
          <w:sz w:val="24"/>
          <w:szCs w:val="24"/>
        </w:rPr>
        <w:t xml:space="preserve"> additionally giving researchers access to respondent’s addresses may be a problem: either for respondents or ethical guidelines.</w:t>
      </w:r>
      <w:r w:rsidR="00FE252E">
        <w:rPr>
          <w:rFonts w:ascii="Times New Roman" w:hAnsi="Times New Roman" w:cs="Times New Roman"/>
          <w:sz w:val="24"/>
          <w:szCs w:val="24"/>
        </w:rPr>
        <w:t xml:space="preserve"> </w:t>
      </w:r>
      <w:r w:rsidR="00317755">
        <w:rPr>
          <w:rFonts w:ascii="Times New Roman" w:hAnsi="Times New Roman" w:cs="Times New Roman"/>
          <w:sz w:val="24"/>
          <w:szCs w:val="24"/>
        </w:rPr>
        <w:t xml:space="preserve">2) There may not be enough data on </w:t>
      </w:r>
      <w:r w:rsidR="007050C2">
        <w:rPr>
          <w:rFonts w:ascii="Times New Roman" w:hAnsi="Times New Roman" w:cs="Times New Roman"/>
          <w:sz w:val="24"/>
          <w:szCs w:val="24"/>
        </w:rPr>
        <w:t xml:space="preserve">each </w:t>
      </w:r>
      <w:r w:rsidR="00317755">
        <w:rPr>
          <w:rFonts w:ascii="Times New Roman" w:hAnsi="Times New Roman" w:cs="Times New Roman"/>
          <w:sz w:val="24"/>
          <w:szCs w:val="24"/>
        </w:rPr>
        <w:t>geography to obtain reasonable estimates, and 3) The processing time for modeling individual level characteristics account</w:t>
      </w:r>
      <w:r w:rsidR="007050C2">
        <w:rPr>
          <w:rFonts w:ascii="Times New Roman" w:hAnsi="Times New Roman" w:cs="Times New Roman"/>
          <w:sz w:val="24"/>
          <w:szCs w:val="24"/>
        </w:rPr>
        <w:t>ing for</w:t>
      </w:r>
      <w:r w:rsidR="00317755">
        <w:rPr>
          <w:rFonts w:ascii="Times New Roman" w:hAnsi="Times New Roman" w:cs="Times New Roman"/>
          <w:sz w:val="24"/>
          <w:szCs w:val="24"/>
        </w:rPr>
        <w:t xml:space="preserve"> the multi-level nature of these interactions often requires a lot of computing power</w:t>
      </w:r>
      <w:r w:rsidR="008F038B">
        <w:rPr>
          <w:rFonts w:ascii="Times New Roman" w:hAnsi="Times New Roman" w:cs="Times New Roman"/>
          <w:sz w:val="24"/>
          <w:szCs w:val="24"/>
        </w:rPr>
        <w:t xml:space="preserve"> </w:t>
      </w:r>
      <w:r w:rsidR="00317755">
        <w:rPr>
          <w:rFonts w:ascii="Times New Roman" w:hAnsi="Times New Roman" w:cs="Times New Roman"/>
          <w:sz w:val="24"/>
          <w:szCs w:val="24"/>
        </w:rPr>
        <w:t xml:space="preserve">. </w:t>
      </w:r>
      <w:r w:rsidR="00F82012">
        <w:rPr>
          <w:rFonts w:ascii="Times New Roman" w:hAnsi="Times New Roman" w:cs="Times New Roman"/>
          <w:sz w:val="24"/>
          <w:szCs w:val="24"/>
        </w:rPr>
        <w:t xml:space="preserve">Researchers have pioneered other methods without these drawbacks. </w:t>
      </w:r>
    </w:p>
    <w:p w14:paraId="58088C8C" w14:textId="77777777" w:rsidR="00336CAB" w:rsidRDefault="00336CAB" w:rsidP="00336CAB">
      <w:pPr>
        <w:spacing w:line="480" w:lineRule="auto"/>
        <w:ind w:firstLine="720"/>
        <w:rPr>
          <w:rFonts w:ascii="Times New Roman" w:hAnsi="Times New Roman" w:cs="Times New Roman"/>
          <w:sz w:val="24"/>
          <w:szCs w:val="24"/>
        </w:rPr>
      </w:pPr>
      <w:r>
        <w:rPr>
          <w:rFonts w:ascii="Times New Roman" w:hAnsi="Times New Roman" w:cs="Times New Roman"/>
          <w:sz w:val="24"/>
          <w:szCs w:val="24"/>
        </w:rPr>
        <w:t>**Need sources above**</w:t>
      </w:r>
    </w:p>
    <w:p w14:paraId="5684AD8A" w14:textId="62FB26B3" w:rsidR="00890607" w:rsidRDefault="00885C5F" w:rsidP="00336C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w:t>
      </w:r>
      <w:r w:rsidR="00EA6845">
        <w:rPr>
          <w:rFonts w:ascii="Times New Roman" w:hAnsi="Times New Roman" w:cs="Times New Roman"/>
          <w:sz w:val="24"/>
          <w:szCs w:val="24"/>
        </w:rPr>
        <w:t>data center</w:t>
      </w:r>
      <w:r>
        <w:rPr>
          <w:rFonts w:ascii="Times New Roman" w:hAnsi="Times New Roman" w:cs="Times New Roman"/>
          <w:sz w:val="24"/>
          <w:szCs w:val="24"/>
        </w:rPr>
        <w:t>s</w:t>
      </w:r>
      <w:r w:rsidR="007050C2">
        <w:rPr>
          <w:rFonts w:ascii="Times New Roman" w:hAnsi="Times New Roman" w:cs="Times New Roman"/>
          <w:sz w:val="24"/>
          <w:szCs w:val="24"/>
        </w:rPr>
        <w:t xml:space="preserve"> address many of these geographic, ethical, and computational problems</w:t>
      </w:r>
      <w:r>
        <w:rPr>
          <w:rFonts w:ascii="Times New Roman" w:hAnsi="Times New Roman" w:cs="Times New Roman"/>
          <w:sz w:val="24"/>
          <w:szCs w:val="24"/>
        </w:rPr>
        <w:t>. R</w:t>
      </w:r>
      <w:r w:rsidR="00EA6845">
        <w:rPr>
          <w:rFonts w:ascii="Times New Roman" w:hAnsi="Times New Roman" w:cs="Times New Roman"/>
          <w:sz w:val="24"/>
          <w:szCs w:val="24"/>
        </w:rPr>
        <w:t xml:space="preserve">esearchers </w:t>
      </w:r>
      <w:r>
        <w:rPr>
          <w:rFonts w:ascii="Times New Roman" w:hAnsi="Times New Roman" w:cs="Times New Roman"/>
          <w:sz w:val="24"/>
          <w:szCs w:val="24"/>
        </w:rPr>
        <w:t>can</w:t>
      </w:r>
      <w:r w:rsidR="00EA6845">
        <w:rPr>
          <w:rFonts w:ascii="Times New Roman" w:hAnsi="Times New Roman" w:cs="Times New Roman"/>
          <w:sz w:val="24"/>
          <w:szCs w:val="24"/>
        </w:rPr>
        <w:t xml:space="preserve"> access microdata,</w:t>
      </w:r>
      <w:r>
        <w:rPr>
          <w:rFonts w:ascii="Times New Roman" w:hAnsi="Times New Roman" w:cs="Times New Roman"/>
          <w:sz w:val="24"/>
          <w:szCs w:val="24"/>
        </w:rPr>
        <w:t xml:space="preserve"> which is not aggregated at all and thus</w:t>
      </w:r>
      <w:r w:rsidR="000A562A">
        <w:rPr>
          <w:rFonts w:ascii="Times New Roman" w:hAnsi="Times New Roman" w:cs="Times New Roman"/>
          <w:sz w:val="24"/>
          <w:szCs w:val="24"/>
        </w:rPr>
        <w:t xml:space="preserve"> theoretically</w:t>
      </w:r>
      <w:r>
        <w:rPr>
          <w:rFonts w:ascii="Times New Roman" w:hAnsi="Times New Roman" w:cs="Times New Roman"/>
          <w:sz w:val="24"/>
          <w:szCs w:val="24"/>
        </w:rPr>
        <w:t xml:space="preserve"> </w:t>
      </w:r>
      <w:r w:rsidR="000A562A">
        <w:rPr>
          <w:rFonts w:ascii="Times New Roman" w:hAnsi="Times New Roman" w:cs="Times New Roman"/>
          <w:sz w:val="24"/>
          <w:szCs w:val="24"/>
        </w:rPr>
        <w:t>sidesteps</w:t>
      </w:r>
      <w:r>
        <w:rPr>
          <w:rFonts w:ascii="Times New Roman" w:hAnsi="Times New Roman" w:cs="Times New Roman"/>
          <w:sz w:val="24"/>
          <w:szCs w:val="24"/>
        </w:rPr>
        <w:t xml:space="preserve"> the modifiable area</w:t>
      </w:r>
      <w:r w:rsidR="00923B93">
        <w:rPr>
          <w:rFonts w:ascii="Times New Roman" w:hAnsi="Times New Roman" w:cs="Times New Roman"/>
          <w:sz w:val="24"/>
          <w:szCs w:val="24"/>
        </w:rPr>
        <w:t>l</w:t>
      </w:r>
      <w:r>
        <w:rPr>
          <w:rFonts w:ascii="Times New Roman" w:hAnsi="Times New Roman" w:cs="Times New Roman"/>
          <w:sz w:val="24"/>
          <w:szCs w:val="24"/>
        </w:rPr>
        <w:t xml:space="preserve"> problem. However, these researchers</w:t>
      </w:r>
      <w:r w:rsidR="00EA6845">
        <w:rPr>
          <w:rFonts w:ascii="Times New Roman" w:hAnsi="Times New Roman" w:cs="Times New Roman"/>
          <w:sz w:val="24"/>
          <w:szCs w:val="24"/>
        </w:rPr>
        <w:t xml:space="preserve"> are</w:t>
      </w:r>
      <w:r w:rsidR="0002087B">
        <w:rPr>
          <w:rFonts w:ascii="Times New Roman" w:hAnsi="Times New Roman" w:cs="Times New Roman"/>
          <w:sz w:val="24"/>
          <w:szCs w:val="24"/>
        </w:rPr>
        <w:t xml:space="preserve"> usually</w:t>
      </w:r>
      <w:r w:rsidR="00EA6845">
        <w:rPr>
          <w:rFonts w:ascii="Times New Roman" w:hAnsi="Times New Roman" w:cs="Times New Roman"/>
          <w:sz w:val="24"/>
          <w:szCs w:val="24"/>
        </w:rPr>
        <w:t xml:space="preserve"> limited by disclosure review board</w:t>
      </w:r>
      <w:r>
        <w:rPr>
          <w:rFonts w:ascii="Times New Roman" w:hAnsi="Times New Roman" w:cs="Times New Roman"/>
          <w:sz w:val="24"/>
          <w:szCs w:val="24"/>
        </w:rPr>
        <w:t>s.</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w:t>
      </w:r>
      <w:r w:rsidR="00784B7C">
        <w:rPr>
          <w:rFonts w:ascii="Times New Roman" w:hAnsi="Times New Roman" w:cs="Times New Roman"/>
          <w:sz w:val="24"/>
          <w:szCs w:val="24"/>
        </w:rPr>
        <w:t xml:space="preserve">ifying </w:t>
      </w:r>
      <w:r w:rsidR="00934BBF">
        <w:rPr>
          <w:rFonts w:ascii="Times New Roman" w:hAnsi="Times New Roman" w:cs="Times New Roman"/>
          <w:sz w:val="24"/>
          <w:szCs w:val="24"/>
        </w:rPr>
        <w:t xml:space="preserve">individual migrants </w:t>
      </w:r>
      <w:r w:rsidR="00934BBF">
        <w:rPr>
          <w:rFonts w:ascii="Times New Roman" w:hAnsi="Times New Roman" w:cs="Times New Roman"/>
          <w:sz w:val="24"/>
          <w:szCs w:val="24"/>
        </w:rPr>
        <w:lastRenderedPageBreak/>
        <w:t>across places,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w:t>
      </w:r>
      <w:r>
        <w:rPr>
          <w:rFonts w:ascii="Times New Roman" w:hAnsi="Times New Roman" w:cs="Times New Roman"/>
          <w:sz w:val="24"/>
          <w:szCs w:val="24"/>
        </w:rPr>
        <w:t xml:space="preserve"> and because of the modifiable area</w:t>
      </w:r>
      <w:r w:rsidR="00923B93">
        <w:rPr>
          <w:rFonts w:ascii="Times New Roman" w:hAnsi="Times New Roman" w:cs="Times New Roman"/>
          <w:sz w:val="24"/>
          <w:szCs w:val="24"/>
        </w:rPr>
        <w:t>l</w:t>
      </w:r>
      <w:r>
        <w:rPr>
          <w:rFonts w:ascii="Times New Roman" w:hAnsi="Times New Roman" w:cs="Times New Roman"/>
          <w:sz w:val="24"/>
          <w:szCs w:val="24"/>
        </w:rPr>
        <w:t xml:space="preserve"> problem and the nesting of</w:t>
      </w:r>
      <w:r w:rsidR="00784B7C">
        <w:rPr>
          <w:rFonts w:ascii="Times New Roman" w:hAnsi="Times New Roman" w:cs="Times New Roman"/>
          <w:sz w:val="24"/>
          <w:szCs w:val="24"/>
        </w:rPr>
        <w:t xml:space="preserve"> smaller</w:t>
      </w:r>
      <w:r>
        <w:rPr>
          <w:rFonts w:ascii="Times New Roman" w:hAnsi="Times New Roman" w:cs="Times New Roman"/>
          <w:sz w:val="24"/>
          <w:szCs w:val="24"/>
        </w:rPr>
        <w:t xml:space="preserve"> Census Bureau geographies into counties and state, these aggregations are usually</w:t>
      </w:r>
      <w:r w:rsidR="00DF4240">
        <w:rPr>
          <w:rFonts w:ascii="Times New Roman" w:hAnsi="Times New Roman" w:cs="Times New Roman"/>
          <w:sz w:val="24"/>
          <w:szCs w:val="24"/>
        </w:rPr>
        <w:t xml:space="preserve"> count</w:t>
      </w:r>
      <w:r>
        <w:rPr>
          <w:rFonts w:ascii="Times New Roman" w:hAnsi="Times New Roman" w:cs="Times New Roman"/>
          <w:sz w:val="24"/>
          <w:szCs w:val="24"/>
        </w:rPr>
        <w:t>ies</w:t>
      </w:r>
      <w:r w:rsidR="00DF4240">
        <w:rPr>
          <w:rFonts w:ascii="Times New Roman" w:hAnsi="Times New Roman" w:cs="Times New Roman"/>
          <w:sz w:val="24"/>
          <w:szCs w:val="24"/>
        </w:rPr>
        <w:t xml:space="preserve"> or state</w:t>
      </w:r>
      <w:r>
        <w:rPr>
          <w:rFonts w:ascii="Times New Roman" w:hAnsi="Times New Roman" w:cs="Times New Roman"/>
          <w:sz w:val="24"/>
          <w:szCs w:val="24"/>
        </w:rPr>
        <w:t>s</w:t>
      </w:r>
      <w:r w:rsidR="00714130">
        <w:rPr>
          <w:rFonts w:ascii="Times New Roman" w:hAnsi="Times New Roman" w:cs="Times New Roman"/>
          <w:sz w:val="24"/>
          <w:szCs w:val="24"/>
        </w:rPr>
        <w:t>.</w:t>
      </w:r>
      <w:r w:rsidR="00784B7C">
        <w:rPr>
          <w:rFonts w:ascii="Times New Roman" w:hAnsi="Times New Roman" w:cs="Times New Roman"/>
          <w:sz w:val="24"/>
          <w:szCs w:val="24"/>
        </w:rPr>
        <w:t xml:space="preserve"> This </w:t>
      </w:r>
      <w:r w:rsidR="000A562A">
        <w:rPr>
          <w:rFonts w:ascii="Times New Roman" w:hAnsi="Times New Roman" w:cs="Times New Roman"/>
          <w:sz w:val="24"/>
          <w:szCs w:val="24"/>
        </w:rPr>
        <w:t xml:space="preserve">protects individual respondents and side steps the largest consequences of the modifiable areal problem. </w:t>
      </w:r>
    </w:p>
    <w:p w14:paraId="59159E47" w14:textId="12316AB3" w:rsidR="007263DF" w:rsidRPr="0002087B" w:rsidRDefault="003A2ADA" w:rsidP="000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theoretical reasons to consider the interactions of aggregates. Because every </w:t>
      </w:r>
      <w:r w:rsidR="00F97102">
        <w:rPr>
          <w:rFonts w:ascii="Times New Roman" w:hAnsi="Times New Roman" w:cs="Times New Roman"/>
          <w:sz w:val="24"/>
          <w:szCs w:val="24"/>
        </w:rPr>
        <w:t xml:space="preserve">migration is a </w:t>
      </w:r>
      <w:r w:rsidR="003F3B21">
        <w:rPr>
          <w:rFonts w:ascii="Times New Roman" w:hAnsi="Times New Roman" w:cs="Times New Roman"/>
          <w:sz w:val="24"/>
          <w:szCs w:val="24"/>
        </w:rPr>
        <w:t>zero-sum</w:t>
      </w:r>
      <w:r w:rsidR="00F97102">
        <w:rPr>
          <w:rFonts w:ascii="Times New Roman" w:hAnsi="Times New Roman" w:cs="Times New Roman"/>
          <w:sz w:val="24"/>
          <w:szCs w:val="24"/>
        </w:rPr>
        <w:t xml:space="preserve"> event</w:t>
      </w:r>
      <w:r w:rsidR="00CA164A">
        <w:rPr>
          <w:rFonts w:ascii="Times New Roman" w:hAnsi="Times New Roman" w:cs="Times New Roman"/>
          <w:sz w:val="24"/>
          <w:szCs w:val="24"/>
        </w:rPr>
        <w:t>,</w:t>
      </w:r>
      <w:r w:rsidR="00F97102">
        <w:rPr>
          <w:rFonts w:ascii="Times New Roman" w:hAnsi="Times New Roman" w:cs="Times New Roman"/>
          <w:sz w:val="24"/>
          <w:szCs w:val="24"/>
        </w:rPr>
        <w:t xml:space="preserve"> origins and destinations are frequently theorized and analyz</w:t>
      </w:r>
      <w:r w:rsidR="005C40A6">
        <w:rPr>
          <w:rFonts w:ascii="Times New Roman" w:hAnsi="Times New Roman" w:cs="Times New Roman"/>
          <w:sz w:val="24"/>
          <w:szCs w:val="24"/>
        </w:rPr>
        <w:t>ed together.</w:t>
      </w:r>
      <w:r w:rsidR="000B3273">
        <w:rPr>
          <w:rFonts w:ascii="Times New Roman" w:hAnsi="Times New Roman" w:cs="Times New Roman"/>
          <w:sz w:val="24"/>
          <w:szCs w:val="24"/>
        </w:rPr>
        <w:t xml:space="preserve"> </w:t>
      </w:r>
      <w:r w:rsidR="00885C5F">
        <w:rPr>
          <w:rFonts w:ascii="Times New Roman" w:hAnsi="Times New Roman" w:cs="Times New Roman"/>
          <w:sz w:val="24"/>
          <w:szCs w:val="24"/>
        </w:rPr>
        <w:t xml:space="preserve">One way to consider the origins and destinations together and handle the aggregation required to respect federal data standards is to create </w:t>
      </w:r>
      <w:r w:rsidR="00714130">
        <w:rPr>
          <w:rFonts w:ascii="Times New Roman" w:hAnsi="Times New Roman" w:cs="Times New Roman"/>
          <w:sz w:val="24"/>
          <w:szCs w:val="24"/>
        </w:rPr>
        <w:t xml:space="preserve">matrixes of migration from these aggregations </w:t>
      </w:r>
      <w:r w:rsidR="00714130">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1E44C7" w:rsidRPr="001E44C7">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r w:rsidR="00885C5F">
        <w:rPr>
          <w:rFonts w:ascii="Times New Roman" w:hAnsi="Times New Roman" w:cs="Times New Roman"/>
          <w:sz w:val="24"/>
          <w:szCs w:val="24"/>
        </w:rPr>
        <w:t>These matrixes often combine the immigrants and emigrants by column and row, with cell counts particular to a specific place, i.e. the net migrants from place</w:t>
      </w:r>
      <w:r w:rsidR="009C667D">
        <w:rPr>
          <w:rFonts w:ascii="Times New Roman" w:hAnsi="Times New Roman" w:cs="Times New Roman"/>
          <w:sz w:val="24"/>
          <w:szCs w:val="24"/>
          <w:vertAlign w:val="subscript"/>
        </w:rPr>
        <w:t>i</w:t>
      </w:r>
      <w:r w:rsidR="009C667D">
        <w:rPr>
          <w:rFonts w:ascii="Times New Roman" w:hAnsi="Times New Roman" w:cs="Times New Roman"/>
          <w:sz w:val="24"/>
          <w:szCs w:val="24"/>
        </w:rPr>
        <w:t xml:space="preserve"> to place</w:t>
      </w:r>
      <w:r w:rsidR="009C667D">
        <w:rPr>
          <w:rFonts w:ascii="Times New Roman" w:hAnsi="Times New Roman" w:cs="Times New Roman"/>
          <w:sz w:val="24"/>
          <w:szCs w:val="24"/>
          <w:vertAlign w:val="subscript"/>
        </w:rPr>
        <w:t>j</w:t>
      </w:r>
      <w:r w:rsidR="00885C5F">
        <w:rPr>
          <w:rFonts w:ascii="Times New Roman" w:hAnsi="Times New Roman" w:cs="Times New Roman"/>
          <w:sz w:val="24"/>
          <w:szCs w:val="24"/>
        </w:rPr>
        <w:t xml:space="preserve"> in column</w:t>
      </w:r>
      <w:r w:rsidR="00885C5F">
        <w:rPr>
          <w:rFonts w:ascii="Times New Roman" w:hAnsi="Times New Roman" w:cs="Times New Roman"/>
          <w:sz w:val="24"/>
          <w:szCs w:val="24"/>
          <w:vertAlign w:val="subscript"/>
        </w:rPr>
        <w:t>i</w:t>
      </w:r>
      <w:r w:rsidR="009C667D">
        <w:rPr>
          <w:rFonts w:ascii="Times New Roman" w:hAnsi="Times New Roman" w:cs="Times New Roman"/>
          <w:sz w:val="24"/>
          <w:szCs w:val="24"/>
        </w:rPr>
        <w:t xml:space="preserve">, </w:t>
      </w:r>
      <w:r w:rsidR="007263DF">
        <w:rPr>
          <w:rFonts w:ascii="Times New Roman" w:hAnsi="Times New Roman" w:cs="Times New Roman"/>
          <w:sz w:val="24"/>
          <w:szCs w:val="24"/>
        </w:rPr>
        <w:t>row</w:t>
      </w:r>
      <w:r w:rsidR="007263DF">
        <w:rPr>
          <w:rFonts w:ascii="Times New Roman" w:hAnsi="Times New Roman" w:cs="Times New Roman"/>
          <w:sz w:val="24"/>
          <w:szCs w:val="24"/>
          <w:vertAlign w:val="subscript"/>
        </w:rPr>
        <w:t>j</w:t>
      </w:r>
      <w:r w:rsidR="007263DF">
        <w:rPr>
          <w:rFonts w:ascii="Times New Roman" w:hAnsi="Times New Roman" w:cs="Times New Roman"/>
          <w:sz w:val="24"/>
          <w:szCs w:val="24"/>
        </w:rPr>
        <w:t>.</w:t>
      </w:r>
      <w:r w:rsidR="0002087B">
        <w:rPr>
          <w:rFonts w:ascii="Times New Roman" w:hAnsi="Times New Roman" w:cs="Times New Roman"/>
          <w:sz w:val="24"/>
          <w:szCs w:val="24"/>
        </w:rPr>
        <w:t xml:space="preserve"> </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4A61914B" w14:textId="55309699" w:rsidR="0007633D" w:rsidRPr="0007633D" w:rsidRDefault="0007633D" w:rsidP="00A365D1">
      <w:pPr>
        <w:spacing w:line="480" w:lineRule="auto"/>
        <w:rPr>
          <w:rFonts w:ascii="Times New Roman" w:hAnsi="Times New Roman" w:cs="Times New Roman"/>
          <w:i/>
          <w:iCs/>
          <w:sz w:val="24"/>
          <w:szCs w:val="24"/>
        </w:rPr>
      </w:pPr>
      <w:r>
        <w:rPr>
          <w:rFonts w:ascii="Times New Roman" w:hAnsi="Times New Roman" w:cs="Times New Roman"/>
          <w:i/>
          <w:iCs/>
          <w:sz w:val="24"/>
          <w:szCs w:val="24"/>
        </w:rPr>
        <w:t>Opera</w:t>
      </w:r>
      <w:r w:rsidR="003A2ADA">
        <w:rPr>
          <w:rFonts w:ascii="Times New Roman" w:hAnsi="Times New Roman" w:cs="Times New Roman"/>
          <w:i/>
          <w:iCs/>
          <w:sz w:val="24"/>
          <w:szCs w:val="24"/>
        </w:rPr>
        <w:t>tionali</w:t>
      </w:r>
      <w:r>
        <w:rPr>
          <w:rFonts w:ascii="Times New Roman" w:hAnsi="Times New Roman" w:cs="Times New Roman"/>
          <w:i/>
          <w:iCs/>
          <w:sz w:val="24"/>
          <w:szCs w:val="24"/>
        </w:rPr>
        <w:t>zation of Time</w:t>
      </w:r>
    </w:p>
    <w:p w14:paraId="6691A5C4" w14:textId="34D40EC8" w:rsidR="00367C16"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2EDF8351" w14:textId="45F3201D" w:rsidR="005C40A6" w:rsidRPr="005C40A6" w:rsidRDefault="005C40A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lastRenderedPageBreak/>
        <w:t>Operationalization of Migrants</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w:t>
      </w:r>
      <w:r w:rsidR="003D6E78">
        <w:rPr>
          <w:rFonts w:ascii="Times New Roman" w:hAnsi="Times New Roman" w:cs="Times New Roman"/>
          <w:sz w:val="24"/>
          <w:szCs w:val="24"/>
        </w:rPr>
        <w:lastRenderedPageBreak/>
        <w:t>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xml:space="preserve">, and many people will have moved more than once in a decade, which prevents researchers from getting an accurate </w:t>
      </w:r>
      <w:r w:rsidR="006D3F50">
        <w:rPr>
          <w:rFonts w:ascii="Times New Roman" w:hAnsi="Times New Roman" w:cs="Times New Roman"/>
          <w:sz w:val="24"/>
          <w:szCs w:val="24"/>
        </w:rPr>
        <w:lastRenderedPageBreak/>
        <w:t>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w:t>
      </w:r>
      <w:r>
        <w:rPr>
          <w:rFonts w:ascii="Times New Roman" w:hAnsi="Times New Roman" w:cs="Times New Roman"/>
          <w:sz w:val="24"/>
          <w:szCs w:val="24"/>
        </w:rPr>
        <w:lastRenderedPageBreak/>
        <w:t xml:space="preserve">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Eyeota, usually with the goal of profiling customers. This information is most often gathered through internet cookies, 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and various interests 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even in projects that require multiple 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3D557A67"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 xml:space="preserve">even when the correct race is listed in primary sources (like voting records) for 96% of </w:t>
      </w:r>
      <w:r w:rsidR="003A7E46">
        <w:rPr>
          <w:rFonts w:ascii="Times New Roman" w:hAnsi="Times New Roman" w:cs="Times New Roman"/>
          <w:sz w:val="24"/>
          <w:szCs w:val="24"/>
        </w:rPr>
        <w:lastRenderedPageBreak/>
        <w:t>the sample, the accuracy for the five datasets range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This example on race reveals a trend seen for religious affiliation or educational attainment: variables that clump around a single variable and have few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297AF161" w:rsidR="0059403D" w:rsidRPr="00B37263"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p>
    <w:p w14:paraId="35E9D29A" w14:textId="168C7997" w:rsidR="008B0A41" w:rsidRPr="008B5152" w:rsidRDefault="0062773C" w:rsidP="00A36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PIKs and PIK variable assignment,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person place assignment</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the locations. The Census Bureau also has a solution for researchers here: the Master Address File has IDentification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008B0A41"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w:t>
      </w:r>
      <w:r w:rsidRPr="008B5152">
        <w:rPr>
          <w:rFonts w:ascii="Times New Roman" w:hAnsi="Times New Roman" w:cs="Times New Roman"/>
          <w:sz w:val="24"/>
          <w:szCs w:val="24"/>
        </w:rPr>
        <w:lastRenderedPageBreak/>
        <w:t xml:space="preserve">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t>METHOD</w:t>
      </w:r>
    </w:p>
    <w:p w14:paraId="6D24B2D7" w14:textId="7703CDB5"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(demoframe)</w:t>
      </w:r>
      <w:r w:rsidR="00FB77AE">
        <w:rPr>
          <w:rFonts w:ascii="Times New Roman" w:hAnsi="Times New Roman" w:cs="Times New Roman"/>
          <w:sz w:val="24"/>
          <w:szCs w:val="24"/>
        </w:rPr>
        <w:t xml:space="preserv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Both methods which utilize the Person Place Table, the business rules approach to person/place matching and the demoframe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demoframe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mafids that were considered valid housing units during the last decennial census. </w:t>
      </w:r>
    </w:p>
    <w:p w14:paraId="465C1743" w14:textId="51C13952"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xml:space="preserve">. They suggest using either </w:t>
      </w:r>
      <w:r w:rsidR="001563D9" w:rsidRPr="003C52A1">
        <w:rPr>
          <w:rFonts w:ascii="Times New Roman" w:hAnsi="Times New Roman" w:cs="Times New Roman"/>
          <w:sz w:val="24"/>
          <w:szCs w:val="24"/>
        </w:rPr>
        <w:lastRenderedPageBreak/>
        <w:t>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demoframe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demoframe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‘not_mafid’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w:t>
      </w:r>
      <w:r w:rsidR="00115629" w:rsidRPr="003D4D8E">
        <w:rPr>
          <w:rFonts w:ascii="Times New Roman" w:hAnsi="Times New Roman" w:cs="Times New Roman"/>
          <w:sz w:val="24"/>
          <w:szCs w:val="24"/>
        </w:rPr>
        <w:lastRenderedPageBreak/>
        <w:t xml:space="preserve">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Decennial Census, and Demoframe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pik/mafid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compare the performance of these various methods, I will analyze the percent match between the 2020 Decennial Census, the Demoframe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demoframe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demoframe extract is a whole-universe accounting like the Decennial Census, we can see if and where people are moving by comparing the three datasets used in the previous analyses (the 2020v3 demoframe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r w:rsidR="00A47F1F">
        <w:rPr>
          <w:rFonts w:ascii="Times New Roman" w:hAnsi="Times New Roman" w:cs="Times New Roman"/>
          <w:sz w:val="24"/>
          <w:szCs w:val="24"/>
        </w:rPr>
        <w:t>spective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demoframe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_two_source</w:t>
            </w:r>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_four_source</w:t>
            </w:r>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_only_sources</w:t>
            </w:r>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_no_vsgi</w:t>
            </w:r>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_unitstat_resstat</w:t>
            </w:r>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w:t>
            </w:r>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_full_prospective</w:t>
            </w:r>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_full_retrospective</w:t>
            </w:r>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36B2641F" w14:textId="549788DA" w:rsidR="008A070B" w:rsidRDefault="00535A6C" w:rsidP="00535A6C">
      <w:pPr>
        <w:spacing w:line="480" w:lineRule="auto"/>
      </w:pPr>
      <w:r>
        <w:tab/>
        <w:t xml:space="preserve">The purpose of this chapter is to connect the first and final chapters. We explore the accuracy of PIK and MAFID assignment in chapter I. In chapter III, I will apply these methods to a </w:t>
      </w:r>
      <w:r w:rsidR="00722271">
        <w:t>hurricane case study. How accurate are migration estimates derived from the business rules 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w:t>
      </w:r>
      <w:r>
        <w:rPr>
          <w:rFonts w:ascii="Times New Roman" w:hAnsi="Times New Roman" w:cs="Times New Roman"/>
          <w:sz w:val="24"/>
          <w:szCs w:val="24"/>
        </w:rPr>
        <w:lastRenderedPageBreak/>
        <w:t xml:space="preserve">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.It asserts that migration is an evolutionary process that changes the origin and destination. The people involved undergo a transformation from migration too, returning with more human and social capital (not to mention the other benefits like income). Migration </w:t>
      </w:r>
      <w:r w:rsidRPr="008B5152">
        <w:rPr>
          <w:rFonts w:ascii="Times New Roman" w:hAnsi="Times New Roman" w:cs="Times New Roman"/>
          <w:sz w:val="24"/>
          <w:szCs w:val="24"/>
        </w:rPr>
        <w:lastRenderedPageBreak/>
        <w:t>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Neoclassical economics does not describe return migration, nor the tendency of humans to organize their economic outputs in collective households (neoclassical economics assumes </w:t>
      </w:r>
      <w:r w:rsidRPr="008B5152">
        <w:rPr>
          <w:rFonts w:ascii="Times New Roman" w:hAnsi="Times New Roman" w:cs="Times New Roman"/>
          <w:sz w:val="24"/>
          <w:szCs w:val="24"/>
        </w:rPr>
        <w:lastRenderedPageBreak/>
        <w:t>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Pr="008B5152"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7F7684AC" w14:textId="302A5B5F" w:rsidR="002E56E2" w:rsidRDefault="002E56E2" w:rsidP="00990251">
      <w:pPr>
        <w:jc w:val="center"/>
      </w:pPr>
      <w:r>
        <w:t xml:space="preserve">Chapter III: </w:t>
      </w:r>
      <w:r w:rsidR="004A6218">
        <w:t>A Hurricane-Migration Case Study</w:t>
      </w:r>
    </w:p>
    <w:p w14:paraId="10CB53EA" w14:textId="69BD1DEE" w:rsidR="004A6218" w:rsidRP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w:t>
      </w:r>
      <w:r>
        <w:rPr>
          <w:rFonts w:ascii="Times New Roman" w:hAnsi="Times New Roman" w:cs="Times New Roman"/>
          <w:sz w:val="24"/>
          <w:szCs w:val="24"/>
        </w:rPr>
        <w:lastRenderedPageBreak/>
        <w:t xml:space="preserve">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55CFC7AE" w14:textId="77777777" w:rsidR="00FE252E" w:rsidRDefault="00A50E41" w:rsidP="00FE252E">
      <w:pPr>
        <w:pStyle w:val="Bibliography"/>
      </w:pPr>
      <w:r>
        <w:fldChar w:fldCharType="begin"/>
      </w:r>
      <w:r w:rsidR="003C52A1">
        <w:instrText xml:space="preserve"> ADDIN ZOTERO_BIBL {"uncited":[],"omitted":[],"custom":[]} CSL_BIBLIOGRAPHY </w:instrText>
      </w:r>
      <w:r>
        <w:fldChar w:fldCharType="separate"/>
      </w:r>
      <w:r w:rsidR="00FE252E">
        <w:t xml:space="preserve">Ambel, Alemayehu, Kevin McGee, and Asmelash Tsegay. 2021. </w:t>
      </w:r>
      <w:r w:rsidR="00FE252E">
        <w:rPr>
          <w:i/>
          <w:iCs/>
        </w:rPr>
        <w:t>Reducing Bias in Phone Survey Samples: Effectiveness of Reweighting Techniques Using Face-to-Face Surveys as Frames in Four African Countries</w:t>
      </w:r>
      <w:r w:rsidR="00FE252E">
        <w:t>. Policy Research Working Papers. The World Bank.</w:t>
      </w:r>
    </w:p>
    <w:p w14:paraId="1F2C36EE" w14:textId="77777777" w:rsidR="00FE252E" w:rsidRDefault="00FE252E" w:rsidP="00FE252E">
      <w:pPr>
        <w:pStyle w:val="Bibliography"/>
      </w:pPr>
      <w:r>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Pr>
          <w:i/>
          <w:iCs/>
        </w:rPr>
        <w:t>Journal of Medical Internet Research</w:t>
      </w:r>
      <w:r>
        <w:t xml:space="preserve"> 26(1):e50421. doi:10.2196/50421.</w:t>
      </w:r>
    </w:p>
    <w:p w14:paraId="7E43FE55" w14:textId="77777777" w:rsidR="00FE252E" w:rsidRDefault="00FE252E" w:rsidP="00FE252E">
      <w:pPr>
        <w:pStyle w:val="Bibliography"/>
      </w:pPr>
      <w:r>
        <w:t xml:space="preserve">Berlemann, Michael, and Max Friedrich Steinhardt. 2017. “Climate Change, Natural Disasters, and Migration—a Survey of the Empirical Evidence.” </w:t>
      </w:r>
      <w:r>
        <w:rPr>
          <w:i/>
          <w:iCs/>
        </w:rPr>
        <w:t>CESifo Economic Studies</w:t>
      </w:r>
      <w:r>
        <w:t xml:space="preserve"> 63(4):353–85. doi:10.1093/cesifo/ifx019.</w:t>
      </w:r>
    </w:p>
    <w:p w14:paraId="1180F3B9" w14:textId="77777777" w:rsidR="00FE252E" w:rsidRDefault="00FE252E" w:rsidP="00FE252E">
      <w:pPr>
        <w:pStyle w:val="Bibliography"/>
      </w:pPr>
      <w:r>
        <w:t>Bijak, Jakub. 2006. “Forecasting International Migration: Selected Theories, Models, and Methods.” http://www.cefmr.pan.pl/docs/cefmr_wp_2006-04.pdf.</w:t>
      </w:r>
    </w:p>
    <w:p w14:paraId="1B12C8F7" w14:textId="77777777" w:rsidR="00FE252E" w:rsidRDefault="00FE252E" w:rsidP="00FE252E">
      <w:pPr>
        <w:pStyle w:val="Bibliography"/>
      </w:pPr>
      <w:r>
        <w:t xml:space="preserve">Bilecen, Başak, Markus Gamper, and Miranda J. Lubbers. 2018. “The Missing Link: Social Network Analysis in Migration and Transnationalism.” </w:t>
      </w:r>
      <w:r>
        <w:rPr>
          <w:i/>
          <w:iCs/>
        </w:rPr>
        <w:t>Social Networks</w:t>
      </w:r>
      <w:r>
        <w:t xml:space="preserve"> 53:1–3. doi:10.1016/j.socnet.2017.07.001.</w:t>
      </w:r>
    </w:p>
    <w:p w14:paraId="3AB46D85" w14:textId="77777777" w:rsidR="00FE252E" w:rsidRDefault="00FE252E" w:rsidP="00FE252E">
      <w:pPr>
        <w:pStyle w:val="Bibliography"/>
      </w:pPr>
      <w:r>
        <w:t xml:space="preserve">Böhme, Marcus H., André Gröger, and Tobias Stöhr. 2020. “Searching for a Better Life: Predicting International Migration with Online Search Keywords.” </w:t>
      </w:r>
      <w:r>
        <w:rPr>
          <w:i/>
          <w:iCs/>
        </w:rPr>
        <w:t>Journal of Development Economics</w:t>
      </w:r>
      <w:r>
        <w:t xml:space="preserve"> 142:102347. doi:10.1016/j.jdeveco.2019.04.002.</w:t>
      </w:r>
    </w:p>
    <w:p w14:paraId="36DA4D3A" w14:textId="77777777" w:rsidR="00FE252E" w:rsidRDefault="00FE252E" w:rsidP="00FE252E">
      <w:pPr>
        <w:pStyle w:val="Bibliography"/>
      </w:pPr>
      <w:r>
        <w:t xml:space="preserve">Bronson, Nathan, Thomas Lento, and Janet L. Wiener. 2015. “Open Data Challenges at Facebook.” Pp. 1516–19 in </w:t>
      </w:r>
      <w:r>
        <w:rPr>
          <w:i/>
          <w:iCs/>
        </w:rPr>
        <w:t>2015 IEEE 31st International Conference on Data Engineering</w:t>
      </w:r>
      <w:r>
        <w:t>.</w:t>
      </w:r>
    </w:p>
    <w:p w14:paraId="6FD16F9A" w14:textId="77777777" w:rsidR="00FE252E" w:rsidRDefault="00FE252E" w:rsidP="00FE252E">
      <w:pPr>
        <w:pStyle w:val="Bibliography"/>
      </w:pPr>
      <w:r>
        <w:t xml:space="preserve">Buzzelli, Michael. 2020. “Modifiable Areal Unit Problem.” </w:t>
      </w:r>
      <w:r>
        <w:rPr>
          <w:i/>
          <w:iCs/>
        </w:rPr>
        <w:t>International Encyclopedia of Human Geography</w:t>
      </w:r>
      <w:r>
        <w:t xml:space="preserve"> 169–73. doi:10.1016/B978-0-08-102295-5.10406-8.</w:t>
      </w:r>
    </w:p>
    <w:p w14:paraId="50B3565D" w14:textId="77777777" w:rsidR="00FE252E" w:rsidRDefault="00FE252E" w:rsidP="00FE252E">
      <w:pPr>
        <w:pStyle w:val="Bibliography"/>
      </w:pPr>
      <w:r>
        <w:t xml:space="preserve">Call, Kathleen Thiede, Michael Davern, Michel Boudreaux, Pamela Jo Johnson, and Justine Nelson. 2011. “Bias in Telephone Surveys That Do Not Sample Cell Phones: Uses and Limits of Poststratification Adjustments.” </w:t>
      </w:r>
      <w:r>
        <w:rPr>
          <w:i/>
          <w:iCs/>
        </w:rPr>
        <w:t>Medical Care</w:t>
      </w:r>
      <w:r>
        <w:t xml:space="preserve"> 49(4):355. doi:10.1097/MLR.0b013e3182028ac7.</w:t>
      </w:r>
    </w:p>
    <w:p w14:paraId="0B050B86" w14:textId="77777777" w:rsidR="00FE252E" w:rsidRDefault="00FE252E" w:rsidP="00FE252E">
      <w:pPr>
        <w:pStyle w:val="Bibliography"/>
      </w:pPr>
      <w:r>
        <w:t>Card, David, Raj Chetty, Martin S. Feldstein, and Emmanuel Saez. 2010. “Expanding Access to Administrative Data for Research in the United States.”</w:t>
      </w:r>
    </w:p>
    <w:p w14:paraId="5B97D012" w14:textId="77777777" w:rsidR="00FE252E" w:rsidRDefault="00FE252E" w:rsidP="00FE252E">
      <w:pPr>
        <w:pStyle w:val="Bibliography"/>
      </w:pPr>
      <w:r>
        <w:t xml:space="preserve">Craig, Jean B., Joan M. Culley, Jane Richter, Erik R. Svendsen, and Sara Donevant. 2018. “Data Capture and Analysis of Signs and Symptoms in a Chemically Exposed Population.” </w:t>
      </w:r>
      <w:r>
        <w:rPr>
          <w:i/>
          <w:iCs/>
        </w:rPr>
        <w:t>Journal of Informatics Nursing</w:t>
      </w:r>
      <w:r>
        <w:t xml:space="preserve"> 3(3):10–15.</w:t>
      </w:r>
    </w:p>
    <w:p w14:paraId="6A162BD0" w14:textId="77777777" w:rsidR="00FE252E" w:rsidRDefault="00FE252E" w:rsidP="00FE252E">
      <w:pPr>
        <w:pStyle w:val="Bibliography"/>
      </w:pPr>
      <w:r>
        <w:t xml:space="preserve">Craig, Jean B., Joan M. Culley, Abbas Tavakoli, and Erik R. Svendsen. 2013. “Gleaning Data From Disaster: A Hospital-Based Data Mining Method To Studying All-Hazard Triage After A </w:t>
      </w:r>
      <w:r>
        <w:lastRenderedPageBreak/>
        <w:t xml:space="preserve">Chemical Disaster.” </w:t>
      </w:r>
      <w:r>
        <w:rPr>
          <w:i/>
          <w:iCs/>
        </w:rPr>
        <w:t>American Journal of Disaster Medicine</w:t>
      </w:r>
      <w:r>
        <w:t xml:space="preserve"> 8(2):97–111. doi:10.5055/ajdm.2013.0116.</w:t>
      </w:r>
    </w:p>
    <w:p w14:paraId="6F9BAC44" w14:textId="77777777" w:rsidR="00FE252E" w:rsidRDefault="00FE252E" w:rsidP="00FE252E">
      <w:pPr>
        <w:pStyle w:val="Bibliography"/>
      </w:pPr>
      <w:r>
        <w:t xml:space="preserve">Curtis, Katherine, Elizabeth Fussell, and Jack DeWaard. 2015. “Recovery Migration after Hurricanes Katrina and Rita: Spatial Concentration and Intensification in the Migration System.” </w:t>
      </w:r>
      <w:r>
        <w:rPr>
          <w:i/>
          <w:iCs/>
        </w:rPr>
        <w:t>Demography</w:t>
      </w:r>
      <w:r>
        <w:t xml:space="preserve"> 52(4):1269–93. doi:10.1007/s13524-015-0400-7.</w:t>
      </w:r>
    </w:p>
    <w:p w14:paraId="422CA783" w14:textId="77777777" w:rsidR="00FE252E" w:rsidRDefault="00FE252E" w:rsidP="00FE252E">
      <w:pPr>
        <w:pStyle w:val="Bibliography"/>
      </w:pPr>
      <w:r>
        <w:t>Demographic Frame Team. 2025. “Demographic Frame Extract Notes- 2023v1.”</w:t>
      </w:r>
    </w:p>
    <w:p w14:paraId="46231B57" w14:textId="77777777" w:rsidR="00FE252E" w:rsidRDefault="00FE252E" w:rsidP="00FE252E">
      <w:pPr>
        <w:pStyle w:val="Bibliography"/>
      </w:pPr>
      <w:r>
        <w:t>Devine, Jason, Spader Jonathan, and King Ryan. 2021. “2020 Census Data Review.” https://www.census.gov/newsroom/blogs/random-samplings/2021/04/2020-census-data-review.html.</w:t>
      </w:r>
    </w:p>
    <w:p w14:paraId="4BDCAEC6" w14:textId="77777777" w:rsidR="00FE252E" w:rsidRDefault="00FE252E" w:rsidP="00FE252E">
      <w:pPr>
        <w:pStyle w:val="Bibliography"/>
      </w:pPr>
      <w:r>
        <w:t xml:space="preserve">Faist, Thomas. 2015. “Transnational Social Spaces.” </w:t>
      </w:r>
      <w:r>
        <w:rPr>
          <w:i/>
          <w:iCs/>
        </w:rPr>
        <w:t>Ethnic and Racial Studies</w:t>
      </w:r>
      <w:r>
        <w:t xml:space="preserve"> 38(13):2271–74. doi:10.1080/01419870.2015.1058502.</w:t>
      </w:r>
    </w:p>
    <w:p w14:paraId="6C29B76C" w14:textId="77777777" w:rsidR="00FE252E" w:rsidRDefault="00FE252E" w:rsidP="00FE252E">
      <w:pPr>
        <w:pStyle w:val="Bibliography"/>
      </w:pPr>
      <w:r>
        <w:t xml:space="preserve">Feliciano, Cynthia, and Yader R. Lanuza. 2017. “An Immigrant Paradox? Contextual Attainment and Intergenerational Educational Mobility.” </w:t>
      </w:r>
      <w:r>
        <w:rPr>
          <w:i/>
          <w:iCs/>
        </w:rPr>
        <w:t>American Sociological Review</w:t>
      </w:r>
      <w:r>
        <w:t xml:space="preserve"> 82(1):211–41. doi:10.1177/0003122416684777.</w:t>
      </w:r>
    </w:p>
    <w:p w14:paraId="176E8DBE" w14:textId="77777777" w:rsidR="00FE252E" w:rsidRDefault="00FE252E" w:rsidP="00FE252E">
      <w:pPr>
        <w:pStyle w:val="Bibliography"/>
      </w:pPr>
      <w:r>
        <w:t xml:space="preserve">Fussell, Elizabeth, and Douglas S. Massey. 2004. “The Limits to Cumulative Causation: International Migration from Mexican Urban Areas.” </w:t>
      </w:r>
      <w:r>
        <w:rPr>
          <w:i/>
          <w:iCs/>
        </w:rPr>
        <w:t>Demography</w:t>
      </w:r>
      <w:r>
        <w:t xml:space="preserve"> 41(1):151–71. https://www.jstor.org/stable/1515217.</w:t>
      </w:r>
    </w:p>
    <w:p w14:paraId="07406DE5" w14:textId="77777777" w:rsidR="00FE252E" w:rsidRDefault="00FE252E" w:rsidP="00FE252E">
      <w:pPr>
        <w:pStyle w:val="Bibliography"/>
      </w:pPr>
      <w:r>
        <w:t xml:space="preserve">Garson, George David. 2019. </w:t>
      </w:r>
      <w:r>
        <w:rPr>
          <w:i/>
          <w:iCs/>
        </w:rPr>
        <w:t>Multilevel Modeling: Applications in STATA®, IBM® SPSS®, SAS®, R, &amp; HLM</w:t>
      </w:r>
      <w:r>
        <w:rPr>
          <w:i/>
          <w:iCs/>
          <w:vertAlign w:val="superscript"/>
        </w:rPr>
        <w:t>TM</w:t>
      </w:r>
      <w:r>
        <w:t>. 1st edition. Los Angeles: SAGE Publications, Inc.</w:t>
      </w:r>
    </w:p>
    <w:p w14:paraId="4DC4A2B0" w14:textId="77777777" w:rsidR="00FE252E" w:rsidRDefault="00FE252E" w:rsidP="00FE252E">
      <w:pPr>
        <w:pStyle w:val="Bibliography"/>
      </w:pPr>
      <w:r>
        <w:t xml:space="preserve">Gourlay, Sydney, Talip Kilic, Antonio Martuscelli, Philip Wollburg, and Alberto Zezza. 2021. “Viewpoint: High-Frequency Phone Surveys on COVID-19: Good Practices, Open Questions.” </w:t>
      </w:r>
      <w:r>
        <w:rPr>
          <w:i/>
          <w:iCs/>
        </w:rPr>
        <w:t>Food Policy</w:t>
      </w:r>
      <w:r>
        <w:t xml:space="preserve"> 105:102153. doi:10.1016/j.foodpol.2021.102153.</w:t>
      </w:r>
    </w:p>
    <w:p w14:paraId="0BA21222" w14:textId="77777777" w:rsidR="00FE252E" w:rsidRDefault="00FE252E" w:rsidP="00FE252E">
      <w:pPr>
        <w:pStyle w:val="Bibliography"/>
      </w:pPr>
      <w:r>
        <w:t xml:space="preserve">Harron, Katie, Chris Dibben, James Boyd, Anders Hjern, Mahmoud Azimaee, Mauricio L. Barreto, and Harvey Goldstein. 2017. “Challenges in Administrative Data Linkage for Research.” </w:t>
      </w:r>
      <w:r>
        <w:rPr>
          <w:i/>
          <w:iCs/>
        </w:rPr>
        <w:t>Big Data &amp; Society</w:t>
      </w:r>
      <w:r>
        <w:t xml:space="preserve"> 4(2):2053951717745678. doi:10.1177/2053951717745678.</w:t>
      </w:r>
    </w:p>
    <w:p w14:paraId="639E4DCF" w14:textId="77777777" w:rsidR="00FE252E" w:rsidRDefault="00FE252E" w:rsidP="00FE252E">
      <w:pPr>
        <w:pStyle w:val="Bibliography"/>
      </w:pPr>
      <w:r>
        <w:t>Hauer, Mathew, and James Byars. 2019. “IRS County-to-County Migration Data, 1990</w:t>
      </w:r>
      <w:r>
        <w:rPr>
          <w:rFonts w:ascii="Arial" w:hAnsi="Arial" w:cs="Arial"/>
        </w:rPr>
        <w:t>‒</w:t>
      </w:r>
      <w:r>
        <w:t>2010.</w:t>
      </w:r>
      <w:r>
        <w:rPr>
          <w:rFonts w:ascii="Aptos" w:hAnsi="Aptos" w:cs="Aptos"/>
        </w:rPr>
        <w:t>”</w:t>
      </w:r>
      <w:r>
        <w:t xml:space="preserve"> </w:t>
      </w:r>
      <w:r>
        <w:rPr>
          <w:i/>
          <w:iCs/>
        </w:rPr>
        <w:t>Demographic Research</w:t>
      </w:r>
      <w:r>
        <w:t xml:space="preserve"> 40:1153–66. https://www.demographic-research.org/articles/volume/40/40.</w:t>
      </w:r>
    </w:p>
    <w:p w14:paraId="4B1BE586" w14:textId="77777777" w:rsidR="00FE252E" w:rsidRDefault="00FE252E" w:rsidP="00FE252E">
      <w:pPr>
        <w:pStyle w:val="Bibliography"/>
      </w:pPr>
      <w:r>
        <w:t xml:space="preserve">Hauer, Mathew E., Steven R. Holloway, and Takashi Oda. 2020. “Evacuees and Migrants Exhibit Different Migration Systems After the Great East Japan Earthquake and Tsunami.” </w:t>
      </w:r>
      <w:r>
        <w:rPr>
          <w:i/>
          <w:iCs/>
        </w:rPr>
        <w:t>Demography</w:t>
      </w:r>
      <w:r>
        <w:t xml:space="preserve"> 57(4):1437–57. doi:10.1007/s13524-020-00883-7.</w:t>
      </w:r>
    </w:p>
    <w:p w14:paraId="08413208" w14:textId="77777777" w:rsidR="00FE252E" w:rsidRDefault="00FE252E" w:rsidP="00FE252E">
      <w:pPr>
        <w:pStyle w:val="Bibliography"/>
      </w:pPr>
      <w:r>
        <w:t>Johnson, Roger, Justin Bland, and Charles Coleman. 2008. “Impacts of the 2005 Gulf Coast Hurricanes on Domestic Migration The U.S. Census Bureau’s Response.”</w:t>
      </w:r>
    </w:p>
    <w:p w14:paraId="4829030B" w14:textId="77777777" w:rsidR="00FE252E" w:rsidRDefault="00FE252E" w:rsidP="00FE252E">
      <w:pPr>
        <w:pStyle w:val="Bibliography"/>
      </w:pPr>
      <w:r>
        <w:t xml:space="preserve">Khaw, Khai Wah, Ramayah Thurasamy, Hadi Al-Abrrow, Alhamzah Alnoor, Victor Tiberius, Hasan Oudah Abdullah, and Sammar Abbas. 2021. “Influence of Generational Status on Immigrants’ Entrepreneurial Intentions to Start New Ventures: A Framework Based on </w:t>
      </w:r>
      <w:r>
        <w:lastRenderedPageBreak/>
        <w:t xml:space="preserve">Structural Equation Modeling and Multicriteria Decision-Making.” </w:t>
      </w:r>
      <w:r>
        <w:rPr>
          <w:i/>
          <w:iCs/>
        </w:rPr>
        <w:t>Journal of Entrepreneurship in Emerging Economies</w:t>
      </w:r>
      <w:r>
        <w:t xml:space="preserve"> 15(3):589–634. doi:10.1108/JEEE-04-2021-0141.</w:t>
      </w:r>
    </w:p>
    <w:p w14:paraId="6866A84B" w14:textId="77777777" w:rsidR="00FE252E" w:rsidRDefault="00FE252E" w:rsidP="00FE252E">
      <w:pPr>
        <w:pStyle w:val="Bibliography"/>
      </w:pPr>
      <w:r>
        <w:t xml:space="preserve">Lathan, Hannah Stuart, Amy Kwan, Courtney Takats, Joshua P. Tanner, Rachel Wormer, Diana Romero, and Heidi E. Jones. 2023. “Ethical Considerations and Methodological Uses of Facebook Data in Public Health Research: A Systematic Review.” </w:t>
      </w:r>
      <w:r>
        <w:rPr>
          <w:i/>
          <w:iCs/>
        </w:rPr>
        <w:t>Social Science &amp; Medicine</w:t>
      </w:r>
      <w:r>
        <w:t xml:space="preserve"> 322:115807. doi:10.1016/j.socscimed.2023.115807.</w:t>
      </w:r>
    </w:p>
    <w:p w14:paraId="45532348" w14:textId="77777777" w:rsidR="00FE252E" w:rsidRDefault="00FE252E" w:rsidP="00FE252E">
      <w:pPr>
        <w:pStyle w:val="Bibliography"/>
      </w:pPr>
      <w:r>
        <w:t>Layne, Mary, Deborah Wagner, and Cynthia Rothhaas. 2014. “Estimating Record Linkage False Match Rate for the Person Identification Validation System.”</w:t>
      </w:r>
    </w:p>
    <w:p w14:paraId="217D596D" w14:textId="77777777" w:rsidR="00FE252E" w:rsidRDefault="00FE252E" w:rsidP="00FE252E">
      <w:pPr>
        <w:pStyle w:val="Bibliography"/>
      </w:pPr>
      <w:r>
        <w:t xml:space="preserve">Lee, Everett S. 1966. “A Theory of Migration.” </w:t>
      </w:r>
      <w:r>
        <w:rPr>
          <w:i/>
          <w:iCs/>
        </w:rPr>
        <w:t>Demography</w:t>
      </w:r>
      <w:r>
        <w:t xml:space="preserve"> 3(1):47–57. doi:10.2307/2060063.</w:t>
      </w:r>
    </w:p>
    <w:p w14:paraId="60DC5D06" w14:textId="77777777" w:rsidR="00FE252E" w:rsidRDefault="00FE252E" w:rsidP="00FE252E">
      <w:pPr>
        <w:pStyle w:val="Bibliography"/>
      </w:pPr>
      <w:r>
        <w:t>Linden, Thomas, Rishabh Khandelwal, Hamza Harkous, and Kassem Fawaz. 2019. “The Privacy Policy Landscape After the GDPR.”</w:t>
      </w:r>
    </w:p>
    <w:p w14:paraId="00E99264" w14:textId="77777777" w:rsidR="00FE252E" w:rsidRDefault="00FE252E" w:rsidP="00FE252E">
      <w:pPr>
        <w:pStyle w:val="Bibliography"/>
      </w:pPr>
      <w:r>
        <w:t xml:space="preserve">Markovikj, Dejan, Sonja Gievska, Michal Kosinski, and David Stillwell. 2013. “Mining Facebook Data for Predictive Personality Modeling.” </w:t>
      </w:r>
      <w:r>
        <w:rPr>
          <w:i/>
          <w:iCs/>
        </w:rPr>
        <w:t>Proceedings of the International AAAI Conference on Web and Social Media</w:t>
      </w:r>
      <w:r>
        <w:t xml:space="preserve"> 7(2):23–26. doi:10.1609/icwsm.v7i2.14466.</w:t>
      </w:r>
    </w:p>
    <w:p w14:paraId="1BA1A653" w14:textId="77777777" w:rsidR="00FE252E" w:rsidRDefault="00FE252E" w:rsidP="00FE252E">
      <w:pPr>
        <w:pStyle w:val="Bibliography"/>
      </w:pPr>
      <w:r>
        <w:t xml:space="preserve">Massey, Douglas S. 1990. “Social Structure, Household Strategies, and the Cumulative Causation of Migration.” </w:t>
      </w:r>
      <w:r>
        <w:rPr>
          <w:i/>
          <w:iCs/>
        </w:rPr>
        <w:t>Population Index</w:t>
      </w:r>
      <w:r>
        <w:t xml:space="preserve"> 56(1):3–26. doi:10.2307/3644186.</w:t>
      </w:r>
    </w:p>
    <w:p w14:paraId="23768723" w14:textId="77777777" w:rsidR="00FE252E" w:rsidRDefault="00FE252E" w:rsidP="00FE252E">
      <w:pPr>
        <w:pStyle w:val="Bibliography"/>
      </w:pPr>
      <w:r>
        <w:t xml:space="preserve">Massey, Douglas S. 2015. “A Missing Element in Migration Theories.” </w:t>
      </w:r>
      <w:r>
        <w:rPr>
          <w:i/>
          <w:iCs/>
        </w:rPr>
        <w:t>Migration Letters</w:t>
      </w:r>
      <w:r>
        <w:t xml:space="preserve"> 12(3):279–99. doi:10.59670/ml.v12i3.280.</w:t>
      </w:r>
    </w:p>
    <w:p w14:paraId="152B058C" w14:textId="77777777" w:rsidR="00FE252E" w:rsidRDefault="00FE252E" w:rsidP="00FE252E">
      <w:pPr>
        <w:pStyle w:val="Bibliography"/>
      </w:pPr>
      <w:r>
        <w:t xml:space="preserve">Massey, Douglas S., Joaquín Arango, Graeme Hugo, Ali Kouaouci, Adela Pellegrino, and J. Edward Taylor. 1993. “Theories of International Migration: A Review and Appraisal.” </w:t>
      </w:r>
      <w:r>
        <w:rPr>
          <w:i/>
          <w:iCs/>
        </w:rPr>
        <w:t>Population and Development Review</w:t>
      </w:r>
      <w:r>
        <w:t xml:space="preserve"> 19(3):431–66. doi:10.2307/2938462.</w:t>
      </w:r>
    </w:p>
    <w:p w14:paraId="2E80940E" w14:textId="77777777" w:rsidR="00FE252E" w:rsidRDefault="00FE252E" w:rsidP="00FE252E">
      <w:pPr>
        <w:pStyle w:val="Bibliography"/>
      </w:pPr>
      <w:r>
        <w:t xml:space="preserve">Mayer, Jonathan R., and John C. Mitchell. 2012. “Third-Party Web Tracking: Policy and Technology.” Pp. 413–27 in </w:t>
      </w:r>
      <w:r>
        <w:rPr>
          <w:i/>
          <w:iCs/>
        </w:rPr>
        <w:t>2012 IEEE Symposium on Security and Privacy</w:t>
      </w:r>
      <w:r>
        <w:t>.</w:t>
      </w:r>
    </w:p>
    <w:p w14:paraId="15BCA429" w14:textId="77777777" w:rsidR="00FE252E" w:rsidRDefault="00FE252E" w:rsidP="00FE252E">
      <w:pPr>
        <w:pStyle w:val="Bibliography"/>
      </w:pPr>
      <w:r>
        <w:t xml:space="preserve">Mitchell, Travis. 2018. </w:t>
      </w:r>
      <w:r>
        <w:rPr>
          <w:i/>
          <w:iCs/>
        </w:rPr>
        <w:t>Commercial Voter Files and the Study of U.S. Politics</w:t>
      </w:r>
      <w:r>
        <w:t>. Pew Research Center. https://www.pewresearch.org/methods/2018/02/15/demographic-data/.</w:t>
      </w:r>
    </w:p>
    <w:p w14:paraId="00F2642B" w14:textId="77777777" w:rsidR="00FE252E" w:rsidRDefault="00FE252E" w:rsidP="00FE252E">
      <w:pPr>
        <w:pStyle w:val="Bibliography"/>
      </w:pPr>
      <w:r>
        <w:t xml:space="preserve">Molloy, Raven, Christopher L. Smith, and Abigail Wozniak. 2011. “Internal Migration in the United States.” </w:t>
      </w:r>
      <w:r>
        <w:rPr>
          <w:i/>
          <w:iCs/>
        </w:rPr>
        <w:t>Journal of Economic Perspectives</w:t>
      </w:r>
      <w:r>
        <w:t xml:space="preserve"> 25(3):173–96. doi:10.1257/jep.25.3.173.</w:t>
      </w:r>
    </w:p>
    <w:p w14:paraId="6DF98858" w14:textId="77777777" w:rsidR="00FE252E" w:rsidRDefault="00FE252E" w:rsidP="00FE252E">
      <w:pPr>
        <w:pStyle w:val="Bibliography"/>
      </w:pPr>
      <w:r>
        <w:t>Mulry, Mary H., and Cristina J. Tello-Trillo. 2023. “Full Report of the Comparisons of Administrative Record Rosters to Census Self-Responses and NRFU Household Member Responses.”</w:t>
      </w:r>
    </w:p>
    <w:p w14:paraId="18F07B71" w14:textId="77777777" w:rsidR="00FE252E" w:rsidRDefault="00FE252E" w:rsidP="00FE252E">
      <w:pPr>
        <w:pStyle w:val="Bibliography"/>
      </w:pPr>
      <w:r>
        <w:t>Narayanan, Arvind, and Vitaly Shmatikov. 2007. “How To Break Anonymity of the Netflix Prize Dataset.”</w:t>
      </w:r>
    </w:p>
    <w:p w14:paraId="5CBC4ED4" w14:textId="77777777" w:rsidR="00FE252E" w:rsidRDefault="00FE252E" w:rsidP="00FE252E">
      <w:pPr>
        <w:pStyle w:val="Bibliography"/>
      </w:pPr>
      <w:r>
        <w:t>Ortman, Jennifer, and Anthony Knapp. 2023. “Demographic Frame: Leveraging Person-Level Data to Enhance Census and Survey Taking.” Presented at the 2023 Southern Demographic Association Annual Meeting, San Antonio, Texas.</w:t>
      </w:r>
    </w:p>
    <w:p w14:paraId="3F28FE5F" w14:textId="77777777" w:rsidR="00FE252E" w:rsidRDefault="00FE252E" w:rsidP="00FE252E">
      <w:pPr>
        <w:pStyle w:val="Bibliography"/>
      </w:pPr>
      <w:r>
        <w:lastRenderedPageBreak/>
        <w:t xml:space="preserve">Piguet, Etienne, Pécoud Antoine, and Paul de Guchteneire. 2011. “Migration and Climate Change: An Overview.” </w:t>
      </w:r>
      <w:r>
        <w:rPr>
          <w:i/>
          <w:iCs/>
        </w:rPr>
        <w:t>Refugee Survey Quarterly</w:t>
      </w:r>
      <w:r>
        <w:t xml:space="preserve"> 30(3):1–23. doi:10.1093/rsq/hdr006.</w:t>
      </w:r>
    </w:p>
    <w:p w14:paraId="22B356CF" w14:textId="77777777" w:rsidR="00FE252E" w:rsidRDefault="00FE252E" w:rsidP="00FE252E">
      <w:pPr>
        <w:pStyle w:val="Bibliography"/>
      </w:pPr>
      <w:r>
        <w:t xml:space="preserve">Roth, Wendy D. 2009. “‘Latino before the World’: The Transnational Extension of Panethnicity.” </w:t>
      </w:r>
      <w:r>
        <w:rPr>
          <w:i/>
          <w:iCs/>
        </w:rPr>
        <w:t>Ethnic and Racial Studies</w:t>
      </w:r>
      <w:r>
        <w:t xml:space="preserve"> 32(6):927–47. doi:10.1080/01419870802245042.</w:t>
      </w:r>
    </w:p>
    <w:p w14:paraId="551603F0" w14:textId="77777777" w:rsidR="00FE252E" w:rsidRDefault="00FE252E" w:rsidP="00FE252E">
      <w:pPr>
        <w:pStyle w:val="Bibliography"/>
      </w:pPr>
      <w:r>
        <w:t xml:space="preserve">Stark, Oded, and J. Edward Taylor. 1991. “Migration Incentives, Migration Types: The Role of Relative Deprivation.” </w:t>
      </w:r>
      <w:r>
        <w:rPr>
          <w:i/>
          <w:iCs/>
        </w:rPr>
        <w:t>The Economic Journal</w:t>
      </w:r>
      <w:r>
        <w:t xml:space="preserve"> 101(408):1163–78. doi:10.2307/2234433.</w:t>
      </w:r>
    </w:p>
    <w:p w14:paraId="48A1E5A1" w14:textId="77777777" w:rsidR="00FE252E" w:rsidRDefault="00FE252E" w:rsidP="00FE252E">
      <w:pPr>
        <w:pStyle w:val="Bibliography"/>
      </w:pPr>
      <w:r>
        <w:t xml:space="preserve">Stouffer, Samuel A. 1940. “Intervening Opportunities: A Theory Relating Mobility and Distance.” </w:t>
      </w:r>
      <w:r>
        <w:rPr>
          <w:i/>
          <w:iCs/>
        </w:rPr>
        <w:t>American Sociological Review</w:t>
      </w:r>
      <w:r>
        <w:t xml:space="preserve"> 5(6):845–67. doi:10.2307/2084520.</w:t>
      </w:r>
    </w:p>
    <w:p w14:paraId="05F32A5B" w14:textId="77777777" w:rsidR="00FE252E" w:rsidRDefault="00FE252E" w:rsidP="00FE252E">
      <w:pPr>
        <w:pStyle w:val="Bibliography"/>
      </w:pPr>
      <w:r>
        <w:t xml:space="preserve">Streiner, David L., Geoffrey R. Norman, and John Cairney. 2015. </w:t>
      </w:r>
      <w:r>
        <w:rPr>
          <w:i/>
          <w:iCs/>
        </w:rPr>
        <w:t>Health Measurement Scales</w:t>
      </w:r>
      <w:r>
        <w:t>. Oxford: Oxford University Press.</w:t>
      </w:r>
    </w:p>
    <w:p w14:paraId="5CACA8DE" w14:textId="77777777" w:rsidR="00FE252E" w:rsidRDefault="00FE252E" w:rsidP="00FE252E">
      <w:pPr>
        <w:pStyle w:val="Bibliography"/>
      </w:pPr>
      <w:r>
        <w:t xml:space="preserve">Taylor, J. Edward. 1984. </w:t>
      </w:r>
      <w:r>
        <w:rPr>
          <w:i/>
          <w:iCs/>
        </w:rPr>
        <w:t>Differential Migration, Networks, Information and Risk</w:t>
      </w:r>
      <w:r>
        <w:t>. Migration and Development Program, Harvard University.</w:t>
      </w:r>
    </w:p>
    <w:p w14:paraId="66D7353F" w14:textId="77777777" w:rsidR="00FE252E" w:rsidRDefault="00FE252E" w:rsidP="00FE252E">
      <w:pPr>
        <w:pStyle w:val="Bibliography"/>
      </w:pPr>
      <w:r>
        <w:t>United States Census Bureau. 2025a. “About Metropolitan and Micropolitan Statistical Areas.” https://www.census.gov/programs-surveys/metro-micro/about.html.</w:t>
      </w:r>
    </w:p>
    <w:p w14:paraId="6922A19A" w14:textId="77777777" w:rsidR="00FE252E" w:rsidRDefault="00FE252E" w:rsidP="00FE252E">
      <w:pPr>
        <w:pStyle w:val="Bibliography"/>
      </w:pPr>
      <w:r>
        <w:t>United States Census Bureau. 2025b. “Decennial Census of Population and Housing Questionnaires &amp; Instructions.” https://www.census.gov/programs-surveys/decennial-census/technical-documentation/questionnaires.html.</w:t>
      </w:r>
    </w:p>
    <w:p w14:paraId="709E8A7A" w14:textId="77777777" w:rsidR="00FE252E" w:rsidRDefault="00FE252E" w:rsidP="00FE252E">
      <w:pPr>
        <w:pStyle w:val="Bibliography"/>
      </w:pPr>
      <w:r>
        <w:t>United States Census Bureau. 2025c. “Design and Methodology Report.” https://www.census.gov/programs-surveys/acs/methodology/design-and-methodology.html.</w:t>
      </w:r>
    </w:p>
    <w:p w14:paraId="0D335BFD" w14:textId="77777777" w:rsidR="00FE252E" w:rsidRDefault="00FE252E" w:rsidP="00FE252E">
      <w:pPr>
        <w:pStyle w:val="Bibliography"/>
      </w:pPr>
      <w:r>
        <w:t>Xin, Rui, Niloofar Mireshghallah, Shuyue Stella Li, Michael Duan, Hyunwoo Kim, Yejin Choi, Yulia Tsvetkov, Sewoong Oh, and Pang Wei Koh. 2025. “A False Sense of Privacy: Evaluating Textual Data Sanitization Beyond Surface-Level Privacy Leakage.”</w:t>
      </w:r>
    </w:p>
    <w:p w14:paraId="065CC185" w14:textId="77777777" w:rsidR="00FE252E" w:rsidRDefault="00FE252E" w:rsidP="00FE252E">
      <w:pPr>
        <w:pStyle w:val="Bibliography"/>
      </w:pPr>
      <w:r>
        <w:t xml:space="preserve">Zhou, Bing, Lei Zou, Ali Mostafavi, Binbin Lin, Mingzheng Yang, Nasir Gharaibeh, Heng Cai, Joynal Abedin, and Debayan Mandal. 2022. “VictimFinder: Harvesting Rescue Requests in Disaster Response from Social Media with BERT.” </w:t>
      </w:r>
      <w:r>
        <w:rPr>
          <w:i/>
          <w:iCs/>
        </w:rPr>
        <w:t>Computers, Environment and Urban Systems</w:t>
      </w:r>
      <w:r>
        <w:t xml:space="preserve"> 95:101824. doi:10.1016/j.compenvurbsys.2022.101824.</w:t>
      </w:r>
    </w:p>
    <w:p w14:paraId="2F78BF2B" w14:textId="77777777" w:rsidR="00FE252E" w:rsidRDefault="00FE252E" w:rsidP="00FE252E">
      <w:pPr>
        <w:pStyle w:val="Bibliography"/>
      </w:pPr>
      <w:r>
        <w:t xml:space="preserve">Zou, Lei, Nina S. N. Lam, Heng Cai, and Yi Qiang. 2018. “Mining Twitter Data for Improved Understanding of Disaster Resilience.” </w:t>
      </w:r>
      <w:r>
        <w:rPr>
          <w:i/>
          <w:iCs/>
        </w:rPr>
        <w:t>Annals of the American Association of Geographers</w:t>
      </w:r>
      <w:r>
        <w:t xml:space="preserve"> 108(5):1422–41. doi:10.1080/24694452.2017.1421897.</w:t>
      </w:r>
    </w:p>
    <w:p w14:paraId="464AA2C5" w14:textId="77777777" w:rsidR="00FE252E" w:rsidRDefault="00FE252E" w:rsidP="00FE252E">
      <w:pPr>
        <w:pStyle w:val="Bibliography"/>
      </w:pPr>
      <w:r>
        <w:t xml:space="preserve">Zou, Lei, Nina S. N. Lam, Shayan Shams, Heng Cai, Michelle A. Meyer, Seungwon Yang, Kisung Lee, Seung-Jong Park, and Margaret A. Reams. 2019. “Social and Geographical Disparities in Twitter Use during Hurricane Harvey.” </w:t>
      </w:r>
      <w:r>
        <w:rPr>
          <w:i/>
          <w:iCs/>
        </w:rPr>
        <w:t>International Journal of Digital Earth</w:t>
      </w:r>
      <w:r>
        <w:t xml:space="preserve"> 12(11):1300–1318. doi:10.1080/17538947.2018.1545878.</w:t>
      </w:r>
    </w:p>
    <w:p w14:paraId="454167A5" w14:textId="6E661E94"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20956" w14:textId="77777777" w:rsidR="00FF01DD" w:rsidRDefault="00FF01DD" w:rsidP="002F1A57">
      <w:pPr>
        <w:spacing w:after="0" w:line="240" w:lineRule="auto"/>
      </w:pPr>
      <w:r>
        <w:separator/>
      </w:r>
    </w:p>
  </w:endnote>
  <w:endnote w:type="continuationSeparator" w:id="0">
    <w:p w14:paraId="72FD83AA" w14:textId="77777777" w:rsidR="00FF01DD" w:rsidRDefault="00FF01DD"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0A346" w14:textId="77777777" w:rsidR="00FF01DD" w:rsidRDefault="00FF01DD" w:rsidP="002F1A57">
      <w:pPr>
        <w:spacing w:after="0" w:line="240" w:lineRule="auto"/>
      </w:pPr>
      <w:r>
        <w:separator/>
      </w:r>
    </w:p>
  </w:footnote>
  <w:footnote w:type="continuationSeparator" w:id="0">
    <w:p w14:paraId="50C33D50" w14:textId="77777777" w:rsidR="00FF01DD" w:rsidRDefault="00FF01DD"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087B"/>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796F"/>
    <w:rsid w:val="00097CD3"/>
    <w:rsid w:val="000A562A"/>
    <w:rsid w:val="000A7FB2"/>
    <w:rsid w:val="000B3273"/>
    <w:rsid w:val="000B5607"/>
    <w:rsid w:val="000C4E07"/>
    <w:rsid w:val="000D0268"/>
    <w:rsid w:val="000D161D"/>
    <w:rsid w:val="000D2516"/>
    <w:rsid w:val="000D295D"/>
    <w:rsid w:val="000D4101"/>
    <w:rsid w:val="000D4E0E"/>
    <w:rsid w:val="000D548A"/>
    <w:rsid w:val="000E6687"/>
    <w:rsid w:val="000F53F7"/>
    <w:rsid w:val="00103F4B"/>
    <w:rsid w:val="0010508B"/>
    <w:rsid w:val="001106D6"/>
    <w:rsid w:val="00115629"/>
    <w:rsid w:val="00117433"/>
    <w:rsid w:val="00126CD7"/>
    <w:rsid w:val="00127A20"/>
    <w:rsid w:val="00127B7F"/>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C3862"/>
    <w:rsid w:val="001C5A4A"/>
    <w:rsid w:val="001D1744"/>
    <w:rsid w:val="001D3D41"/>
    <w:rsid w:val="001D7534"/>
    <w:rsid w:val="001E3347"/>
    <w:rsid w:val="001E44C7"/>
    <w:rsid w:val="00201241"/>
    <w:rsid w:val="0020307A"/>
    <w:rsid w:val="002049D9"/>
    <w:rsid w:val="00215713"/>
    <w:rsid w:val="002163A5"/>
    <w:rsid w:val="0022332A"/>
    <w:rsid w:val="002237BB"/>
    <w:rsid w:val="00223FAD"/>
    <w:rsid w:val="00224CBA"/>
    <w:rsid w:val="00225E05"/>
    <w:rsid w:val="00235B61"/>
    <w:rsid w:val="0023654E"/>
    <w:rsid w:val="00240DB0"/>
    <w:rsid w:val="00242076"/>
    <w:rsid w:val="00260D8B"/>
    <w:rsid w:val="002706BD"/>
    <w:rsid w:val="00270F5F"/>
    <w:rsid w:val="00274D3D"/>
    <w:rsid w:val="00283A88"/>
    <w:rsid w:val="002870A4"/>
    <w:rsid w:val="002909E5"/>
    <w:rsid w:val="002B06D3"/>
    <w:rsid w:val="002B1B65"/>
    <w:rsid w:val="002B25AF"/>
    <w:rsid w:val="002C0773"/>
    <w:rsid w:val="002C36C3"/>
    <w:rsid w:val="002C5B66"/>
    <w:rsid w:val="002D2EDD"/>
    <w:rsid w:val="002D2F95"/>
    <w:rsid w:val="002D5815"/>
    <w:rsid w:val="002D66B7"/>
    <w:rsid w:val="002E05B0"/>
    <w:rsid w:val="002E4079"/>
    <w:rsid w:val="002E56E2"/>
    <w:rsid w:val="002F028D"/>
    <w:rsid w:val="002F0C1A"/>
    <w:rsid w:val="002F1A57"/>
    <w:rsid w:val="002F3CF7"/>
    <w:rsid w:val="0030205A"/>
    <w:rsid w:val="00303709"/>
    <w:rsid w:val="00305181"/>
    <w:rsid w:val="003106B0"/>
    <w:rsid w:val="0031337F"/>
    <w:rsid w:val="00317755"/>
    <w:rsid w:val="00320DF8"/>
    <w:rsid w:val="00320F6F"/>
    <w:rsid w:val="0032548C"/>
    <w:rsid w:val="00325828"/>
    <w:rsid w:val="00331B38"/>
    <w:rsid w:val="00331D9A"/>
    <w:rsid w:val="00333597"/>
    <w:rsid w:val="00336B56"/>
    <w:rsid w:val="00336CAB"/>
    <w:rsid w:val="003635FE"/>
    <w:rsid w:val="00364E0F"/>
    <w:rsid w:val="00365C10"/>
    <w:rsid w:val="00367C16"/>
    <w:rsid w:val="00372A54"/>
    <w:rsid w:val="003814AA"/>
    <w:rsid w:val="00387817"/>
    <w:rsid w:val="003A2ADA"/>
    <w:rsid w:val="003A5E84"/>
    <w:rsid w:val="003A7864"/>
    <w:rsid w:val="003A7E46"/>
    <w:rsid w:val="003B1619"/>
    <w:rsid w:val="003B407D"/>
    <w:rsid w:val="003B61E5"/>
    <w:rsid w:val="003C1851"/>
    <w:rsid w:val="003C52A1"/>
    <w:rsid w:val="003D4D8E"/>
    <w:rsid w:val="003D5FCE"/>
    <w:rsid w:val="003D6E78"/>
    <w:rsid w:val="003E5DB7"/>
    <w:rsid w:val="003E68E0"/>
    <w:rsid w:val="003E7AF1"/>
    <w:rsid w:val="003F3B21"/>
    <w:rsid w:val="003F6C99"/>
    <w:rsid w:val="003F72D9"/>
    <w:rsid w:val="00404755"/>
    <w:rsid w:val="0040723B"/>
    <w:rsid w:val="004169D2"/>
    <w:rsid w:val="004312DC"/>
    <w:rsid w:val="00436FED"/>
    <w:rsid w:val="00443116"/>
    <w:rsid w:val="004551B0"/>
    <w:rsid w:val="004608E4"/>
    <w:rsid w:val="00461E51"/>
    <w:rsid w:val="0046473A"/>
    <w:rsid w:val="004733DD"/>
    <w:rsid w:val="00473A64"/>
    <w:rsid w:val="0048242F"/>
    <w:rsid w:val="00482F64"/>
    <w:rsid w:val="004901AC"/>
    <w:rsid w:val="0049395D"/>
    <w:rsid w:val="00496497"/>
    <w:rsid w:val="00496639"/>
    <w:rsid w:val="004966AD"/>
    <w:rsid w:val="004A0B60"/>
    <w:rsid w:val="004A2A91"/>
    <w:rsid w:val="004A3604"/>
    <w:rsid w:val="004A3B3D"/>
    <w:rsid w:val="004A52CD"/>
    <w:rsid w:val="004A6218"/>
    <w:rsid w:val="004B43B3"/>
    <w:rsid w:val="004B5F01"/>
    <w:rsid w:val="004C50E3"/>
    <w:rsid w:val="004D1CA9"/>
    <w:rsid w:val="004E5B34"/>
    <w:rsid w:val="004E6253"/>
    <w:rsid w:val="004F3F4F"/>
    <w:rsid w:val="004F4AE5"/>
    <w:rsid w:val="004F5756"/>
    <w:rsid w:val="004F7A47"/>
    <w:rsid w:val="00503EE5"/>
    <w:rsid w:val="00510271"/>
    <w:rsid w:val="00514CC5"/>
    <w:rsid w:val="00521988"/>
    <w:rsid w:val="00530906"/>
    <w:rsid w:val="005346A2"/>
    <w:rsid w:val="00534DFF"/>
    <w:rsid w:val="00534F42"/>
    <w:rsid w:val="005351CA"/>
    <w:rsid w:val="00535A6C"/>
    <w:rsid w:val="00536F51"/>
    <w:rsid w:val="00542CB5"/>
    <w:rsid w:val="005449EB"/>
    <w:rsid w:val="00546DF6"/>
    <w:rsid w:val="00550A57"/>
    <w:rsid w:val="00553F78"/>
    <w:rsid w:val="0055659F"/>
    <w:rsid w:val="0055763C"/>
    <w:rsid w:val="00560C58"/>
    <w:rsid w:val="00565FF3"/>
    <w:rsid w:val="0057048E"/>
    <w:rsid w:val="00586816"/>
    <w:rsid w:val="00587D52"/>
    <w:rsid w:val="00590B65"/>
    <w:rsid w:val="00591341"/>
    <w:rsid w:val="00592537"/>
    <w:rsid w:val="005933F7"/>
    <w:rsid w:val="0059403D"/>
    <w:rsid w:val="005A345C"/>
    <w:rsid w:val="005B036E"/>
    <w:rsid w:val="005B148E"/>
    <w:rsid w:val="005B54ED"/>
    <w:rsid w:val="005C0F57"/>
    <w:rsid w:val="005C40A6"/>
    <w:rsid w:val="005D35AC"/>
    <w:rsid w:val="005D5DE2"/>
    <w:rsid w:val="005E0862"/>
    <w:rsid w:val="005E3807"/>
    <w:rsid w:val="005E6DBC"/>
    <w:rsid w:val="005F049E"/>
    <w:rsid w:val="005F06EE"/>
    <w:rsid w:val="005F249F"/>
    <w:rsid w:val="005F31A9"/>
    <w:rsid w:val="005F4CC4"/>
    <w:rsid w:val="00603A2C"/>
    <w:rsid w:val="00607AC8"/>
    <w:rsid w:val="00607CE5"/>
    <w:rsid w:val="00611069"/>
    <w:rsid w:val="00612D50"/>
    <w:rsid w:val="006235A1"/>
    <w:rsid w:val="0062773C"/>
    <w:rsid w:val="0064263E"/>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5A95"/>
    <w:rsid w:val="006971A2"/>
    <w:rsid w:val="00697291"/>
    <w:rsid w:val="00697E9F"/>
    <w:rsid w:val="006A5706"/>
    <w:rsid w:val="006B5F67"/>
    <w:rsid w:val="006D3F50"/>
    <w:rsid w:val="006D6DD1"/>
    <w:rsid w:val="006E25FE"/>
    <w:rsid w:val="006E2F67"/>
    <w:rsid w:val="006E43B8"/>
    <w:rsid w:val="006F503F"/>
    <w:rsid w:val="006F6335"/>
    <w:rsid w:val="006F673C"/>
    <w:rsid w:val="007040D5"/>
    <w:rsid w:val="007050C2"/>
    <w:rsid w:val="00707008"/>
    <w:rsid w:val="00714130"/>
    <w:rsid w:val="00716319"/>
    <w:rsid w:val="00722271"/>
    <w:rsid w:val="007232A1"/>
    <w:rsid w:val="00724EF7"/>
    <w:rsid w:val="007263DF"/>
    <w:rsid w:val="00736259"/>
    <w:rsid w:val="00737798"/>
    <w:rsid w:val="00754185"/>
    <w:rsid w:val="00754AAC"/>
    <w:rsid w:val="00764AED"/>
    <w:rsid w:val="007720D1"/>
    <w:rsid w:val="00776200"/>
    <w:rsid w:val="007770D4"/>
    <w:rsid w:val="00781671"/>
    <w:rsid w:val="00781AAD"/>
    <w:rsid w:val="00784B7C"/>
    <w:rsid w:val="00784D42"/>
    <w:rsid w:val="007858BD"/>
    <w:rsid w:val="00787A1A"/>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221E6"/>
    <w:rsid w:val="0082265A"/>
    <w:rsid w:val="00830A10"/>
    <w:rsid w:val="008328D7"/>
    <w:rsid w:val="00872D76"/>
    <w:rsid w:val="00876863"/>
    <w:rsid w:val="00876D73"/>
    <w:rsid w:val="0088346B"/>
    <w:rsid w:val="00885C5F"/>
    <w:rsid w:val="00886A9D"/>
    <w:rsid w:val="00887552"/>
    <w:rsid w:val="00890607"/>
    <w:rsid w:val="00893B24"/>
    <w:rsid w:val="00893EE3"/>
    <w:rsid w:val="00894ADA"/>
    <w:rsid w:val="008A070B"/>
    <w:rsid w:val="008A5C8D"/>
    <w:rsid w:val="008A6CA7"/>
    <w:rsid w:val="008A75D2"/>
    <w:rsid w:val="008B0A41"/>
    <w:rsid w:val="008B0D3E"/>
    <w:rsid w:val="008B5152"/>
    <w:rsid w:val="008C1758"/>
    <w:rsid w:val="008C3B75"/>
    <w:rsid w:val="008C7313"/>
    <w:rsid w:val="008D2230"/>
    <w:rsid w:val="008D2E71"/>
    <w:rsid w:val="008D3525"/>
    <w:rsid w:val="008D67A1"/>
    <w:rsid w:val="008E3086"/>
    <w:rsid w:val="008E6D0C"/>
    <w:rsid w:val="008E79A2"/>
    <w:rsid w:val="008F038B"/>
    <w:rsid w:val="008F3C17"/>
    <w:rsid w:val="008F60AD"/>
    <w:rsid w:val="0090148F"/>
    <w:rsid w:val="009020A8"/>
    <w:rsid w:val="00904583"/>
    <w:rsid w:val="00906439"/>
    <w:rsid w:val="00921AD3"/>
    <w:rsid w:val="00922D84"/>
    <w:rsid w:val="00923B93"/>
    <w:rsid w:val="00926805"/>
    <w:rsid w:val="009272F1"/>
    <w:rsid w:val="00934BBF"/>
    <w:rsid w:val="0093696F"/>
    <w:rsid w:val="009369B1"/>
    <w:rsid w:val="00937CA6"/>
    <w:rsid w:val="009401E9"/>
    <w:rsid w:val="00942460"/>
    <w:rsid w:val="00950B83"/>
    <w:rsid w:val="00952E30"/>
    <w:rsid w:val="00955695"/>
    <w:rsid w:val="00961B3C"/>
    <w:rsid w:val="00962A76"/>
    <w:rsid w:val="009663BE"/>
    <w:rsid w:val="00980AB6"/>
    <w:rsid w:val="009836FA"/>
    <w:rsid w:val="009857CB"/>
    <w:rsid w:val="00990251"/>
    <w:rsid w:val="009919FA"/>
    <w:rsid w:val="009926E6"/>
    <w:rsid w:val="00994D44"/>
    <w:rsid w:val="00997CFE"/>
    <w:rsid w:val="009A412D"/>
    <w:rsid w:val="009B614F"/>
    <w:rsid w:val="009C4F06"/>
    <w:rsid w:val="009C667D"/>
    <w:rsid w:val="009C72BD"/>
    <w:rsid w:val="009D4601"/>
    <w:rsid w:val="009D7928"/>
    <w:rsid w:val="009F1195"/>
    <w:rsid w:val="009F359A"/>
    <w:rsid w:val="009F6D44"/>
    <w:rsid w:val="009F77F6"/>
    <w:rsid w:val="00A027F6"/>
    <w:rsid w:val="00A048FB"/>
    <w:rsid w:val="00A0548B"/>
    <w:rsid w:val="00A056BC"/>
    <w:rsid w:val="00A06392"/>
    <w:rsid w:val="00A123A0"/>
    <w:rsid w:val="00A1528F"/>
    <w:rsid w:val="00A161C3"/>
    <w:rsid w:val="00A26470"/>
    <w:rsid w:val="00A271FA"/>
    <w:rsid w:val="00A34129"/>
    <w:rsid w:val="00A365D1"/>
    <w:rsid w:val="00A42E27"/>
    <w:rsid w:val="00A46C23"/>
    <w:rsid w:val="00A47F1F"/>
    <w:rsid w:val="00A50E41"/>
    <w:rsid w:val="00A511E6"/>
    <w:rsid w:val="00A5149E"/>
    <w:rsid w:val="00A5209D"/>
    <w:rsid w:val="00A53A2F"/>
    <w:rsid w:val="00A54CA4"/>
    <w:rsid w:val="00A5611B"/>
    <w:rsid w:val="00A61F9A"/>
    <w:rsid w:val="00A83DC5"/>
    <w:rsid w:val="00A87AEB"/>
    <w:rsid w:val="00A96F3E"/>
    <w:rsid w:val="00AC18B9"/>
    <w:rsid w:val="00AC5B1E"/>
    <w:rsid w:val="00AD0D90"/>
    <w:rsid w:val="00AD1DD3"/>
    <w:rsid w:val="00AD4135"/>
    <w:rsid w:val="00AD6D34"/>
    <w:rsid w:val="00AE1439"/>
    <w:rsid w:val="00AE51A8"/>
    <w:rsid w:val="00AF6EE9"/>
    <w:rsid w:val="00B012CE"/>
    <w:rsid w:val="00B02A43"/>
    <w:rsid w:val="00B046C2"/>
    <w:rsid w:val="00B10F14"/>
    <w:rsid w:val="00B174E5"/>
    <w:rsid w:val="00B207E4"/>
    <w:rsid w:val="00B2323E"/>
    <w:rsid w:val="00B26DFA"/>
    <w:rsid w:val="00B31759"/>
    <w:rsid w:val="00B37263"/>
    <w:rsid w:val="00B42A3F"/>
    <w:rsid w:val="00B54343"/>
    <w:rsid w:val="00B56714"/>
    <w:rsid w:val="00B56EA4"/>
    <w:rsid w:val="00B61961"/>
    <w:rsid w:val="00B6403C"/>
    <w:rsid w:val="00B75A1C"/>
    <w:rsid w:val="00B83F8C"/>
    <w:rsid w:val="00B90544"/>
    <w:rsid w:val="00B91DB5"/>
    <w:rsid w:val="00B92A28"/>
    <w:rsid w:val="00B97BD5"/>
    <w:rsid w:val="00BA6CB0"/>
    <w:rsid w:val="00BB382D"/>
    <w:rsid w:val="00BC110F"/>
    <w:rsid w:val="00BC1377"/>
    <w:rsid w:val="00BC3551"/>
    <w:rsid w:val="00BC7DBE"/>
    <w:rsid w:val="00BD391B"/>
    <w:rsid w:val="00BD4A5E"/>
    <w:rsid w:val="00BD510A"/>
    <w:rsid w:val="00BE0480"/>
    <w:rsid w:val="00BE0A20"/>
    <w:rsid w:val="00BF230C"/>
    <w:rsid w:val="00BF583B"/>
    <w:rsid w:val="00C019D5"/>
    <w:rsid w:val="00C04881"/>
    <w:rsid w:val="00C07220"/>
    <w:rsid w:val="00C15347"/>
    <w:rsid w:val="00C21E23"/>
    <w:rsid w:val="00C2343A"/>
    <w:rsid w:val="00C24848"/>
    <w:rsid w:val="00C41B6B"/>
    <w:rsid w:val="00C44A55"/>
    <w:rsid w:val="00C51FAE"/>
    <w:rsid w:val="00C542F5"/>
    <w:rsid w:val="00C70E0B"/>
    <w:rsid w:val="00C716A0"/>
    <w:rsid w:val="00C81F81"/>
    <w:rsid w:val="00C82429"/>
    <w:rsid w:val="00C85633"/>
    <w:rsid w:val="00C936F3"/>
    <w:rsid w:val="00CA164A"/>
    <w:rsid w:val="00CA44ED"/>
    <w:rsid w:val="00CA6043"/>
    <w:rsid w:val="00CC5A07"/>
    <w:rsid w:val="00CD2730"/>
    <w:rsid w:val="00CE1399"/>
    <w:rsid w:val="00CE3FED"/>
    <w:rsid w:val="00CF0A2F"/>
    <w:rsid w:val="00CF43AC"/>
    <w:rsid w:val="00D05004"/>
    <w:rsid w:val="00D2202F"/>
    <w:rsid w:val="00D224B6"/>
    <w:rsid w:val="00D231D2"/>
    <w:rsid w:val="00D25B59"/>
    <w:rsid w:val="00D40066"/>
    <w:rsid w:val="00D55D46"/>
    <w:rsid w:val="00D6198E"/>
    <w:rsid w:val="00D62BC9"/>
    <w:rsid w:val="00D73A90"/>
    <w:rsid w:val="00D74117"/>
    <w:rsid w:val="00D85074"/>
    <w:rsid w:val="00D86F85"/>
    <w:rsid w:val="00D875DE"/>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307EF"/>
    <w:rsid w:val="00E323EB"/>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CA0"/>
    <w:rsid w:val="00E85FB3"/>
    <w:rsid w:val="00E85FCE"/>
    <w:rsid w:val="00E87837"/>
    <w:rsid w:val="00E92669"/>
    <w:rsid w:val="00E92786"/>
    <w:rsid w:val="00E92EA8"/>
    <w:rsid w:val="00EA6845"/>
    <w:rsid w:val="00EB31C1"/>
    <w:rsid w:val="00EB47C1"/>
    <w:rsid w:val="00ED3293"/>
    <w:rsid w:val="00EE68BE"/>
    <w:rsid w:val="00EF31D6"/>
    <w:rsid w:val="00EF356D"/>
    <w:rsid w:val="00EF4B30"/>
    <w:rsid w:val="00F074D3"/>
    <w:rsid w:val="00F138B0"/>
    <w:rsid w:val="00F13D3D"/>
    <w:rsid w:val="00F245B0"/>
    <w:rsid w:val="00F24DDC"/>
    <w:rsid w:val="00F3009F"/>
    <w:rsid w:val="00F303CA"/>
    <w:rsid w:val="00F3302C"/>
    <w:rsid w:val="00F36C36"/>
    <w:rsid w:val="00F4266A"/>
    <w:rsid w:val="00F55AA4"/>
    <w:rsid w:val="00F67660"/>
    <w:rsid w:val="00F720D2"/>
    <w:rsid w:val="00F72274"/>
    <w:rsid w:val="00F819D2"/>
    <w:rsid w:val="00F82012"/>
    <w:rsid w:val="00F828D7"/>
    <w:rsid w:val="00F92E38"/>
    <w:rsid w:val="00F94420"/>
    <w:rsid w:val="00F97012"/>
    <w:rsid w:val="00F97102"/>
    <w:rsid w:val="00FA1CF3"/>
    <w:rsid w:val="00FA2E9B"/>
    <w:rsid w:val="00FA5B00"/>
    <w:rsid w:val="00FA6ED7"/>
    <w:rsid w:val="00FB0E5F"/>
    <w:rsid w:val="00FB1338"/>
    <w:rsid w:val="00FB7396"/>
    <w:rsid w:val="00FB77AE"/>
    <w:rsid w:val="00FC3506"/>
    <w:rsid w:val="00FD217E"/>
    <w:rsid w:val="00FD5768"/>
    <w:rsid w:val="00FE109A"/>
    <w:rsid w:val="00FE1ED8"/>
    <w:rsid w:val="00FE252E"/>
    <w:rsid w:val="00FE6FD1"/>
    <w:rsid w:val="00FF01DD"/>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40266</TotalTime>
  <Pages>34</Pages>
  <Words>26478</Words>
  <Characters>150925</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18</cp:revision>
  <dcterms:created xsi:type="dcterms:W3CDTF">2025-01-29T19:14:00Z</dcterms:created>
  <dcterms:modified xsi:type="dcterms:W3CDTF">2025-07-29T20:19:00Z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id="79sNrWLw"/&gt;&lt;style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