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w:t>
      </w:r>
      <w:proofErr w:type="gramStart"/>
      <w:r w:rsidR="00F55AA4" w:rsidRPr="008B5152">
        <w:rPr>
          <w:rFonts w:ascii="Times New Roman" w:hAnsi="Times New Roman" w:cs="Times New Roman"/>
          <w:sz w:val="24"/>
          <w:szCs w:val="24"/>
        </w:rPr>
        <w:t xml:space="preserve">as  </w:t>
      </w:r>
      <w:r w:rsidR="00F55AA4" w:rsidRPr="008B5152">
        <w:rPr>
          <w:rFonts w:ascii="Times New Roman" w:hAnsi="Times New Roman" w:cs="Times New Roman"/>
          <w:sz w:val="24"/>
          <w:szCs w:val="24"/>
        </w:rPr>
        <w:lastRenderedPageBreak/>
        <w:t>geography</w:t>
      </w:r>
      <w:proofErr w:type="gramEnd"/>
      <w:r w:rsidR="00F55AA4" w:rsidRPr="008B5152">
        <w:rPr>
          <w:rFonts w:ascii="Times New Roman" w:hAnsi="Times New Roman" w:cs="Times New Roman"/>
          <w:sz w:val="24"/>
          <w:szCs w:val="24"/>
        </w:rPr>
        <w:t xml:space="preserve">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3C27C1D0"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w:t>
      </w:r>
      <w:proofErr w:type="gramStart"/>
      <w:r w:rsidR="00AD1DD3" w:rsidRPr="008B5152">
        <w:rPr>
          <w:rFonts w:ascii="Times New Roman" w:hAnsi="Times New Roman" w:cs="Times New Roman"/>
          <w:sz w:val="24"/>
          <w:szCs w:val="24"/>
        </w:rPr>
        <w:t>An</w:t>
      </w:r>
      <w:proofErr w:type="gramEnd"/>
      <w:r w:rsidR="00AD1DD3" w:rsidRPr="008B5152">
        <w:rPr>
          <w:rFonts w:ascii="Times New Roman" w:hAnsi="Times New Roman" w:cs="Times New Roman"/>
          <w:sz w:val="24"/>
          <w:szCs w:val="24"/>
        </w:rPr>
        <w:t xml:space="preserve">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6ED28350"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Operationalization of Place</w:t>
      </w:r>
    </w:p>
    <w:p w14:paraId="2F5E83B5" w14:textId="77777777" w:rsidR="0057048E"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 aggregation to larger levels of measurement. </w:t>
      </w:r>
    </w:p>
    <w:p w14:paraId="331E72B2" w14:textId="57D97661" w:rsidR="0057048E" w:rsidRDefault="0057048E" w:rsidP="00570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Problems arise when trying to aggregate (or disaggregate) into boundaries with messy boundary overlays. For example, because zip codes often straddle county and state lines, it can be hard to know how the characteristics of a county are reflected in a zip code which contains </w:t>
      </w:r>
      <w:r>
        <w:rPr>
          <w:rFonts w:ascii="Times New Roman" w:hAnsi="Times New Roman" w:cs="Times New Roman"/>
          <w:sz w:val="24"/>
          <w:szCs w:val="24"/>
        </w:rPr>
        <w:lastRenderedPageBreak/>
        <w:t>multiple counties. This incongruence between aggregations</w:t>
      </w:r>
      <w:r w:rsidR="00885C5F">
        <w:rPr>
          <w:rFonts w:ascii="Times New Roman" w:hAnsi="Times New Roman" w:cs="Times New Roman"/>
          <w:sz w:val="24"/>
          <w:szCs w:val="24"/>
        </w:rPr>
        <w:t xml:space="preserve"> is called the modifiable area problem and</w:t>
      </w:r>
      <w:r>
        <w:rPr>
          <w:rFonts w:ascii="Times New Roman" w:hAnsi="Times New Roman" w:cs="Times New Roman"/>
          <w:sz w:val="24"/>
          <w:szCs w:val="24"/>
        </w:rPr>
        <w:t xml:space="preserve">, when ignored, </w:t>
      </w:r>
      <w:r w:rsidR="00885C5F">
        <w:rPr>
          <w:rFonts w:ascii="Times New Roman" w:hAnsi="Times New Roman" w:cs="Times New Roman"/>
          <w:sz w:val="24"/>
          <w:szCs w:val="24"/>
        </w:rPr>
        <w:t>leads to the</w:t>
      </w:r>
      <w:r>
        <w:rPr>
          <w:rFonts w:ascii="Times New Roman" w:hAnsi="Times New Roman" w:cs="Times New Roman"/>
          <w:sz w:val="24"/>
          <w:szCs w:val="24"/>
        </w:rPr>
        <w:t xml:space="preserve"> ecological fallacy</w:t>
      </w:r>
      <w:r w:rsidR="00885C5F">
        <w:rPr>
          <w:rFonts w:ascii="Times New Roman" w:hAnsi="Times New Roman" w:cs="Times New Roman"/>
          <w:sz w:val="24"/>
          <w:szCs w:val="24"/>
        </w:rPr>
        <w:t>.</w:t>
      </w:r>
    </w:p>
    <w:p w14:paraId="5684AD8A" w14:textId="0EB9632D" w:rsidR="00890607" w:rsidRDefault="00885C5F" w:rsidP="00885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 are a great source of data.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to microdata,</w:t>
      </w:r>
      <w:r>
        <w:rPr>
          <w:rFonts w:ascii="Times New Roman" w:hAnsi="Times New Roman" w:cs="Times New Roman"/>
          <w:sz w:val="24"/>
          <w:szCs w:val="24"/>
        </w:rPr>
        <w:t xml:space="preserve"> which is not aggregated at all and thus avoids the modifiable area problem. However, these researchers</w:t>
      </w:r>
      <w:r w:rsidR="00EA6845">
        <w:rPr>
          <w:rFonts w:ascii="Times New Roman" w:hAnsi="Times New Roman" w:cs="Times New Roman"/>
          <w:sz w:val="24"/>
          <w:szCs w:val="24"/>
        </w:rPr>
        <w:t xml:space="preserve"> are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identifying and</w:t>
      </w:r>
      <w:r w:rsidR="005C40A6">
        <w:rPr>
          <w:rFonts w:ascii="Times New Roman" w:hAnsi="Times New Roman" w:cs="Times New Roman"/>
          <w:sz w:val="24"/>
          <w:szCs w:val="24"/>
        </w:rPr>
        <w:t xml:space="preserve"> </w:t>
      </w:r>
      <w:r w:rsidR="00934BBF">
        <w:rPr>
          <w:rFonts w:ascii="Times New Roman" w:hAnsi="Times New Roman" w:cs="Times New Roman"/>
          <w:sz w:val="24"/>
          <w:szCs w:val="24"/>
        </w:rPr>
        <w:t>tracking individual migrants across places, many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area problem and the nesting of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 xml:space="preserve">. </w:t>
      </w:r>
    </w:p>
    <w:p w14:paraId="15AA7859" w14:textId="60164338" w:rsidR="0007633D" w:rsidRPr="00885C5F" w:rsidRDefault="003A2ADA" w:rsidP="009C667D">
      <w:pPr>
        <w:spacing w:line="480" w:lineRule="auto"/>
        <w:ind w:firstLine="720"/>
        <w:jc w:val="distribute"/>
        <w:rPr>
          <w:rFonts w:ascii="Times New Roman" w:hAnsi="Times New Roman" w:cs="Times New Roman"/>
          <w:sz w:val="24"/>
          <w:szCs w:val="24"/>
        </w:rPr>
      </w:pPr>
      <w:r>
        <w:rPr>
          <w:rFonts w:ascii="Times New Roman" w:hAnsi="Times New Roman" w:cs="Times New Roman"/>
          <w:sz w:val="24"/>
          <w:szCs w:val="24"/>
        </w:rPr>
        <w:t xml:space="preserve">There are theoretical reasons to consider the interactions of aggregates. Because every </w:t>
      </w:r>
      <w:r w:rsidR="00F97102">
        <w:rPr>
          <w:rFonts w:ascii="Times New Roman" w:hAnsi="Times New Roman" w:cs="Times New Roman"/>
          <w:sz w:val="24"/>
          <w:szCs w:val="24"/>
        </w:rPr>
        <w:t xml:space="preserve">migration is a </w:t>
      </w:r>
      <w:r w:rsidR="003F3B21">
        <w:rPr>
          <w:rFonts w:ascii="Times New Roman" w:hAnsi="Times New Roman" w:cs="Times New Roman"/>
          <w:sz w:val="24"/>
          <w:szCs w:val="24"/>
        </w:rPr>
        <w:t>zero-sum</w:t>
      </w:r>
      <w:r w:rsidR="00F97102">
        <w:rPr>
          <w:rFonts w:ascii="Times New Roman" w:hAnsi="Times New Roman" w:cs="Times New Roman"/>
          <w:sz w:val="24"/>
          <w:szCs w:val="24"/>
        </w:rPr>
        <w:t xml:space="preserve"> event</w:t>
      </w:r>
      <w:r w:rsidR="00CA164A">
        <w:rPr>
          <w:rFonts w:ascii="Times New Roman" w:hAnsi="Times New Roman" w:cs="Times New Roman"/>
          <w:sz w:val="24"/>
          <w:szCs w:val="24"/>
        </w:rPr>
        <w:t>,</w:t>
      </w:r>
      <w:r w:rsidR="00F97102">
        <w:rPr>
          <w:rFonts w:ascii="Times New Roman" w:hAnsi="Times New Roman" w:cs="Times New Roman"/>
          <w:sz w:val="24"/>
          <w:szCs w:val="24"/>
        </w:rPr>
        <w:t xml:space="preserve"> origins and destinations are frequently theorized and analyz</w:t>
      </w:r>
      <w:r w:rsidR="005C40A6">
        <w:rPr>
          <w:rFonts w:ascii="Times New Roman" w:hAnsi="Times New Roman" w:cs="Times New Roman"/>
          <w:sz w:val="24"/>
          <w:szCs w:val="24"/>
        </w:rPr>
        <w:t>ed together.</w:t>
      </w:r>
      <w:r w:rsidR="000B3273">
        <w:rPr>
          <w:rFonts w:ascii="Times New Roman" w:hAnsi="Times New Roman" w:cs="Times New Roman"/>
          <w:sz w:val="24"/>
          <w:szCs w:val="24"/>
        </w:rPr>
        <w:t xml:space="preserve"> </w:t>
      </w:r>
      <w:r w:rsidR="00885C5F">
        <w:rPr>
          <w:rFonts w:ascii="Times New Roman" w:hAnsi="Times New Roman" w:cs="Times New Roman"/>
          <w:sz w:val="24"/>
          <w:szCs w:val="24"/>
        </w:rPr>
        <w:t xml:space="preserve">One way to consider the origins and destinations together and handle the aggregation required to respect federal data standards is to create </w:t>
      </w:r>
      <w:r w:rsidR="00714130">
        <w:rPr>
          <w:rFonts w:ascii="Times New Roman" w:hAnsi="Times New Roman" w:cs="Times New Roman"/>
          <w:sz w:val="24"/>
          <w:szCs w:val="24"/>
        </w:rPr>
        <w:t xml:space="preserve">matrixes of migration from these aggregations </w:t>
      </w:r>
      <w:r w:rsidR="00714130">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1E44C7" w:rsidRPr="001E44C7">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r w:rsidR="00885C5F">
        <w:rPr>
          <w:rFonts w:ascii="Times New Roman" w:hAnsi="Times New Roman" w:cs="Times New Roman"/>
          <w:sz w:val="24"/>
          <w:szCs w:val="24"/>
        </w:rPr>
        <w:t xml:space="preserve">These matrixes often combine the immigrants and emigrants by column and row, with cell counts particular to a specific place, i.e. the net migrants from </w:t>
      </w:r>
      <w:proofErr w:type="spellStart"/>
      <w:r w:rsidR="00885C5F">
        <w:rPr>
          <w:rFonts w:ascii="Times New Roman" w:hAnsi="Times New Roman" w:cs="Times New Roman"/>
          <w:sz w:val="24"/>
          <w:szCs w:val="24"/>
        </w:rPr>
        <w:t>place</w:t>
      </w:r>
      <w:r w:rsidR="009C667D">
        <w:rPr>
          <w:rFonts w:ascii="Times New Roman" w:hAnsi="Times New Roman" w:cs="Times New Roman"/>
          <w:sz w:val="24"/>
          <w:szCs w:val="24"/>
          <w:vertAlign w:val="subscript"/>
        </w:rPr>
        <w:t>i</w:t>
      </w:r>
      <w:proofErr w:type="spellEnd"/>
      <w:r w:rsidR="009C667D">
        <w:rPr>
          <w:rFonts w:ascii="Times New Roman" w:hAnsi="Times New Roman" w:cs="Times New Roman"/>
          <w:sz w:val="24"/>
          <w:szCs w:val="24"/>
        </w:rPr>
        <w:t xml:space="preserve"> to </w:t>
      </w:r>
      <w:proofErr w:type="spellStart"/>
      <w:r w:rsidR="009C667D">
        <w:rPr>
          <w:rFonts w:ascii="Times New Roman" w:hAnsi="Times New Roman" w:cs="Times New Roman"/>
          <w:sz w:val="24"/>
          <w:szCs w:val="24"/>
        </w:rPr>
        <w:t>place</w:t>
      </w:r>
      <w:r w:rsidR="009C667D">
        <w:rPr>
          <w:rFonts w:ascii="Times New Roman" w:hAnsi="Times New Roman" w:cs="Times New Roman"/>
          <w:sz w:val="24"/>
          <w:szCs w:val="24"/>
          <w:vertAlign w:val="subscript"/>
        </w:rPr>
        <w:t>j</w:t>
      </w:r>
      <w:proofErr w:type="spellEnd"/>
      <w:r w:rsidR="00885C5F">
        <w:rPr>
          <w:rFonts w:ascii="Times New Roman" w:hAnsi="Times New Roman" w:cs="Times New Roman"/>
          <w:sz w:val="24"/>
          <w:szCs w:val="24"/>
        </w:rPr>
        <w:t xml:space="preserve"> in </w:t>
      </w:r>
      <w:proofErr w:type="spellStart"/>
      <w:r w:rsidR="00885C5F">
        <w:rPr>
          <w:rFonts w:ascii="Times New Roman" w:hAnsi="Times New Roman" w:cs="Times New Roman"/>
          <w:sz w:val="24"/>
          <w:szCs w:val="24"/>
        </w:rPr>
        <w:t>column</w:t>
      </w:r>
      <w:r w:rsidR="00885C5F">
        <w:rPr>
          <w:rFonts w:ascii="Times New Roman" w:hAnsi="Times New Roman" w:cs="Times New Roman"/>
          <w:sz w:val="24"/>
          <w:szCs w:val="24"/>
          <w:vertAlign w:val="subscript"/>
        </w:rPr>
        <w:t>i</w:t>
      </w:r>
      <w:proofErr w:type="spellEnd"/>
      <w:r w:rsidR="009C667D">
        <w:rPr>
          <w:rFonts w:ascii="Times New Roman" w:hAnsi="Times New Roman" w:cs="Times New Roman"/>
          <w:sz w:val="24"/>
          <w:szCs w:val="24"/>
        </w:rPr>
        <w:t xml:space="preserve">, </w:t>
      </w:r>
      <w:proofErr w:type="spellStart"/>
      <w:r w:rsidR="009C667D">
        <w:rPr>
          <w:rFonts w:ascii="Times New Roman" w:hAnsi="Times New Roman" w:cs="Times New Roman"/>
          <w:sz w:val="24"/>
          <w:szCs w:val="24"/>
        </w:rPr>
        <w:t>row</w:t>
      </w:r>
      <w:r w:rsidR="009C667D">
        <w:rPr>
          <w:rFonts w:ascii="Times New Roman" w:hAnsi="Times New Roman" w:cs="Times New Roman"/>
          <w:sz w:val="24"/>
          <w:szCs w:val="24"/>
          <w:vertAlign w:val="subscript"/>
        </w:rPr>
        <w:t>j</w:t>
      </w:r>
      <w:proofErr w:type="spellEnd"/>
      <w:r w:rsidR="009C667D">
        <w:rPr>
          <w:rFonts w:ascii="Times New Roman" w:hAnsi="Times New Roman" w:cs="Times New Roman"/>
          <w:sz w:val="24"/>
          <w:szCs w:val="24"/>
        </w:rPr>
        <w:t>.</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lastRenderedPageBreak/>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4A61914B" w14:textId="55309699" w:rsidR="0007633D" w:rsidRPr="0007633D" w:rsidRDefault="0007633D" w:rsidP="00A365D1">
      <w:pPr>
        <w:spacing w:line="480" w:lineRule="auto"/>
        <w:rPr>
          <w:rFonts w:ascii="Times New Roman" w:hAnsi="Times New Roman" w:cs="Times New Roman"/>
          <w:i/>
          <w:iCs/>
          <w:sz w:val="24"/>
          <w:szCs w:val="24"/>
        </w:rPr>
      </w:pPr>
      <w:r>
        <w:rPr>
          <w:rFonts w:ascii="Times New Roman" w:hAnsi="Times New Roman" w:cs="Times New Roman"/>
          <w:i/>
          <w:iCs/>
          <w:sz w:val="24"/>
          <w:szCs w:val="24"/>
        </w:rPr>
        <w:t>Opera</w:t>
      </w:r>
      <w:r w:rsidR="003A2ADA">
        <w:rPr>
          <w:rFonts w:ascii="Times New Roman" w:hAnsi="Times New Roman" w:cs="Times New Roman"/>
          <w:i/>
          <w:iCs/>
          <w:sz w:val="24"/>
          <w:szCs w:val="24"/>
        </w:rPr>
        <w:t>tionali</w:t>
      </w:r>
      <w:r>
        <w:rPr>
          <w:rFonts w:ascii="Times New Roman" w:hAnsi="Times New Roman" w:cs="Times New Roman"/>
          <w:i/>
          <w:iCs/>
          <w:sz w:val="24"/>
          <w:szCs w:val="24"/>
        </w:rPr>
        <w:t>zation of Time</w:t>
      </w:r>
    </w:p>
    <w:p w14:paraId="6691A5C4" w14:textId="34D40EC8" w:rsidR="00367C16"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2EDF8351" w14:textId="45F3201D" w:rsidR="005C40A6" w:rsidRPr="005C40A6" w:rsidRDefault="005C40A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w:t>
      </w:r>
      <w:r w:rsidR="00586816">
        <w:rPr>
          <w:rFonts w:ascii="Times New Roman" w:hAnsi="Times New Roman" w:cs="Times New Roman"/>
          <w:sz w:val="24"/>
          <w:szCs w:val="24"/>
        </w:rPr>
        <w:lastRenderedPageBreak/>
        <w:t xml:space="preserve">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w:t>
      </w:r>
      <w:r w:rsidR="00906439">
        <w:rPr>
          <w:rFonts w:ascii="Times New Roman" w:hAnsi="Times New Roman" w:cs="Times New Roman"/>
          <w:sz w:val="24"/>
          <w:szCs w:val="24"/>
        </w:rPr>
        <w:lastRenderedPageBreak/>
        <w:t>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w:t>
      </w:r>
      <w:r>
        <w:rPr>
          <w:rFonts w:ascii="Times New Roman" w:hAnsi="Times New Roman" w:cs="Times New Roman"/>
          <w:sz w:val="24"/>
          <w:szCs w:val="24"/>
        </w:rPr>
        <w:lastRenderedPageBreak/>
        <w:t xml:space="preserve">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w:t>
      </w:r>
      <w:proofErr w:type="spellStart"/>
      <w:r w:rsidR="002049D9">
        <w:rPr>
          <w:rFonts w:ascii="Times New Roman" w:hAnsi="Times New Roman" w:cs="Times New Roman"/>
          <w:sz w:val="24"/>
          <w:szCs w:val="24"/>
        </w:rPr>
        <w:t>Eyeota</w:t>
      </w:r>
      <w:proofErr w:type="spellEnd"/>
      <w:r w:rsidR="002049D9">
        <w:rPr>
          <w:rFonts w:ascii="Times New Roman" w:hAnsi="Times New Roman" w:cs="Times New Roman"/>
          <w:sz w:val="24"/>
          <w:szCs w:val="24"/>
        </w:rPr>
        <w:t xml:space="preserve">, usually with the goal of profiling customers. This information is most often gathered through internet cookies, which </w:t>
      </w:r>
      <w:r w:rsidR="0031337F">
        <w:rPr>
          <w:rFonts w:ascii="Times New Roman" w:hAnsi="Times New Roman" w:cs="Times New Roman"/>
          <w:sz w:val="24"/>
          <w:szCs w:val="24"/>
        </w:rPr>
        <w:t xml:space="preserve">while often required to make websites run correctly, also gather information about the </w:t>
      </w:r>
      <w:r w:rsidR="0031337F">
        <w:rPr>
          <w:rFonts w:ascii="Times New Roman" w:hAnsi="Times New Roman" w:cs="Times New Roman"/>
          <w:sz w:val="24"/>
          <w:szCs w:val="24"/>
        </w:rPr>
        <w:lastRenderedPageBreak/>
        <w:t>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xml:space="preserve">, even in projects that require multiple </w:t>
      </w:r>
      <w:r w:rsidR="00707008">
        <w:rPr>
          <w:rFonts w:ascii="Times New Roman" w:hAnsi="Times New Roman" w:cs="Times New Roman"/>
          <w:sz w:val="24"/>
          <w:szCs w:val="24"/>
        </w:rPr>
        <w:lastRenderedPageBreak/>
        <w:t>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3D557A67"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 xml:space="preserve">even when the correct race is listed in primary sources (like voting records) for 96% of the sample, the accuracy for the five datasets </w:t>
      </w:r>
      <w:proofErr w:type="gramStart"/>
      <w:r w:rsidR="003A7E46">
        <w:rPr>
          <w:rFonts w:ascii="Times New Roman" w:hAnsi="Times New Roman" w:cs="Times New Roman"/>
          <w:sz w:val="24"/>
          <w:szCs w:val="24"/>
        </w:rPr>
        <w:t>range</w:t>
      </w:r>
      <w:proofErr w:type="gramEnd"/>
      <w:r w:rsidR="003A7E46">
        <w:rPr>
          <w:rFonts w:ascii="Times New Roman" w:hAnsi="Times New Roman" w:cs="Times New Roman"/>
          <w:sz w:val="24"/>
          <w:szCs w:val="24"/>
        </w:rPr>
        <w:t xml:space="preserv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 have few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297AF161" w:rsidR="0059403D" w:rsidRPr="00B37263"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p>
    <w:p w14:paraId="35E9D29A" w14:textId="168C7997" w:rsidR="008B0A41" w:rsidRPr="008B5152" w:rsidRDefault="0062773C" w:rsidP="00A36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PIKs and PIK variable assignment,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person place assignment</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the locations. The Census Bureau also has a solution for researchers here: the Master Address File has </w:t>
      </w:r>
      <w:proofErr w:type="spellStart"/>
      <w:r w:rsidR="008B0A41" w:rsidRPr="008B5152">
        <w:rPr>
          <w:rFonts w:ascii="Times New Roman" w:hAnsi="Times New Roman" w:cs="Times New Roman"/>
          <w:sz w:val="24"/>
          <w:szCs w:val="24"/>
        </w:rPr>
        <w:t>IDentification</w:t>
      </w:r>
      <w:proofErr w:type="spellEnd"/>
      <w:r w:rsidR="008B0A41" w:rsidRPr="008B5152">
        <w:rPr>
          <w:rFonts w:ascii="Times New Roman" w:hAnsi="Times New Roman" w:cs="Times New Roman"/>
          <w:sz w:val="24"/>
          <w:szCs w:val="24"/>
        </w:rPr>
        <w:t xml:space="preserve">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008B0A41"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 xml:space="preserve">Administrative-data-based efforts rely on </w:t>
      </w:r>
      <w:r w:rsidR="00FF28DC" w:rsidRPr="008B5152">
        <w:rPr>
          <w:rFonts w:ascii="Times New Roman" w:hAnsi="Times New Roman" w:cs="Times New Roman"/>
          <w:sz w:val="24"/>
          <w:szCs w:val="24"/>
        </w:rPr>
        <w:lastRenderedPageBreak/>
        <w:t>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7703CDB5"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w:t>
      </w:r>
      <w:proofErr w:type="spellStart"/>
      <w:r w:rsidR="00FB1338">
        <w:rPr>
          <w:rFonts w:ascii="Times New Roman" w:hAnsi="Times New Roman" w:cs="Times New Roman"/>
          <w:sz w:val="24"/>
          <w:szCs w:val="24"/>
        </w:rPr>
        <w:t>demoframe</w:t>
      </w:r>
      <w:proofErr w:type="spellEnd"/>
      <w:r w:rsidR="00FB1338">
        <w:rPr>
          <w:rFonts w:ascii="Times New Roman" w:hAnsi="Times New Roman" w:cs="Times New Roman"/>
          <w:sz w:val="24"/>
          <w:szCs w:val="24"/>
        </w:rPr>
        <w:t>)</w:t>
      </w:r>
      <w:r w:rsidR="00FB77AE">
        <w:rPr>
          <w:rFonts w:ascii="Times New Roman" w:hAnsi="Times New Roman" w:cs="Times New Roman"/>
          <w:sz w:val="24"/>
          <w:szCs w:val="24"/>
        </w:rPr>
        <w:t xml:space="preserv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t>
      </w:r>
      <w:r w:rsidR="000D0268">
        <w:rPr>
          <w:rFonts w:ascii="Times New Roman" w:hAnsi="Times New Roman" w:cs="Times New Roman"/>
          <w:sz w:val="24"/>
          <w:szCs w:val="24"/>
        </w:rPr>
        <w:lastRenderedPageBreak/>
        <w:t xml:space="preserve">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51C13952"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w:t>
      </w:r>
      <w:r w:rsidR="00724EF7">
        <w:rPr>
          <w:rFonts w:ascii="Times New Roman" w:hAnsi="Times New Roman" w:cs="Times New Roman"/>
          <w:sz w:val="24"/>
          <w:szCs w:val="24"/>
        </w:rPr>
        <w:lastRenderedPageBreak/>
        <w:t xml:space="preserve">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 xml:space="preserve">s </w:t>
      </w:r>
      <w:proofErr w:type="gramStart"/>
      <w:r w:rsidR="00097CD3">
        <w:rPr>
          <w:rFonts w:ascii="Times New Roman" w:hAnsi="Times New Roman" w:cs="Times New Roman"/>
          <w:sz w:val="24"/>
          <w:szCs w:val="24"/>
        </w:rPr>
        <w:t>( including</w:t>
      </w:r>
      <w:proofErr w:type="gramEnd"/>
      <w:r w:rsidR="00097CD3">
        <w:rPr>
          <w:rFonts w:ascii="Times New Roman" w:hAnsi="Times New Roman" w:cs="Times New Roman"/>
          <w:sz w:val="24"/>
          <w:szCs w:val="24"/>
        </w:rPr>
        <w:t xml:space="preserve">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w:t>
      </w:r>
      <w:proofErr w:type="spellStart"/>
      <w:r w:rsidR="003F6C99">
        <w:rPr>
          <w:rFonts w:ascii="Times New Roman" w:hAnsi="Times New Roman" w:cs="Times New Roman"/>
          <w:sz w:val="24"/>
          <w:szCs w:val="24"/>
        </w:rPr>
        <w:t>Krippendorff’s</w:t>
      </w:r>
      <w:proofErr w:type="spellEnd"/>
      <w:r w:rsidR="003F6C99">
        <w:rPr>
          <w:rFonts w:ascii="Times New Roman" w:hAnsi="Times New Roman" w:cs="Times New Roman"/>
          <w:sz w:val="24"/>
          <w:szCs w:val="24"/>
        </w:rPr>
        <w:t xml:space="preserve">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is a whole-universe accounting like the Decennial Census, we can see if and where people are moving by comparing the three datasets used in the previous analyses (the 2020v3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proofErr w:type="spellStart"/>
      <w:r w:rsidR="00A47F1F">
        <w:rPr>
          <w:rFonts w:ascii="Times New Roman" w:hAnsi="Times New Roman" w:cs="Times New Roman"/>
          <w:sz w:val="24"/>
          <w:szCs w:val="24"/>
        </w:rPr>
        <w:t>spective</w:t>
      </w:r>
      <w:proofErr w:type="spellEnd"/>
      <w:r w:rsidR="00A47F1F">
        <w:rPr>
          <w:rFonts w:ascii="Times New Roman" w:hAnsi="Times New Roman" w:cs="Times New Roman"/>
          <w:sz w:val="24"/>
          <w:szCs w:val="24"/>
        </w:rPr>
        <w:t xml:space="preser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w:t>
      </w:r>
      <w:proofErr w:type="spellStart"/>
      <w:r w:rsidR="00894ADA">
        <w:rPr>
          <w:rFonts w:ascii="Times New Roman" w:hAnsi="Times New Roman" w:cs="Times New Roman"/>
          <w:sz w:val="24"/>
          <w:szCs w:val="24"/>
        </w:rPr>
        <w:t>demoframe</w:t>
      </w:r>
      <w:proofErr w:type="spellEnd"/>
      <w:r w:rsidR="00894ADA">
        <w:rPr>
          <w:rFonts w:ascii="Times New Roman" w:hAnsi="Times New Roman" w:cs="Times New Roman"/>
          <w:sz w:val="24"/>
          <w:szCs w:val="24"/>
        </w:rPr>
        <w:t xml:space="preserv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_two_source</w:t>
            </w:r>
            <w:proofErr w:type="spellEnd"/>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_four_source</w:t>
            </w:r>
            <w:proofErr w:type="spellEnd"/>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_only_sources</w:t>
            </w:r>
            <w:proofErr w:type="spellEnd"/>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_no_vsgi</w:t>
            </w:r>
            <w:proofErr w:type="spellEnd"/>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BRAPPA</w:t>
            </w:r>
            <w:r w:rsidR="00CF43AC">
              <w:rPr>
                <w:rFonts w:ascii="Times New Roman" w:hAnsi="Times New Roman" w:cs="Times New Roman"/>
                <w:sz w:val="24"/>
                <w:szCs w:val="24"/>
              </w:rPr>
              <w:t>_unitstat_resstat</w:t>
            </w:r>
            <w:proofErr w:type="spellEnd"/>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36B2641F" w14:textId="549788DA" w:rsidR="008A070B" w:rsidRDefault="00535A6C" w:rsidP="00535A6C">
      <w:pPr>
        <w:spacing w:line="480" w:lineRule="auto"/>
      </w:pPr>
      <w:r>
        <w:tab/>
        <w:t xml:space="preserve">The purpose of this chapter is to connect the first and final chapters. We explore the accuracy of PIK and MAFID assignment in chapter I. In chapter III, I will apply these methods to a </w:t>
      </w:r>
      <w:r w:rsidR="00722271">
        <w:t>hurricane case study. How accurate are migration estimates derived from the business rules 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w:t>
      </w:r>
      <w:r w:rsidRPr="008B5152">
        <w:rPr>
          <w:rFonts w:ascii="Times New Roman" w:hAnsi="Times New Roman" w:cs="Times New Roman"/>
          <w:sz w:val="24"/>
          <w:szCs w:val="24"/>
        </w:rPr>
        <w:lastRenderedPageBreak/>
        <w:t xml:space="preserve">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w:t>
      </w:r>
      <w:r w:rsidRPr="008B5152">
        <w:rPr>
          <w:rFonts w:ascii="Times New Roman" w:hAnsi="Times New Roman" w:cs="Times New Roman"/>
          <w:sz w:val="24"/>
          <w:szCs w:val="24"/>
        </w:rPr>
        <w:lastRenderedPageBreak/>
        <w:t>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w:t>
      </w:r>
      <w:proofErr w:type="gramStart"/>
      <w:r w:rsidRPr="008B5152">
        <w:rPr>
          <w:rFonts w:ascii="Times New Roman" w:hAnsi="Times New Roman" w:cs="Times New Roman"/>
          <w:sz w:val="24"/>
          <w:szCs w:val="24"/>
        </w:rPr>
        <w:t>jobs</w:t>
      </w:r>
      <w:proofErr w:type="gramEnd"/>
      <w:r w:rsidRPr="008B5152">
        <w:rPr>
          <w:rFonts w:ascii="Times New Roman" w:hAnsi="Times New Roman" w:cs="Times New Roman"/>
          <w:sz w:val="24"/>
          <w:szCs w:val="24"/>
        </w:rPr>
        <w:t xml:space="preserve">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w:t>
      </w:r>
      <w:r w:rsidRPr="008B5152">
        <w:rPr>
          <w:rFonts w:ascii="Times New Roman" w:hAnsi="Times New Roman" w:cs="Times New Roman"/>
          <w:sz w:val="24"/>
          <w:szCs w:val="24"/>
        </w:rPr>
        <w:lastRenderedPageBreak/>
        <w:t>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Pr="008B5152"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7F7684AC" w14:textId="302A5B5F" w:rsidR="002E56E2" w:rsidRDefault="002E56E2" w:rsidP="00990251">
      <w:pPr>
        <w:jc w:val="center"/>
      </w:pPr>
      <w:r>
        <w:t xml:space="preserve">Chapter III: </w:t>
      </w:r>
      <w:r w:rsidR="004A6218">
        <w:t>A Hurricane-Migration Case Study</w:t>
      </w:r>
    </w:p>
    <w:p w14:paraId="10CB53EA" w14:textId="69BD1DEE" w:rsidR="004A6218" w:rsidRP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w:t>
      </w:r>
      <w:r>
        <w:rPr>
          <w:rFonts w:ascii="Times New Roman" w:hAnsi="Times New Roman" w:cs="Times New Roman"/>
          <w:sz w:val="24"/>
          <w:szCs w:val="24"/>
        </w:rPr>
        <w:lastRenderedPageBreak/>
        <w:t xml:space="preserve">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5771218E" w14:textId="77777777" w:rsidR="00387817" w:rsidRPr="00387817" w:rsidRDefault="00A50E41" w:rsidP="00387817">
      <w:pPr>
        <w:pStyle w:val="Bibliography"/>
      </w:pPr>
      <w:r>
        <w:fldChar w:fldCharType="begin"/>
      </w:r>
      <w:r w:rsidR="003C52A1">
        <w:instrText xml:space="preserve"> ADDIN ZOTERO_BIBL {"uncited":[],"omitted":[],"custom":[]} CSL_BIBLIOGRAPHY </w:instrText>
      </w:r>
      <w:r>
        <w:fldChar w:fldCharType="separate"/>
      </w:r>
      <w:r w:rsidR="00387817" w:rsidRPr="00387817">
        <w:t xml:space="preserve">Ambel, Alemayehu, Kevin McGee, and Asmelash Tsegay. 2021. </w:t>
      </w:r>
      <w:r w:rsidR="00387817" w:rsidRPr="00387817">
        <w:rPr>
          <w:i/>
          <w:iCs/>
        </w:rPr>
        <w:t>Reducing Bias in Phone Survey Samples: Effectiveness of Reweighting Techniques Using Face-to-Face Surveys as Frames in Four African Countries</w:t>
      </w:r>
      <w:r w:rsidR="00387817" w:rsidRPr="00387817">
        <w:t>. Policy Research Working Papers. The World Bank.</w:t>
      </w:r>
    </w:p>
    <w:p w14:paraId="2A212013" w14:textId="77777777" w:rsidR="00387817" w:rsidRPr="00387817" w:rsidRDefault="00387817" w:rsidP="00387817">
      <w:pPr>
        <w:pStyle w:val="Bibliography"/>
      </w:pPr>
      <w:r w:rsidRPr="00387817">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sidRPr="00387817">
        <w:rPr>
          <w:i/>
          <w:iCs/>
        </w:rPr>
        <w:t>Journal of Medical Internet Research</w:t>
      </w:r>
      <w:r w:rsidRPr="00387817">
        <w:t xml:space="preserve"> 26(1):e50421. doi:10.2196/50421.</w:t>
      </w:r>
    </w:p>
    <w:p w14:paraId="53D84A6C" w14:textId="77777777" w:rsidR="00387817" w:rsidRPr="00387817" w:rsidRDefault="00387817" w:rsidP="00387817">
      <w:pPr>
        <w:pStyle w:val="Bibliography"/>
      </w:pPr>
      <w:r w:rsidRPr="00387817">
        <w:t xml:space="preserve">Berlemann, Michael, and Max Friedrich Steinhardt. 2017. “Climate Change, Natural Disasters, and Migration—a Survey of the Empirical Evidence.” </w:t>
      </w:r>
      <w:r w:rsidRPr="00387817">
        <w:rPr>
          <w:i/>
          <w:iCs/>
        </w:rPr>
        <w:t>CESifo Economic Studies</w:t>
      </w:r>
      <w:r w:rsidRPr="00387817">
        <w:t xml:space="preserve"> 63(4):353–85. doi:10.1093/cesifo/ifx019.</w:t>
      </w:r>
    </w:p>
    <w:p w14:paraId="2BAC030D" w14:textId="77777777" w:rsidR="00387817" w:rsidRPr="00387817" w:rsidRDefault="00387817" w:rsidP="00387817">
      <w:pPr>
        <w:pStyle w:val="Bibliography"/>
      </w:pPr>
      <w:r w:rsidRPr="00387817">
        <w:t>Bijak, Jakub. 2006. “Forecasting International Migration: Selected Theories, Models, and Methods.” http://www.cefmr.pan.pl/docs/cefmr_wp_2006-04.pdf.</w:t>
      </w:r>
    </w:p>
    <w:p w14:paraId="00FDE032" w14:textId="77777777" w:rsidR="00387817" w:rsidRPr="00387817" w:rsidRDefault="00387817" w:rsidP="00387817">
      <w:pPr>
        <w:pStyle w:val="Bibliography"/>
      </w:pPr>
      <w:r w:rsidRPr="00387817">
        <w:t xml:space="preserve">Bilecen, Başak, Markus Gamper, and Miranda J. Lubbers. 2018. “The Missing Link: Social Network Analysis in Migration and Transnationalism.” </w:t>
      </w:r>
      <w:r w:rsidRPr="00387817">
        <w:rPr>
          <w:i/>
          <w:iCs/>
        </w:rPr>
        <w:t>Social Networks</w:t>
      </w:r>
      <w:r w:rsidRPr="00387817">
        <w:t xml:space="preserve"> 53:1–3. doi:10.1016/j.socnet.2017.07.001.</w:t>
      </w:r>
    </w:p>
    <w:p w14:paraId="268E82CE" w14:textId="77777777" w:rsidR="00387817" w:rsidRPr="00387817" w:rsidRDefault="00387817" w:rsidP="00387817">
      <w:pPr>
        <w:pStyle w:val="Bibliography"/>
      </w:pPr>
      <w:r w:rsidRPr="00387817">
        <w:t xml:space="preserve">Böhme, Marcus H., André Gröger, and Tobias Stöhr. 2020. “Searching for a Better Life: Predicting International Migration with Online Search Keywords.” </w:t>
      </w:r>
      <w:r w:rsidRPr="00387817">
        <w:rPr>
          <w:i/>
          <w:iCs/>
        </w:rPr>
        <w:t>Journal of Development Economics</w:t>
      </w:r>
      <w:r w:rsidRPr="00387817">
        <w:t xml:space="preserve"> 142:102347. doi:10.1016/j.jdeveco.2019.04.002.</w:t>
      </w:r>
    </w:p>
    <w:p w14:paraId="443CEBDC" w14:textId="77777777" w:rsidR="00387817" w:rsidRPr="00387817" w:rsidRDefault="00387817" w:rsidP="00387817">
      <w:pPr>
        <w:pStyle w:val="Bibliography"/>
      </w:pPr>
      <w:r w:rsidRPr="00387817">
        <w:t xml:space="preserve">Bronson, Nathan, Thomas Lento, and Janet L. Wiener. 2015. “Open Data Challenges at Facebook.” Pp. 1516–19 in </w:t>
      </w:r>
      <w:r w:rsidRPr="00387817">
        <w:rPr>
          <w:i/>
          <w:iCs/>
        </w:rPr>
        <w:t>2015 IEEE 31st International Conference on Data Engineering</w:t>
      </w:r>
      <w:r w:rsidRPr="00387817">
        <w:t>.</w:t>
      </w:r>
    </w:p>
    <w:p w14:paraId="70311FC9" w14:textId="77777777" w:rsidR="00387817" w:rsidRPr="00387817" w:rsidRDefault="00387817" w:rsidP="00387817">
      <w:pPr>
        <w:pStyle w:val="Bibliography"/>
      </w:pPr>
      <w:r w:rsidRPr="00387817">
        <w:t xml:space="preserve">Call, Kathleen Thiede, Michael Davern, Michel Boudreaux, Pamela Jo Johnson, and Justine Nelson. 2011. “Bias in Telephone Surveys That Do Not Sample Cell Phones: Uses and Limits of Poststratification Adjustments.” </w:t>
      </w:r>
      <w:r w:rsidRPr="00387817">
        <w:rPr>
          <w:i/>
          <w:iCs/>
        </w:rPr>
        <w:t>Medical Care</w:t>
      </w:r>
      <w:r w:rsidRPr="00387817">
        <w:t xml:space="preserve"> 49(4):355. doi:10.1097/MLR.0b013e3182028ac7.</w:t>
      </w:r>
    </w:p>
    <w:p w14:paraId="279D67D8" w14:textId="77777777" w:rsidR="00387817" w:rsidRPr="00387817" w:rsidRDefault="00387817" w:rsidP="00387817">
      <w:pPr>
        <w:pStyle w:val="Bibliography"/>
      </w:pPr>
      <w:r w:rsidRPr="00387817">
        <w:t>Card, David, Raj Chetty, Martin S. Feldstein, and Emmanuel Saez. 2010. “Expanding Access to Administrative Data for Research in the United States.”</w:t>
      </w:r>
    </w:p>
    <w:p w14:paraId="5CA58CD4" w14:textId="77777777" w:rsidR="00387817" w:rsidRPr="00387817" w:rsidRDefault="00387817" w:rsidP="00387817">
      <w:pPr>
        <w:pStyle w:val="Bibliography"/>
      </w:pPr>
      <w:r w:rsidRPr="00387817">
        <w:t xml:space="preserve">Craig, Jean B., Joan M. Culley, Jane Richter, Erik R. Svendsen, and Sara Donevant. 2018. “Data Capture and Analysis of Signs and Symptoms in a Chemically Exposed Population.” </w:t>
      </w:r>
      <w:r w:rsidRPr="00387817">
        <w:rPr>
          <w:i/>
          <w:iCs/>
        </w:rPr>
        <w:t>Journal of Informatics Nursing</w:t>
      </w:r>
      <w:r w:rsidRPr="00387817">
        <w:t xml:space="preserve"> 3(3):10–15.</w:t>
      </w:r>
    </w:p>
    <w:p w14:paraId="5618862B" w14:textId="77777777" w:rsidR="00387817" w:rsidRPr="00387817" w:rsidRDefault="00387817" w:rsidP="00387817">
      <w:pPr>
        <w:pStyle w:val="Bibliography"/>
      </w:pPr>
      <w:r w:rsidRPr="00387817">
        <w:t xml:space="preserve">Craig, Jean B., Joan M. Culley, Abbas Tavakoli, and Erik R. Svendsen. 2013. “Gleaning Data From Disaster: A Hospital-Based Data Mining Method To Studying All-Hazard Triage After A Chemical Disaster.” </w:t>
      </w:r>
      <w:r w:rsidRPr="00387817">
        <w:rPr>
          <w:i/>
          <w:iCs/>
        </w:rPr>
        <w:t>American Journal of Disaster Medicine</w:t>
      </w:r>
      <w:r w:rsidRPr="00387817">
        <w:t xml:space="preserve"> 8(2):97–111. doi:10.5055/ajdm.2013.0116.</w:t>
      </w:r>
    </w:p>
    <w:p w14:paraId="05E001B5" w14:textId="77777777" w:rsidR="00387817" w:rsidRPr="00387817" w:rsidRDefault="00387817" w:rsidP="00387817">
      <w:pPr>
        <w:pStyle w:val="Bibliography"/>
      </w:pPr>
      <w:r w:rsidRPr="00387817">
        <w:lastRenderedPageBreak/>
        <w:t xml:space="preserve">Curtis, Katherine, Elizabeth Fussell, and Jack DeWaard. 2015. “Recovery Migration after Hurricanes Katrina and Rita: Spatial Concentration and Intensification in the Migration System.” </w:t>
      </w:r>
      <w:r w:rsidRPr="00387817">
        <w:rPr>
          <w:i/>
          <w:iCs/>
        </w:rPr>
        <w:t>Demography</w:t>
      </w:r>
      <w:r w:rsidRPr="00387817">
        <w:t xml:space="preserve"> 52(4):1269–93. doi:10.1007/s13524-015-0400-7.</w:t>
      </w:r>
    </w:p>
    <w:p w14:paraId="7DAE274F" w14:textId="77777777" w:rsidR="00387817" w:rsidRPr="00387817" w:rsidRDefault="00387817" w:rsidP="00387817">
      <w:pPr>
        <w:pStyle w:val="Bibliography"/>
      </w:pPr>
      <w:r w:rsidRPr="00387817">
        <w:t>Demographic Frame Team. 2025. “Demographic Frame Extract Notes- 2023v1.”</w:t>
      </w:r>
    </w:p>
    <w:p w14:paraId="1D27087F" w14:textId="77777777" w:rsidR="00387817" w:rsidRPr="00387817" w:rsidRDefault="00387817" w:rsidP="00387817">
      <w:pPr>
        <w:pStyle w:val="Bibliography"/>
      </w:pPr>
      <w:r w:rsidRPr="00387817">
        <w:t>Devine, Jason, Spader Jonathan, and King Ryan. 2021. “2020 Census Data Review.” https://www.census.gov/newsroom/blogs/random-samplings/2021/04/2020-census-data-review.html.</w:t>
      </w:r>
    </w:p>
    <w:p w14:paraId="7D7DC148" w14:textId="77777777" w:rsidR="00387817" w:rsidRPr="00387817" w:rsidRDefault="00387817" w:rsidP="00387817">
      <w:pPr>
        <w:pStyle w:val="Bibliography"/>
      </w:pPr>
      <w:r w:rsidRPr="00387817">
        <w:t xml:space="preserve">Faist, Thomas. 2015. “Transnational Social Spaces.” </w:t>
      </w:r>
      <w:r w:rsidRPr="00387817">
        <w:rPr>
          <w:i/>
          <w:iCs/>
        </w:rPr>
        <w:t>Ethnic and Racial Studies</w:t>
      </w:r>
      <w:r w:rsidRPr="00387817">
        <w:t xml:space="preserve"> 38(13):2271–74. doi:10.1080/01419870.2015.1058502.</w:t>
      </w:r>
    </w:p>
    <w:p w14:paraId="5C6CDC7E" w14:textId="77777777" w:rsidR="00387817" w:rsidRPr="00387817" w:rsidRDefault="00387817" w:rsidP="00387817">
      <w:pPr>
        <w:pStyle w:val="Bibliography"/>
      </w:pPr>
      <w:r w:rsidRPr="00387817">
        <w:t xml:space="preserve">Feliciano, Cynthia, and Yader R. Lanuza. 2017. “An Immigrant Paradox? Contextual Attainment and Intergenerational Educational Mobility.” </w:t>
      </w:r>
      <w:r w:rsidRPr="00387817">
        <w:rPr>
          <w:i/>
          <w:iCs/>
        </w:rPr>
        <w:t>American Sociological Review</w:t>
      </w:r>
      <w:r w:rsidRPr="00387817">
        <w:t xml:space="preserve"> 82(1):211–41. doi:10.1177/0003122416684777.</w:t>
      </w:r>
    </w:p>
    <w:p w14:paraId="5753B8FF" w14:textId="77777777" w:rsidR="00387817" w:rsidRPr="00387817" w:rsidRDefault="00387817" w:rsidP="00387817">
      <w:pPr>
        <w:pStyle w:val="Bibliography"/>
      </w:pPr>
      <w:r w:rsidRPr="00387817">
        <w:t xml:space="preserve">Fussell, Elizabeth, and Douglas S. Massey. 2004. “The Limits to Cumulative Causation: International Migration from Mexican Urban Areas.” </w:t>
      </w:r>
      <w:r w:rsidRPr="00387817">
        <w:rPr>
          <w:i/>
          <w:iCs/>
        </w:rPr>
        <w:t>Demography</w:t>
      </w:r>
      <w:r w:rsidRPr="00387817">
        <w:t xml:space="preserve"> 41(1):151–71. https://www.jstor.org/stable/1515217.</w:t>
      </w:r>
    </w:p>
    <w:p w14:paraId="41ECE5B4" w14:textId="77777777" w:rsidR="00387817" w:rsidRPr="00387817" w:rsidRDefault="00387817" w:rsidP="00387817">
      <w:pPr>
        <w:pStyle w:val="Bibliography"/>
      </w:pPr>
      <w:r w:rsidRPr="00387817">
        <w:t xml:space="preserve">Gourlay, Sydney, Talip Kilic, Antonio Martuscelli, Philip Wollburg, and Alberto Zezza. 2021. “Viewpoint: High-Frequency Phone Surveys on COVID-19: Good Practices, Open Questions.” </w:t>
      </w:r>
      <w:r w:rsidRPr="00387817">
        <w:rPr>
          <w:i/>
          <w:iCs/>
        </w:rPr>
        <w:t>Food Policy</w:t>
      </w:r>
      <w:r w:rsidRPr="00387817">
        <w:t xml:space="preserve"> 105:102153. doi:10.1016/j.foodpol.2021.102153.</w:t>
      </w:r>
    </w:p>
    <w:p w14:paraId="383506C7" w14:textId="77777777" w:rsidR="00387817" w:rsidRPr="00387817" w:rsidRDefault="00387817" w:rsidP="00387817">
      <w:pPr>
        <w:pStyle w:val="Bibliography"/>
      </w:pPr>
      <w:r w:rsidRPr="00387817">
        <w:t xml:space="preserve">Harron, Katie, Chris Dibben, James Boyd, Anders Hjern, Mahmoud Azimaee, Mauricio L. Barreto, and Harvey Goldstein. 2017. “Challenges in Administrative Data Linkage for Research.” </w:t>
      </w:r>
      <w:r w:rsidRPr="00387817">
        <w:rPr>
          <w:i/>
          <w:iCs/>
        </w:rPr>
        <w:t>Big Data &amp; Society</w:t>
      </w:r>
      <w:r w:rsidRPr="00387817">
        <w:t xml:space="preserve"> 4(2):2053951717745678. doi:10.1177/2053951717745678.</w:t>
      </w:r>
    </w:p>
    <w:p w14:paraId="6551D8B5" w14:textId="77777777" w:rsidR="00387817" w:rsidRPr="00387817" w:rsidRDefault="00387817" w:rsidP="00387817">
      <w:pPr>
        <w:pStyle w:val="Bibliography"/>
      </w:pPr>
      <w:r w:rsidRPr="00387817">
        <w:t>Hauer, Mathew, and James Byars. 2019. “IRS County-to-County Migration Data, 1990</w:t>
      </w:r>
      <w:r w:rsidRPr="00387817">
        <w:rPr>
          <w:rFonts w:ascii="Arial" w:hAnsi="Arial" w:cs="Arial"/>
        </w:rPr>
        <w:t>‒</w:t>
      </w:r>
      <w:r w:rsidRPr="00387817">
        <w:t>2010.</w:t>
      </w:r>
      <w:r w:rsidRPr="00387817">
        <w:rPr>
          <w:rFonts w:ascii="Aptos" w:hAnsi="Aptos" w:cs="Aptos"/>
        </w:rPr>
        <w:t>”</w:t>
      </w:r>
      <w:r w:rsidRPr="00387817">
        <w:t xml:space="preserve"> </w:t>
      </w:r>
      <w:r w:rsidRPr="00387817">
        <w:rPr>
          <w:i/>
          <w:iCs/>
        </w:rPr>
        <w:t>Demographic Research</w:t>
      </w:r>
      <w:r w:rsidRPr="00387817">
        <w:t xml:space="preserve"> 40:1153–66. https://www.demographic-research.org/articles/volume/40/40.</w:t>
      </w:r>
    </w:p>
    <w:p w14:paraId="0FF37E7C" w14:textId="77777777" w:rsidR="00387817" w:rsidRPr="00387817" w:rsidRDefault="00387817" w:rsidP="00387817">
      <w:pPr>
        <w:pStyle w:val="Bibliography"/>
      </w:pPr>
      <w:r w:rsidRPr="00387817">
        <w:t xml:space="preserve">Hauer, Mathew E., Steven R. Holloway, and Takashi Oda. 2020. “Evacuees and Migrants Exhibit Different Migration Systems After the Great East Japan Earthquake and Tsunami.” </w:t>
      </w:r>
      <w:r w:rsidRPr="00387817">
        <w:rPr>
          <w:i/>
          <w:iCs/>
        </w:rPr>
        <w:t>Demography</w:t>
      </w:r>
      <w:r w:rsidRPr="00387817">
        <w:t xml:space="preserve"> 57(4):1437–57. doi:10.1007/s13524-020-00883-7.</w:t>
      </w:r>
    </w:p>
    <w:p w14:paraId="0B480FA6" w14:textId="77777777" w:rsidR="00387817" w:rsidRPr="00387817" w:rsidRDefault="00387817" w:rsidP="00387817">
      <w:pPr>
        <w:pStyle w:val="Bibliography"/>
      </w:pPr>
      <w:r w:rsidRPr="00387817">
        <w:t>Johnson, Roger, Justin Bland, and Charles Coleman. 2008. “Impacts of the 2005 Gulf Coast Hurricanes on Domestic Migration The U.S. Census Bureau’s Response.”</w:t>
      </w:r>
    </w:p>
    <w:p w14:paraId="668D1A69" w14:textId="77777777" w:rsidR="00387817" w:rsidRPr="00387817" w:rsidRDefault="00387817" w:rsidP="00387817">
      <w:pPr>
        <w:pStyle w:val="Bibliography"/>
      </w:pPr>
      <w:r w:rsidRPr="00387817">
        <w:t xml:space="preserve">Lathan, Hannah Stuart, Amy Kwan, Courtney Takats, Joshua P. Tanner, Rachel Wormer, Diana Romero, and Heidi E. Jones. 2023. “Ethical Considerations and Methodological Uses of Facebook Data in Public Health Research: A Systematic Review.” </w:t>
      </w:r>
      <w:r w:rsidRPr="00387817">
        <w:rPr>
          <w:i/>
          <w:iCs/>
        </w:rPr>
        <w:t>Social Science &amp; Medicine</w:t>
      </w:r>
      <w:r w:rsidRPr="00387817">
        <w:t xml:space="preserve"> 322:115807. doi:10.1016/j.socscimed.2023.115807.</w:t>
      </w:r>
    </w:p>
    <w:p w14:paraId="4E3B1672" w14:textId="77777777" w:rsidR="00387817" w:rsidRPr="00387817" w:rsidRDefault="00387817" w:rsidP="00387817">
      <w:pPr>
        <w:pStyle w:val="Bibliography"/>
      </w:pPr>
      <w:r w:rsidRPr="00387817">
        <w:t>Layne, Mary, Deborah Wagner, and Cynthia Rothhaas. 2014. “Estimating Record Linkage False Match Rate for the Person Identification Validation System.”</w:t>
      </w:r>
    </w:p>
    <w:p w14:paraId="4BD8E742" w14:textId="77777777" w:rsidR="00387817" w:rsidRPr="00387817" w:rsidRDefault="00387817" w:rsidP="00387817">
      <w:pPr>
        <w:pStyle w:val="Bibliography"/>
      </w:pPr>
      <w:r w:rsidRPr="00387817">
        <w:t xml:space="preserve">Lee, Everett S. 1966. “A Theory of Migration.” </w:t>
      </w:r>
      <w:r w:rsidRPr="00387817">
        <w:rPr>
          <w:i/>
          <w:iCs/>
        </w:rPr>
        <w:t>Demography</w:t>
      </w:r>
      <w:r w:rsidRPr="00387817">
        <w:t xml:space="preserve"> 3(1):47–57. doi:10.2307/2060063.</w:t>
      </w:r>
    </w:p>
    <w:p w14:paraId="5B2CB2A1" w14:textId="77777777" w:rsidR="00387817" w:rsidRPr="00387817" w:rsidRDefault="00387817" w:rsidP="00387817">
      <w:pPr>
        <w:pStyle w:val="Bibliography"/>
      </w:pPr>
      <w:r w:rsidRPr="00387817">
        <w:lastRenderedPageBreak/>
        <w:t>Linden, Thomas, Rishabh Khandelwal, Hamza Harkous, and Kassem Fawaz. 2019. “The Privacy Policy Landscape After the GDPR.”</w:t>
      </w:r>
    </w:p>
    <w:p w14:paraId="5CCDBAA8" w14:textId="77777777" w:rsidR="00387817" w:rsidRPr="00387817" w:rsidRDefault="00387817" w:rsidP="00387817">
      <w:pPr>
        <w:pStyle w:val="Bibliography"/>
      </w:pPr>
      <w:r w:rsidRPr="00387817">
        <w:t xml:space="preserve">Markovikj, Dejan, Sonja Gievska, Michal Kosinski, and David Stillwell. 2013. “Mining Facebook Data for Predictive Personality Modeling.” </w:t>
      </w:r>
      <w:r w:rsidRPr="00387817">
        <w:rPr>
          <w:i/>
          <w:iCs/>
        </w:rPr>
        <w:t>Proceedings of the International AAAI Conference on Web and Social Media</w:t>
      </w:r>
      <w:r w:rsidRPr="00387817">
        <w:t xml:space="preserve"> 7(2):23–26. doi:10.1609/icwsm.v7i2.14466.</w:t>
      </w:r>
    </w:p>
    <w:p w14:paraId="5B7E95A6" w14:textId="77777777" w:rsidR="00387817" w:rsidRPr="00387817" w:rsidRDefault="00387817" w:rsidP="00387817">
      <w:pPr>
        <w:pStyle w:val="Bibliography"/>
      </w:pPr>
      <w:r w:rsidRPr="00387817">
        <w:t xml:space="preserve">Massey, Douglas S. 1990. “Social Structure, Household Strategies, and the Cumulative Causation of Migration.” </w:t>
      </w:r>
      <w:r w:rsidRPr="00387817">
        <w:rPr>
          <w:i/>
          <w:iCs/>
        </w:rPr>
        <w:t>Population Index</w:t>
      </w:r>
      <w:r w:rsidRPr="00387817">
        <w:t xml:space="preserve"> 56(1):3–26. doi:10.2307/3644186.</w:t>
      </w:r>
    </w:p>
    <w:p w14:paraId="223FDA3F" w14:textId="77777777" w:rsidR="00387817" w:rsidRPr="00387817" w:rsidRDefault="00387817" w:rsidP="00387817">
      <w:pPr>
        <w:pStyle w:val="Bibliography"/>
      </w:pPr>
      <w:r w:rsidRPr="00387817">
        <w:t xml:space="preserve">Massey, Douglas S. 2015. “A Missing Element in Migration Theories.” </w:t>
      </w:r>
      <w:r w:rsidRPr="00387817">
        <w:rPr>
          <w:i/>
          <w:iCs/>
        </w:rPr>
        <w:t>Migration Letters</w:t>
      </w:r>
      <w:r w:rsidRPr="00387817">
        <w:t xml:space="preserve"> 12(3):279–99. doi:10.59670/ml.v12i3.280.</w:t>
      </w:r>
    </w:p>
    <w:p w14:paraId="06A46DAB" w14:textId="77777777" w:rsidR="00387817" w:rsidRPr="00387817" w:rsidRDefault="00387817" w:rsidP="00387817">
      <w:pPr>
        <w:pStyle w:val="Bibliography"/>
      </w:pPr>
      <w:r w:rsidRPr="00387817">
        <w:t xml:space="preserve">Massey, Douglas S., Joaquín Arango, Graeme Hugo, Ali Kouaouci, Adela Pellegrino, and J. Edward Taylor. 1993. “Theories of International Migration: A Review and Appraisal.” </w:t>
      </w:r>
      <w:r w:rsidRPr="00387817">
        <w:rPr>
          <w:i/>
          <w:iCs/>
        </w:rPr>
        <w:t>Population and Development Review</w:t>
      </w:r>
      <w:r w:rsidRPr="00387817">
        <w:t xml:space="preserve"> 19(3):431–66. doi:10.2307/2938462.</w:t>
      </w:r>
    </w:p>
    <w:p w14:paraId="6D0FF73C" w14:textId="77777777" w:rsidR="00387817" w:rsidRPr="00387817" w:rsidRDefault="00387817" w:rsidP="00387817">
      <w:pPr>
        <w:pStyle w:val="Bibliography"/>
      </w:pPr>
      <w:r w:rsidRPr="00387817">
        <w:t xml:space="preserve">Mayer, Jonathan R., and John C. Mitchell. 2012. “Third-Party Web Tracking: Policy and Technology.” Pp. 413–27 in </w:t>
      </w:r>
      <w:r w:rsidRPr="00387817">
        <w:rPr>
          <w:i/>
          <w:iCs/>
        </w:rPr>
        <w:t>2012 IEEE Symposium on Security and Privacy</w:t>
      </w:r>
      <w:r w:rsidRPr="00387817">
        <w:t>.</w:t>
      </w:r>
    </w:p>
    <w:p w14:paraId="188CA8E4" w14:textId="77777777" w:rsidR="00387817" w:rsidRPr="00387817" w:rsidRDefault="00387817" w:rsidP="00387817">
      <w:pPr>
        <w:pStyle w:val="Bibliography"/>
      </w:pPr>
      <w:r w:rsidRPr="00387817">
        <w:t xml:space="preserve">Mitchell, Travis. 2018. </w:t>
      </w:r>
      <w:r w:rsidRPr="00387817">
        <w:rPr>
          <w:i/>
          <w:iCs/>
        </w:rPr>
        <w:t>Commercial Voter Files and the Study of U.S. Politics</w:t>
      </w:r>
      <w:r w:rsidRPr="00387817">
        <w:t>. Pew Research Center. https://www.pewresearch.org/methods/2018/02/15/demographic-data/.</w:t>
      </w:r>
    </w:p>
    <w:p w14:paraId="6738027A" w14:textId="77777777" w:rsidR="00387817" w:rsidRPr="00387817" w:rsidRDefault="00387817" w:rsidP="00387817">
      <w:pPr>
        <w:pStyle w:val="Bibliography"/>
      </w:pPr>
      <w:r w:rsidRPr="00387817">
        <w:t xml:space="preserve">Molloy, Raven, Christopher L. Smith, and Abigail Wozniak. 2011. “Internal Migration in the United States.” </w:t>
      </w:r>
      <w:r w:rsidRPr="00387817">
        <w:rPr>
          <w:i/>
          <w:iCs/>
        </w:rPr>
        <w:t>Journal of Economic Perspectives</w:t>
      </w:r>
      <w:r w:rsidRPr="00387817">
        <w:t xml:space="preserve"> 25(3):173–96. doi:10.1257/jep.25.3.173.</w:t>
      </w:r>
    </w:p>
    <w:p w14:paraId="6AC3DF61" w14:textId="77777777" w:rsidR="00387817" w:rsidRPr="00387817" w:rsidRDefault="00387817" w:rsidP="00387817">
      <w:pPr>
        <w:pStyle w:val="Bibliography"/>
      </w:pPr>
      <w:r w:rsidRPr="00387817">
        <w:t>Mulry, Mary H., and Cristina J. Tello-Trillo. 2023. “Full Report of the Comparisons of Administrative Record Rosters to Census Self-Responses and NRFU Household Member Responses.”</w:t>
      </w:r>
    </w:p>
    <w:p w14:paraId="775D7D01" w14:textId="77777777" w:rsidR="00387817" w:rsidRPr="00387817" w:rsidRDefault="00387817" w:rsidP="00387817">
      <w:pPr>
        <w:pStyle w:val="Bibliography"/>
      </w:pPr>
      <w:r w:rsidRPr="00387817">
        <w:t>Narayanan, Arvind, and Vitaly Shmatikov. 2007. “How To Break Anonymity of the Netflix Prize Dataset.”</w:t>
      </w:r>
    </w:p>
    <w:p w14:paraId="5891775D" w14:textId="77777777" w:rsidR="00387817" w:rsidRPr="00387817" w:rsidRDefault="00387817" w:rsidP="00387817">
      <w:pPr>
        <w:pStyle w:val="Bibliography"/>
      </w:pPr>
      <w:r w:rsidRPr="00387817">
        <w:t>Ortman, Jennifer, and Anthony Knapp. 2023. “Demographic Frame: Leveraging Person-Level Data to Enhance Census and Survey Taking.” Presented at the 2023 Southern Demographic Association Annual Meeting, San Antonio, Texas.</w:t>
      </w:r>
    </w:p>
    <w:p w14:paraId="5F9D091E" w14:textId="77777777" w:rsidR="00387817" w:rsidRPr="00387817" w:rsidRDefault="00387817" w:rsidP="00387817">
      <w:pPr>
        <w:pStyle w:val="Bibliography"/>
      </w:pPr>
      <w:r w:rsidRPr="00387817">
        <w:t xml:space="preserve">Piguet, Etienne, Pécoud Antoine, and Paul de Guchteneire. 2011. “Migration and Climate Change: An Overview.” </w:t>
      </w:r>
      <w:r w:rsidRPr="00387817">
        <w:rPr>
          <w:i/>
          <w:iCs/>
        </w:rPr>
        <w:t>Refugee Survey Quarterly</w:t>
      </w:r>
      <w:r w:rsidRPr="00387817">
        <w:t xml:space="preserve"> 30(3):1–23. doi:10.1093/rsq/hdr006.</w:t>
      </w:r>
    </w:p>
    <w:p w14:paraId="2673B80A" w14:textId="77777777" w:rsidR="00387817" w:rsidRPr="00387817" w:rsidRDefault="00387817" w:rsidP="00387817">
      <w:pPr>
        <w:pStyle w:val="Bibliography"/>
      </w:pPr>
      <w:r w:rsidRPr="00387817">
        <w:t xml:space="preserve">Roth, Wendy D. 2009. “‘Latino before the World’: The Transnational Extension of Panethnicity.” </w:t>
      </w:r>
      <w:r w:rsidRPr="00387817">
        <w:rPr>
          <w:i/>
          <w:iCs/>
        </w:rPr>
        <w:t>Ethnic and Racial Studies</w:t>
      </w:r>
      <w:r w:rsidRPr="00387817">
        <w:t xml:space="preserve"> 32(6):927–47. doi:10.1080/01419870802245042.</w:t>
      </w:r>
    </w:p>
    <w:p w14:paraId="40681FF0" w14:textId="77777777" w:rsidR="00387817" w:rsidRPr="00387817" w:rsidRDefault="00387817" w:rsidP="00387817">
      <w:pPr>
        <w:pStyle w:val="Bibliography"/>
      </w:pPr>
      <w:r w:rsidRPr="00387817">
        <w:t xml:space="preserve">Stark, Oded, and J. Edward Taylor. 1991. “Migration Incentives, Migration Types: The Role of Relative Deprivation.” </w:t>
      </w:r>
      <w:r w:rsidRPr="00387817">
        <w:rPr>
          <w:i/>
          <w:iCs/>
        </w:rPr>
        <w:t>The Economic Journal</w:t>
      </w:r>
      <w:r w:rsidRPr="00387817">
        <w:t xml:space="preserve"> 101(408):1163–78. doi:10.2307/2234433.</w:t>
      </w:r>
    </w:p>
    <w:p w14:paraId="759E1EE3" w14:textId="77777777" w:rsidR="00387817" w:rsidRPr="00387817" w:rsidRDefault="00387817" w:rsidP="00387817">
      <w:pPr>
        <w:pStyle w:val="Bibliography"/>
      </w:pPr>
      <w:r w:rsidRPr="00387817">
        <w:t xml:space="preserve">Stouffer, Samuel A. 1940. “Intervening Opportunities: A Theory Relating Mobility and Distance.” </w:t>
      </w:r>
      <w:r w:rsidRPr="00387817">
        <w:rPr>
          <w:i/>
          <w:iCs/>
        </w:rPr>
        <w:t>American Sociological Review</w:t>
      </w:r>
      <w:r w:rsidRPr="00387817">
        <w:t xml:space="preserve"> 5(6):845–67. doi:10.2307/2084520.</w:t>
      </w:r>
    </w:p>
    <w:p w14:paraId="4E13EF76" w14:textId="77777777" w:rsidR="00387817" w:rsidRPr="00387817" w:rsidRDefault="00387817" w:rsidP="00387817">
      <w:pPr>
        <w:pStyle w:val="Bibliography"/>
      </w:pPr>
      <w:r w:rsidRPr="00387817">
        <w:lastRenderedPageBreak/>
        <w:t xml:space="preserve">Streiner, David L., Geoffrey R. Norman, and John Cairney. 2015. </w:t>
      </w:r>
      <w:r w:rsidRPr="00387817">
        <w:rPr>
          <w:i/>
          <w:iCs/>
        </w:rPr>
        <w:t>Health Measurement Scales</w:t>
      </w:r>
      <w:r w:rsidRPr="00387817">
        <w:t>. Oxford: Oxford University Press.</w:t>
      </w:r>
    </w:p>
    <w:p w14:paraId="6DD66B97" w14:textId="77777777" w:rsidR="00387817" w:rsidRPr="00387817" w:rsidRDefault="00387817" w:rsidP="00387817">
      <w:pPr>
        <w:pStyle w:val="Bibliography"/>
      </w:pPr>
      <w:r w:rsidRPr="00387817">
        <w:t xml:space="preserve">Taylor, J. Edward. 1984. </w:t>
      </w:r>
      <w:r w:rsidRPr="00387817">
        <w:rPr>
          <w:i/>
          <w:iCs/>
        </w:rPr>
        <w:t>Differential Migration, Networks, Information and Risk</w:t>
      </w:r>
      <w:r w:rsidRPr="00387817">
        <w:t>. Migration and Development Program, Harvard University.</w:t>
      </w:r>
    </w:p>
    <w:p w14:paraId="55EA6502" w14:textId="77777777" w:rsidR="00387817" w:rsidRPr="00387817" w:rsidRDefault="00387817" w:rsidP="00387817">
      <w:pPr>
        <w:pStyle w:val="Bibliography"/>
      </w:pPr>
      <w:r w:rsidRPr="00387817">
        <w:t>United States Census Bureau. 2025a. “About Metropolitan and Micropolitan Statistical Areas.” https://www.census.gov/programs-surveys/metro-micro/about.html.</w:t>
      </w:r>
    </w:p>
    <w:p w14:paraId="1C31DFF6" w14:textId="77777777" w:rsidR="00387817" w:rsidRPr="00387817" w:rsidRDefault="00387817" w:rsidP="00387817">
      <w:pPr>
        <w:pStyle w:val="Bibliography"/>
      </w:pPr>
      <w:r w:rsidRPr="00387817">
        <w:t>United States Census Bureau. 2025b. “Decennial Census of Population and Housing Questionnaires &amp; Instructions.” https://www.census.gov/programs-surveys/decennial-census/technical-documentation/questionnaires.html.</w:t>
      </w:r>
    </w:p>
    <w:p w14:paraId="406998DD" w14:textId="77777777" w:rsidR="00387817" w:rsidRPr="00387817" w:rsidRDefault="00387817" w:rsidP="00387817">
      <w:pPr>
        <w:pStyle w:val="Bibliography"/>
      </w:pPr>
      <w:r w:rsidRPr="00387817">
        <w:t>United States Census Bureau. 2025c. “Design and Methodology Report.” https://www.census.gov/programs-surveys/acs/methodology/design-and-methodology.html.</w:t>
      </w:r>
    </w:p>
    <w:p w14:paraId="2E1A2E7A" w14:textId="77777777" w:rsidR="00387817" w:rsidRPr="00387817" w:rsidRDefault="00387817" w:rsidP="00387817">
      <w:pPr>
        <w:pStyle w:val="Bibliography"/>
      </w:pPr>
      <w:r w:rsidRPr="00387817">
        <w:t>Xin, Rui, Niloofar Mireshghallah, Shuyue Stella Li, Michael Duan, Hyunwoo Kim, Yejin Choi, Yulia Tsvetkov, Sewoong Oh, and Pang Wei Koh. 2025. “A False Sense of Privacy: Evaluating Textual Data Sanitization Beyond Surface-Level Privacy Leakage.”</w:t>
      </w:r>
    </w:p>
    <w:p w14:paraId="3D75D024" w14:textId="77777777" w:rsidR="00387817" w:rsidRPr="00387817" w:rsidRDefault="00387817" w:rsidP="00387817">
      <w:pPr>
        <w:pStyle w:val="Bibliography"/>
      </w:pPr>
      <w:r w:rsidRPr="00387817">
        <w:t xml:space="preserve">Zhou, Bing, Lei Zou, Ali Mostafavi, Binbin Lin, Mingzheng Yang, Nasir Gharaibeh, Heng Cai, Joynal Abedin, and Debayan Mandal. 2022. “VictimFinder: Harvesting Rescue Requests in Disaster Response from Social Media with BERT.” </w:t>
      </w:r>
      <w:r w:rsidRPr="00387817">
        <w:rPr>
          <w:i/>
          <w:iCs/>
        </w:rPr>
        <w:t>Computers, Environment and Urban Systems</w:t>
      </w:r>
      <w:r w:rsidRPr="00387817">
        <w:t xml:space="preserve"> 95:101824. doi:10.1016/j.compenvurbsys.2022.101824.</w:t>
      </w:r>
    </w:p>
    <w:p w14:paraId="6BBEDC67" w14:textId="77777777" w:rsidR="00387817" w:rsidRPr="00387817" w:rsidRDefault="00387817" w:rsidP="00387817">
      <w:pPr>
        <w:pStyle w:val="Bibliography"/>
      </w:pPr>
      <w:r w:rsidRPr="00387817">
        <w:t xml:space="preserve">Zou, Lei, Nina S. N. Lam, Heng Cai, and Yi Qiang. 2018. “Mining Twitter Data for Improved Understanding of Disaster Resilience.” </w:t>
      </w:r>
      <w:r w:rsidRPr="00387817">
        <w:rPr>
          <w:i/>
          <w:iCs/>
        </w:rPr>
        <w:t>Annals of the American Association of Geographers</w:t>
      </w:r>
      <w:r w:rsidRPr="00387817">
        <w:t xml:space="preserve"> 108(5):1422–41. doi:10.1080/24694452.2017.1421897.</w:t>
      </w:r>
    </w:p>
    <w:p w14:paraId="141A47C4" w14:textId="77777777" w:rsidR="00387817" w:rsidRPr="00387817" w:rsidRDefault="00387817" w:rsidP="00387817">
      <w:pPr>
        <w:pStyle w:val="Bibliography"/>
      </w:pPr>
      <w:r w:rsidRPr="00387817">
        <w:t xml:space="preserve">Zou, Lei, Nina S. N. Lam, Shayan Shams, Heng Cai, Michelle A. Meyer, Seungwon Yang, Kisung Lee, Seung-Jong Park, and Margaret A. Reams. 2019. “Social and Geographical Disparities in Twitter Use during Hurricane Harvey.” </w:t>
      </w:r>
      <w:r w:rsidRPr="00387817">
        <w:rPr>
          <w:i/>
          <w:iCs/>
        </w:rPr>
        <w:t>International Journal of Digital Earth</w:t>
      </w:r>
      <w:r w:rsidRPr="00387817">
        <w:t xml:space="preserve"> 12(11):1300–1318. doi:10.1080/17538947.2018.1545878.</w:t>
      </w:r>
    </w:p>
    <w:p w14:paraId="454167A5" w14:textId="63EE026D"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75A8F" w14:textId="77777777" w:rsidR="00FB0E5F" w:rsidRDefault="00FB0E5F" w:rsidP="002F1A57">
      <w:pPr>
        <w:spacing w:after="0" w:line="240" w:lineRule="auto"/>
      </w:pPr>
      <w:r>
        <w:separator/>
      </w:r>
    </w:p>
  </w:endnote>
  <w:endnote w:type="continuationSeparator" w:id="0">
    <w:p w14:paraId="482ECC33" w14:textId="77777777" w:rsidR="00FB0E5F" w:rsidRDefault="00FB0E5F"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BDBA3" w14:textId="77777777" w:rsidR="00FB0E5F" w:rsidRDefault="00FB0E5F" w:rsidP="002F1A57">
      <w:pPr>
        <w:spacing w:after="0" w:line="240" w:lineRule="auto"/>
      </w:pPr>
      <w:r>
        <w:separator/>
      </w:r>
    </w:p>
  </w:footnote>
  <w:footnote w:type="continuationSeparator" w:id="0">
    <w:p w14:paraId="08C78FC3" w14:textId="77777777" w:rsidR="00FB0E5F" w:rsidRDefault="00FB0E5F"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796F"/>
    <w:rsid w:val="00097CD3"/>
    <w:rsid w:val="000A7FB2"/>
    <w:rsid w:val="000B3273"/>
    <w:rsid w:val="000B5607"/>
    <w:rsid w:val="000C4E07"/>
    <w:rsid w:val="000D0268"/>
    <w:rsid w:val="000D161D"/>
    <w:rsid w:val="000D2516"/>
    <w:rsid w:val="000D295D"/>
    <w:rsid w:val="000D4101"/>
    <w:rsid w:val="000D4E0E"/>
    <w:rsid w:val="000D548A"/>
    <w:rsid w:val="000E6687"/>
    <w:rsid w:val="000F53F7"/>
    <w:rsid w:val="00103F4B"/>
    <w:rsid w:val="0010508B"/>
    <w:rsid w:val="001106D6"/>
    <w:rsid w:val="00115629"/>
    <w:rsid w:val="00117433"/>
    <w:rsid w:val="00126CD7"/>
    <w:rsid w:val="00127A20"/>
    <w:rsid w:val="00127B7F"/>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C3862"/>
    <w:rsid w:val="001C5A4A"/>
    <w:rsid w:val="001D1744"/>
    <w:rsid w:val="001D3D41"/>
    <w:rsid w:val="001D7534"/>
    <w:rsid w:val="001E3347"/>
    <w:rsid w:val="001E44C7"/>
    <w:rsid w:val="00201241"/>
    <w:rsid w:val="0020307A"/>
    <w:rsid w:val="002049D9"/>
    <w:rsid w:val="00215713"/>
    <w:rsid w:val="002163A5"/>
    <w:rsid w:val="0022332A"/>
    <w:rsid w:val="002237BB"/>
    <w:rsid w:val="00223FAD"/>
    <w:rsid w:val="00224CBA"/>
    <w:rsid w:val="00225E05"/>
    <w:rsid w:val="00235B61"/>
    <w:rsid w:val="0023654E"/>
    <w:rsid w:val="00240DB0"/>
    <w:rsid w:val="00242076"/>
    <w:rsid w:val="00260D8B"/>
    <w:rsid w:val="002706BD"/>
    <w:rsid w:val="00270F5F"/>
    <w:rsid w:val="00274D3D"/>
    <w:rsid w:val="00283A88"/>
    <w:rsid w:val="002870A4"/>
    <w:rsid w:val="002909E5"/>
    <w:rsid w:val="002B06D3"/>
    <w:rsid w:val="002B1B65"/>
    <w:rsid w:val="002B25AF"/>
    <w:rsid w:val="002C0773"/>
    <w:rsid w:val="002C36C3"/>
    <w:rsid w:val="002C5B66"/>
    <w:rsid w:val="002D2EDD"/>
    <w:rsid w:val="002D2F95"/>
    <w:rsid w:val="002D5815"/>
    <w:rsid w:val="002D66B7"/>
    <w:rsid w:val="002E4079"/>
    <w:rsid w:val="002E56E2"/>
    <w:rsid w:val="002F028D"/>
    <w:rsid w:val="002F0C1A"/>
    <w:rsid w:val="002F1A57"/>
    <w:rsid w:val="002F3CF7"/>
    <w:rsid w:val="0030205A"/>
    <w:rsid w:val="00303709"/>
    <w:rsid w:val="00305181"/>
    <w:rsid w:val="003106B0"/>
    <w:rsid w:val="0031337F"/>
    <w:rsid w:val="00320DF8"/>
    <w:rsid w:val="00320F6F"/>
    <w:rsid w:val="0032548C"/>
    <w:rsid w:val="00325828"/>
    <w:rsid w:val="00331B38"/>
    <w:rsid w:val="00331D9A"/>
    <w:rsid w:val="00333597"/>
    <w:rsid w:val="00336B56"/>
    <w:rsid w:val="003635FE"/>
    <w:rsid w:val="00364E0F"/>
    <w:rsid w:val="00365C10"/>
    <w:rsid w:val="00367C16"/>
    <w:rsid w:val="00372A54"/>
    <w:rsid w:val="003814AA"/>
    <w:rsid w:val="00387817"/>
    <w:rsid w:val="003A2ADA"/>
    <w:rsid w:val="003A5E84"/>
    <w:rsid w:val="003A7864"/>
    <w:rsid w:val="003A7E46"/>
    <w:rsid w:val="003B1619"/>
    <w:rsid w:val="003B407D"/>
    <w:rsid w:val="003B61E5"/>
    <w:rsid w:val="003C1851"/>
    <w:rsid w:val="003C52A1"/>
    <w:rsid w:val="003D4D8E"/>
    <w:rsid w:val="003D5FCE"/>
    <w:rsid w:val="003D6E78"/>
    <w:rsid w:val="003E5DB7"/>
    <w:rsid w:val="003E68E0"/>
    <w:rsid w:val="003E7AF1"/>
    <w:rsid w:val="003F3B21"/>
    <w:rsid w:val="003F6C99"/>
    <w:rsid w:val="003F72D9"/>
    <w:rsid w:val="00404755"/>
    <w:rsid w:val="0040723B"/>
    <w:rsid w:val="004169D2"/>
    <w:rsid w:val="004312DC"/>
    <w:rsid w:val="00436FED"/>
    <w:rsid w:val="00443116"/>
    <w:rsid w:val="004551B0"/>
    <w:rsid w:val="004608E4"/>
    <w:rsid w:val="00461E51"/>
    <w:rsid w:val="0046473A"/>
    <w:rsid w:val="004733DD"/>
    <w:rsid w:val="00473A64"/>
    <w:rsid w:val="0048242F"/>
    <w:rsid w:val="00482F64"/>
    <w:rsid w:val="004901AC"/>
    <w:rsid w:val="0049395D"/>
    <w:rsid w:val="00496497"/>
    <w:rsid w:val="00496639"/>
    <w:rsid w:val="004966AD"/>
    <w:rsid w:val="004A0B60"/>
    <w:rsid w:val="004A2A91"/>
    <w:rsid w:val="004A3604"/>
    <w:rsid w:val="004A3B3D"/>
    <w:rsid w:val="004A52CD"/>
    <w:rsid w:val="004A6218"/>
    <w:rsid w:val="004B43B3"/>
    <w:rsid w:val="004B5F01"/>
    <w:rsid w:val="004C50E3"/>
    <w:rsid w:val="004D1CA9"/>
    <w:rsid w:val="004E5B34"/>
    <w:rsid w:val="004E6253"/>
    <w:rsid w:val="004F3F4F"/>
    <w:rsid w:val="004F4AE5"/>
    <w:rsid w:val="004F5756"/>
    <w:rsid w:val="004F7A47"/>
    <w:rsid w:val="00503EE5"/>
    <w:rsid w:val="00510271"/>
    <w:rsid w:val="00514CC5"/>
    <w:rsid w:val="00521988"/>
    <w:rsid w:val="00530906"/>
    <w:rsid w:val="005346A2"/>
    <w:rsid w:val="00534DFF"/>
    <w:rsid w:val="00534F42"/>
    <w:rsid w:val="005351CA"/>
    <w:rsid w:val="00535A6C"/>
    <w:rsid w:val="00536F51"/>
    <w:rsid w:val="00542CB5"/>
    <w:rsid w:val="005449EB"/>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A345C"/>
    <w:rsid w:val="005B036E"/>
    <w:rsid w:val="005B148E"/>
    <w:rsid w:val="005B54ED"/>
    <w:rsid w:val="005C0F57"/>
    <w:rsid w:val="005C40A6"/>
    <w:rsid w:val="005D35AC"/>
    <w:rsid w:val="005D5DE2"/>
    <w:rsid w:val="005E0862"/>
    <w:rsid w:val="005E3807"/>
    <w:rsid w:val="005E6DBC"/>
    <w:rsid w:val="005F049E"/>
    <w:rsid w:val="005F06EE"/>
    <w:rsid w:val="005F249F"/>
    <w:rsid w:val="005F31A9"/>
    <w:rsid w:val="005F4CC4"/>
    <w:rsid w:val="00603A2C"/>
    <w:rsid w:val="00607AC8"/>
    <w:rsid w:val="00607CE5"/>
    <w:rsid w:val="00611069"/>
    <w:rsid w:val="00612D50"/>
    <w:rsid w:val="006235A1"/>
    <w:rsid w:val="0062773C"/>
    <w:rsid w:val="0064263E"/>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71A2"/>
    <w:rsid w:val="00697291"/>
    <w:rsid w:val="00697E9F"/>
    <w:rsid w:val="006A5706"/>
    <w:rsid w:val="006B5F67"/>
    <w:rsid w:val="006D3F50"/>
    <w:rsid w:val="006D6DD1"/>
    <w:rsid w:val="006E25FE"/>
    <w:rsid w:val="006E2F67"/>
    <w:rsid w:val="006E43B8"/>
    <w:rsid w:val="006F503F"/>
    <w:rsid w:val="006F6335"/>
    <w:rsid w:val="006F673C"/>
    <w:rsid w:val="007040D5"/>
    <w:rsid w:val="00707008"/>
    <w:rsid w:val="00714130"/>
    <w:rsid w:val="00716319"/>
    <w:rsid w:val="00722271"/>
    <w:rsid w:val="007232A1"/>
    <w:rsid w:val="00724EF7"/>
    <w:rsid w:val="00736259"/>
    <w:rsid w:val="00737798"/>
    <w:rsid w:val="00754185"/>
    <w:rsid w:val="00754AAC"/>
    <w:rsid w:val="00764AED"/>
    <w:rsid w:val="007720D1"/>
    <w:rsid w:val="00776200"/>
    <w:rsid w:val="007770D4"/>
    <w:rsid w:val="00781671"/>
    <w:rsid w:val="00781AAD"/>
    <w:rsid w:val="00784D42"/>
    <w:rsid w:val="007858BD"/>
    <w:rsid w:val="00787A1A"/>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221E6"/>
    <w:rsid w:val="0082265A"/>
    <w:rsid w:val="00830A10"/>
    <w:rsid w:val="008328D7"/>
    <w:rsid w:val="00872D76"/>
    <w:rsid w:val="00876863"/>
    <w:rsid w:val="00876D73"/>
    <w:rsid w:val="0088346B"/>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C1758"/>
    <w:rsid w:val="008C3B75"/>
    <w:rsid w:val="008C7313"/>
    <w:rsid w:val="008D2230"/>
    <w:rsid w:val="008D2E71"/>
    <w:rsid w:val="008D3525"/>
    <w:rsid w:val="008D67A1"/>
    <w:rsid w:val="008E3086"/>
    <w:rsid w:val="008E6D0C"/>
    <w:rsid w:val="008E79A2"/>
    <w:rsid w:val="008F3C17"/>
    <w:rsid w:val="008F60AD"/>
    <w:rsid w:val="0090148F"/>
    <w:rsid w:val="009020A8"/>
    <w:rsid w:val="00904583"/>
    <w:rsid w:val="00906439"/>
    <w:rsid w:val="00921AD3"/>
    <w:rsid w:val="00922D84"/>
    <w:rsid w:val="00926805"/>
    <w:rsid w:val="009272F1"/>
    <w:rsid w:val="00934BBF"/>
    <w:rsid w:val="0093696F"/>
    <w:rsid w:val="009369B1"/>
    <w:rsid w:val="009401E9"/>
    <w:rsid w:val="00942460"/>
    <w:rsid w:val="00950B83"/>
    <w:rsid w:val="00952E30"/>
    <w:rsid w:val="00955695"/>
    <w:rsid w:val="00961B3C"/>
    <w:rsid w:val="00962A76"/>
    <w:rsid w:val="009663BE"/>
    <w:rsid w:val="00980AB6"/>
    <w:rsid w:val="009836FA"/>
    <w:rsid w:val="009857CB"/>
    <w:rsid w:val="00990251"/>
    <w:rsid w:val="009919FA"/>
    <w:rsid w:val="009926E6"/>
    <w:rsid w:val="00994D44"/>
    <w:rsid w:val="00997CFE"/>
    <w:rsid w:val="009A412D"/>
    <w:rsid w:val="009B614F"/>
    <w:rsid w:val="009C4F06"/>
    <w:rsid w:val="009C667D"/>
    <w:rsid w:val="009C72BD"/>
    <w:rsid w:val="009D4601"/>
    <w:rsid w:val="009D7928"/>
    <w:rsid w:val="009F1195"/>
    <w:rsid w:val="009F359A"/>
    <w:rsid w:val="009F6D44"/>
    <w:rsid w:val="009F77F6"/>
    <w:rsid w:val="00A027F6"/>
    <w:rsid w:val="00A048FB"/>
    <w:rsid w:val="00A0548B"/>
    <w:rsid w:val="00A056BC"/>
    <w:rsid w:val="00A06392"/>
    <w:rsid w:val="00A123A0"/>
    <w:rsid w:val="00A1528F"/>
    <w:rsid w:val="00A161C3"/>
    <w:rsid w:val="00A26470"/>
    <w:rsid w:val="00A271FA"/>
    <w:rsid w:val="00A365D1"/>
    <w:rsid w:val="00A42E27"/>
    <w:rsid w:val="00A46C23"/>
    <w:rsid w:val="00A47F1F"/>
    <w:rsid w:val="00A50E41"/>
    <w:rsid w:val="00A511E6"/>
    <w:rsid w:val="00A5149E"/>
    <w:rsid w:val="00A5209D"/>
    <w:rsid w:val="00A53A2F"/>
    <w:rsid w:val="00A54CA4"/>
    <w:rsid w:val="00A5611B"/>
    <w:rsid w:val="00A61F9A"/>
    <w:rsid w:val="00A83DC5"/>
    <w:rsid w:val="00A87AEB"/>
    <w:rsid w:val="00A96F3E"/>
    <w:rsid w:val="00AC18B9"/>
    <w:rsid w:val="00AC5B1E"/>
    <w:rsid w:val="00AD0D90"/>
    <w:rsid w:val="00AD1DD3"/>
    <w:rsid w:val="00AD4135"/>
    <w:rsid w:val="00AD6D34"/>
    <w:rsid w:val="00AE1439"/>
    <w:rsid w:val="00AE51A8"/>
    <w:rsid w:val="00AF6EE9"/>
    <w:rsid w:val="00B012CE"/>
    <w:rsid w:val="00B02A43"/>
    <w:rsid w:val="00B046C2"/>
    <w:rsid w:val="00B10F14"/>
    <w:rsid w:val="00B174E5"/>
    <w:rsid w:val="00B207E4"/>
    <w:rsid w:val="00B2323E"/>
    <w:rsid w:val="00B26DFA"/>
    <w:rsid w:val="00B31759"/>
    <w:rsid w:val="00B37263"/>
    <w:rsid w:val="00B42A3F"/>
    <w:rsid w:val="00B54343"/>
    <w:rsid w:val="00B56714"/>
    <w:rsid w:val="00B56EA4"/>
    <w:rsid w:val="00B61961"/>
    <w:rsid w:val="00B6403C"/>
    <w:rsid w:val="00B75A1C"/>
    <w:rsid w:val="00B83F8C"/>
    <w:rsid w:val="00B90544"/>
    <w:rsid w:val="00B91DB5"/>
    <w:rsid w:val="00B92A28"/>
    <w:rsid w:val="00B97BD5"/>
    <w:rsid w:val="00BA6CB0"/>
    <w:rsid w:val="00BB382D"/>
    <w:rsid w:val="00BC110F"/>
    <w:rsid w:val="00BC1377"/>
    <w:rsid w:val="00BC3551"/>
    <w:rsid w:val="00BC7DBE"/>
    <w:rsid w:val="00BD391B"/>
    <w:rsid w:val="00BD4A5E"/>
    <w:rsid w:val="00BD510A"/>
    <w:rsid w:val="00BE0480"/>
    <w:rsid w:val="00BE0A20"/>
    <w:rsid w:val="00BF230C"/>
    <w:rsid w:val="00BF583B"/>
    <w:rsid w:val="00C019D5"/>
    <w:rsid w:val="00C04881"/>
    <w:rsid w:val="00C07220"/>
    <w:rsid w:val="00C21E23"/>
    <w:rsid w:val="00C2343A"/>
    <w:rsid w:val="00C24848"/>
    <w:rsid w:val="00C41B6B"/>
    <w:rsid w:val="00C44A55"/>
    <w:rsid w:val="00C51FAE"/>
    <w:rsid w:val="00C542F5"/>
    <w:rsid w:val="00C716A0"/>
    <w:rsid w:val="00C81F81"/>
    <w:rsid w:val="00C82429"/>
    <w:rsid w:val="00C85633"/>
    <w:rsid w:val="00C936F3"/>
    <w:rsid w:val="00CA164A"/>
    <w:rsid w:val="00CA44ED"/>
    <w:rsid w:val="00CA6043"/>
    <w:rsid w:val="00CC5A07"/>
    <w:rsid w:val="00CD2730"/>
    <w:rsid w:val="00CE1399"/>
    <w:rsid w:val="00CE3FED"/>
    <w:rsid w:val="00CF0A2F"/>
    <w:rsid w:val="00CF43AC"/>
    <w:rsid w:val="00D05004"/>
    <w:rsid w:val="00D2202F"/>
    <w:rsid w:val="00D224B6"/>
    <w:rsid w:val="00D231D2"/>
    <w:rsid w:val="00D25B59"/>
    <w:rsid w:val="00D40066"/>
    <w:rsid w:val="00D55D46"/>
    <w:rsid w:val="00D6198E"/>
    <w:rsid w:val="00D62BC9"/>
    <w:rsid w:val="00D73A90"/>
    <w:rsid w:val="00D74117"/>
    <w:rsid w:val="00D85074"/>
    <w:rsid w:val="00D86F85"/>
    <w:rsid w:val="00D875DE"/>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307EF"/>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FB3"/>
    <w:rsid w:val="00E85FCE"/>
    <w:rsid w:val="00E87837"/>
    <w:rsid w:val="00E92669"/>
    <w:rsid w:val="00E92786"/>
    <w:rsid w:val="00E92EA8"/>
    <w:rsid w:val="00EA6845"/>
    <w:rsid w:val="00EB31C1"/>
    <w:rsid w:val="00EB47C1"/>
    <w:rsid w:val="00ED3293"/>
    <w:rsid w:val="00EE68BE"/>
    <w:rsid w:val="00EF31D6"/>
    <w:rsid w:val="00EF356D"/>
    <w:rsid w:val="00EF4B30"/>
    <w:rsid w:val="00F074D3"/>
    <w:rsid w:val="00F138B0"/>
    <w:rsid w:val="00F13D3D"/>
    <w:rsid w:val="00F245B0"/>
    <w:rsid w:val="00F24DDC"/>
    <w:rsid w:val="00F3009F"/>
    <w:rsid w:val="00F303CA"/>
    <w:rsid w:val="00F3302C"/>
    <w:rsid w:val="00F36C36"/>
    <w:rsid w:val="00F4266A"/>
    <w:rsid w:val="00F55AA4"/>
    <w:rsid w:val="00F67660"/>
    <w:rsid w:val="00F720D2"/>
    <w:rsid w:val="00F72274"/>
    <w:rsid w:val="00F828D7"/>
    <w:rsid w:val="00F92E38"/>
    <w:rsid w:val="00F94420"/>
    <w:rsid w:val="00F97012"/>
    <w:rsid w:val="00F97102"/>
    <w:rsid w:val="00FA1CF3"/>
    <w:rsid w:val="00FA2E9B"/>
    <w:rsid w:val="00FA5B00"/>
    <w:rsid w:val="00FA6ED7"/>
    <w:rsid w:val="00FB0E5F"/>
    <w:rsid w:val="00FB1338"/>
    <w:rsid w:val="00FB7396"/>
    <w:rsid w:val="00FB77AE"/>
    <w:rsid w:val="00FC3506"/>
    <w:rsid w:val="00FD217E"/>
    <w:rsid w:val="00FD5768"/>
    <w:rsid w:val="00FE109A"/>
    <w:rsid w:val="00FE6FD1"/>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40168</TotalTime>
  <Pages>33</Pages>
  <Words>24849</Words>
  <Characters>141644</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17</cp:revision>
  <dcterms:created xsi:type="dcterms:W3CDTF">2025-01-29T19:14:00Z</dcterms:created>
  <dcterms:modified xsi:type="dcterms:W3CDTF">2025-07-28T23:36:00Z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id="JNqujY5p"/&gt;&lt;style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