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7C303DED"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7E927C2A"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5E63641A" w14:textId="406FE7F2" w:rsidR="00C54589"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00EA1FEC">
        <w:rPr>
          <w:rFonts w:ascii="Times New Roman" w:hAnsi="Times New Roman" w:cs="Times New Roman"/>
          <w:sz w:val="24"/>
          <w:szCs w:val="24"/>
        </w:rPr>
        <w:t xml:space="preserve">. Many migration researchers leverage U.S. Census Bureau data for addresses </w:t>
      </w:r>
      <w:r w:rsidR="00E22DF2">
        <w:rPr>
          <w:rFonts w:ascii="Times New Roman" w:hAnsi="Times New Roman" w:cs="Times New Roman"/>
          <w:sz w:val="24"/>
          <w:szCs w:val="24"/>
        </w:rPr>
        <w:t>for a few reasons. T</w:t>
      </w:r>
      <w:r w:rsidR="000C209E">
        <w:rPr>
          <w:rFonts w:ascii="Times New Roman" w:hAnsi="Times New Roman" w:cs="Times New Roman"/>
          <w:sz w:val="24"/>
          <w:szCs w:val="24"/>
        </w:rPr>
        <w:t>he Census Bureau is the only organization that attempts to enumerate every</w:t>
      </w:r>
      <w:r w:rsidR="001B4F02">
        <w:rPr>
          <w:rFonts w:ascii="Times New Roman" w:hAnsi="Times New Roman" w:cs="Times New Roman"/>
          <w:sz w:val="24"/>
          <w:szCs w:val="24"/>
        </w:rPr>
        <w:t xml:space="preserve"> person</w:t>
      </w:r>
      <w:r w:rsidR="000C209E">
        <w:rPr>
          <w:rFonts w:ascii="Times New Roman" w:hAnsi="Times New Roman" w:cs="Times New Roman"/>
          <w:sz w:val="24"/>
          <w:szCs w:val="24"/>
        </w:rPr>
        <w:t xml:space="preserve"> in the United States</w:t>
      </w:r>
      <w:r w:rsidR="001B4F02">
        <w:rPr>
          <w:rFonts w:ascii="Times New Roman" w:hAnsi="Times New Roman" w:cs="Times New Roman"/>
          <w:sz w:val="24"/>
          <w:szCs w:val="24"/>
        </w:rPr>
        <w:t xml:space="preserve"> at the place they live</w:t>
      </w:r>
      <w:r w:rsidR="00E22DF2">
        <w:rPr>
          <w:rFonts w:ascii="Times New Roman" w:hAnsi="Times New Roman" w:cs="Times New Roman"/>
          <w:sz w:val="24"/>
          <w:szCs w:val="24"/>
        </w:rPr>
        <w:t xml:space="preserve">, and the only organization </w:t>
      </w:r>
      <w:r w:rsidR="00C55969">
        <w:rPr>
          <w:rFonts w:ascii="Times New Roman" w:hAnsi="Times New Roman" w:cs="Times New Roman"/>
          <w:sz w:val="24"/>
          <w:szCs w:val="24"/>
        </w:rPr>
        <w:t>hosting</w:t>
      </w:r>
      <w:r w:rsidR="001B4F02">
        <w:rPr>
          <w:rFonts w:ascii="Times New Roman" w:hAnsi="Times New Roman" w:cs="Times New Roman"/>
          <w:sz w:val="24"/>
          <w:szCs w:val="24"/>
        </w:rPr>
        <w:t xml:space="preserve"> and maintaining</w:t>
      </w:r>
      <w:r w:rsidR="00C55969">
        <w:rPr>
          <w:rFonts w:ascii="Times New Roman" w:hAnsi="Times New Roman" w:cs="Times New Roman"/>
          <w:sz w:val="24"/>
          <w:szCs w:val="24"/>
        </w:rPr>
        <w:t xml:space="preserve"> the MAF-Tiger system, which combines geospatial and housing information together in a single system. </w:t>
      </w:r>
      <w:r w:rsidR="00541732">
        <w:rPr>
          <w:rFonts w:ascii="Times New Roman" w:hAnsi="Times New Roman" w:cs="Times New Roman"/>
          <w:sz w:val="24"/>
          <w:szCs w:val="24"/>
        </w:rPr>
        <w:t>Another popular option is</w:t>
      </w:r>
      <w:r w:rsidR="005E2189">
        <w:rPr>
          <w:rFonts w:ascii="Times New Roman" w:hAnsi="Times New Roman" w:cs="Times New Roman"/>
          <w:sz w:val="24"/>
          <w:szCs w:val="24"/>
        </w:rPr>
        <w:t xml:space="preserve"> to analyze surveys, but even surveys like the Current Population Survey, the American Community Survey, or the S</w:t>
      </w:r>
      <w:r w:rsidR="003E2A0A">
        <w:rPr>
          <w:rFonts w:ascii="Times New Roman" w:hAnsi="Times New Roman" w:cs="Times New Roman"/>
          <w:sz w:val="24"/>
          <w:szCs w:val="24"/>
        </w:rPr>
        <w:t>urvey of</w:t>
      </w:r>
      <w:r w:rsidR="005E2189">
        <w:rPr>
          <w:rFonts w:ascii="Times New Roman" w:hAnsi="Times New Roman" w:cs="Times New Roman"/>
          <w:sz w:val="24"/>
          <w:szCs w:val="24"/>
        </w:rPr>
        <w:t xml:space="preserve"> I</w:t>
      </w:r>
      <w:r w:rsidR="003E2A0A">
        <w:rPr>
          <w:rFonts w:ascii="Times New Roman" w:hAnsi="Times New Roman" w:cs="Times New Roman"/>
          <w:sz w:val="24"/>
          <w:szCs w:val="24"/>
        </w:rPr>
        <w:t>ncome and</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rogram</w:t>
      </w:r>
      <w:r w:rsidR="005E2189">
        <w:rPr>
          <w:rFonts w:ascii="Times New Roman" w:hAnsi="Times New Roman" w:cs="Times New Roman"/>
          <w:sz w:val="24"/>
          <w:szCs w:val="24"/>
        </w:rPr>
        <w:t xml:space="preserve"> P</w:t>
      </w:r>
      <w:r w:rsidR="003E2A0A">
        <w:rPr>
          <w:rFonts w:ascii="Times New Roman" w:hAnsi="Times New Roman" w:cs="Times New Roman"/>
          <w:sz w:val="24"/>
          <w:szCs w:val="24"/>
        </w:rPr>
        <w:t xml:space="preserve">articipation use Census Bureau data to </w:t>
      </w:r>
      <w:r w:rsidR="001D72A4">
        <w:rPr>
          <w:rFonts w:ascii="Times New Roman" w:hAnsi="Times New Roman" w:cs="Times New Roman"/>
          <w:sz w:val="24"/>
          <w:szCs w:val="24"/>
        </w:rPr>
        <w:t xml:space="preserve">make sampling frames or to manage and harmonize the addresses of respondents </w:t>
      </w:r>
      <w:r w:rsidR="001D72A4">
        <w:rPr>
          <w:rFonts w:ascii="Times New Roman" w:hAnsi="Times New Roman" w:cs="Times New Roman"/>
          <w:sz w:val="24"/>
          <w:szCs w:val="24"/>
        </w:rPr>
        <w:fldChar w:fldCharType="begin"/>
      </w:r>
      <w:r w:rsidR="00541732">
        <w:rPr>
          <w:rFonts w:ascii="Times New Roman" w:hAnsi="Times New Roman" w:cs="Times New Roman"/>
          <w:sz w:val="24"/>
          <w:szCs w:val="24"/>
        </w:rPr>
        <w:instrText xml:space="preserve"> ADDIN ZOTERO_ITEM CSL_CITATION {"citationID":"DfqoMpMS","properties":{"formattedCitation":"(United States Census Bureau 2019, 2025d, 2025a)","plainCitation":"(United States Census Bureau 2019, 2025d,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1D72A4">
        <w:rPr>
          <w:rFonts w:ascii="Times New Roman" w:hAnsi="Times New Roman" w:cs="Times New Roman"/>
          <w:sz w:val="24"/>
          <w:szCs w:val="24"/>
        </w:rPr>
        <w:fldChar w:fldCharType="separate"/>
      </w:r>
      <w:r w:rsidR="00541732" w:rsidRPr="00541732">
        <w:rPr>
          <w:rFonts w:ascii="Times New Roman" w:hAnsi="Times New Roman" w:cs="Times New Roman"/>
          <w:sz w:val="24"/>
        </w:rPr>
        <w:t>(United States Census Bureau 2019, 2025d, 2025a)</w:t>
      </w:r>
      <w:r w:rsidR="001D72A4">
        <w:rPr>
          <w:rFonts w:ascii="Times New Roman" w:hAnsi="Times New Roman" w:cs="Times New Roman"/>
          <w:sz w:val="24"/>
          <w:szCs w:val="24"/>
        </w:rPr>
        <w:fldChar w:fldCharType="end"/>
      </w:r>
      <w:r w:rsidR="00541732">
        <w:rPr>
          <w:rFonts w:ascii="Times New Roman" w:hAnsi="Times New Roman" w:cs="Times New Roman"/>
          <w:sz w:val="24"/>
          <w:szCs w:val="24"/>
        </w:rPr>
        <w:t>.</w:t>
      </w:r>
    </w:p>
    <w:p w14:paraId="06B2751C" w14:textId="6B10F1F9" w:rsidR="000A562A" w:rsidRDefault="00DF4240" w:rsidP="000C209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{"citationID":"isJSW1ON","properties":{"formattedCitation":"(United States Census Bureau 2025b)","plainCitation":"(United States Census Bureau 2025b)","noteIndex":0},"citationItems":[{"id":1443,"uris":["http://zotero.org/users/6152647/items/BRY5S27C"],"itemData":{"id":1443,"type":"webpage","abstract":"This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2025b)</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0BD79A9C"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w:t>
      </w:r>
      <w:proofErr w:type="spellStart"/>
      <w:r w:rsidR="002E05B0">
        <w:rPr>
          <w:rFonts w:ascii="Times New Roman" w:hAnsi="Times New Roman" w:cs="Times New Roman"/>
          <w:sz w:val="24"/>
          <w:szCs w:val="24"/>
        </w:rPr>
        <w:t>areal</w:t>
      </w:r>
      <w:proofErr w:type="spellEnd"/>
      <w:r w:rsidR="002E05B0">
        <w:rPr>
          <w:rFonts w:ascii="Times New Roman" w:hAnsi="Times New Roman" w:cs="Times New Roman"/>
          <w:sz w:val="24"/>
          <w:szCs w:val="24"/>
        </w:rPr>
        <w:t xml:space="preserve">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{"citationID":"BCzMBc9o","properties":{"formattedCitation":"(Buzzelli 2020)","plainCitation":"(Buzzelli 2020)","dontUpdate":true,"noteIndex":0},"citationItems":[{"id":1498,"uris":["http://zotero.org/users/6152647/items/5QCHARAJ"],"itemData":{"id":1498,"type":"article-journal","abstract":"The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260C9178"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w:t>
      </w:r>
      <w:r w:rsidR="00A45C56">
        <w:rPr>
          <w:rFonts w:ascii="Times New Roman" w:hAnsi="Times New Roman" w:cs="Times New Roman"/>
          <w:sz w:val="24"/>
          <w:szCs w:val="24"/>
        </w:rPr>
        <w:t xml:space="preserve">is </w:t>
      </w:r>
      <w:r>
        <w:rPr>
          <w:rFonts w:ascii="Times New Roman" w:hAnsi="Times New Roman" w:cs="Times New Roman"/>
          <w:sz w:val="24"/>
          <w:szCs w:val="24"/>
        </w:rPr>
        <w:t>noted</w:t>
      </w:r>
      <w:r w:rsidR="00FE252E">
        <w:rPr>
          <w:rFonts w:ascii="Times New Roman" w:hAnsi="Times New Roman" w:cs="Times New Roman"/>
          <w:sz w:val="24"/>
          <w:szCs w:val="24"/>
        </w:rPr>
        <w:t xml:space="preserve"> and used in modeling</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w:t>
      </w:r>
      <w:r w:rsidR="00F82012">
        <w:rPr>
          <w:rFonts w:ascii="Times New Roman" w:hAnsi="Times New Roman" w:cs="Times New Roman"/>
          <w:sz w:val="24"/>
          <w:szCs w:val="24"/>
        </w:rPr>
        <w:lastRenderedPageBreak/>
        <w:t>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A45C56">
        <w:rPr>
          <w:rFonts w:ascii="Times New Roman" w:hAnsi="Times New Roman" w:cs="Times New Roman"/>
          <w:sz w:val="24"/>
          <w:szCs w:val="24"/>
        </w:rPr>
        <w:t xml:space="preserve">. </w:t>
      </w:r>
    </w:p>
    <w:p w14:paraId="32312220" w14:textId="53B4BAD6"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individual migrants 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imperfect nesting of geographies portion of the modifiable areal unit problem.</w:t>
      </w:r>
      <w:r w:rsidR="00765A3D">
        <w:rPr>
          <w:rFonts w:ascii="Times New Roman" w:hAnsi="Times New Roman" w:cs="Times New Roman"/>
          <w:sz w:val="24"/>
          <w:szCs w:val="24"/>
        </w:rPr>
        <w:t xml:space="preserve"> Thus a popular strategy</w:t>
      </w:r>
      <w:r w:rsidR="005A23E5">
        <w:rPr>
          <w:rFonts w:ascii="Times New Roman" w:hAnsi="Times New Roman" w:cs="Times New Roman"/>
          <w:sz w:val="24"/>
          <w:szCs w:val="24"/>
        </w:rPr>
        <w:t xml:space="preserve"> (and the one I use)</w:t>
      </w:r>
      <w:r w:rsidR="00765A3D">
        <w:rPr>
          <w:rFonts w:ascii="Times New Roman" w:hAnsi="Times New Roman" w:cs="Times New Roman"/>
          <w:sz w:val="24"/>
          <w:szCs w:val="24"/>
        </w:rPr>
        <w:t xml:space="preserve"> is to use individual level data </w:t>
      </w:r>
      <w:r w:rsidR="005A23E5">
        <w:rPr>
          <w:rFonts w:ascii="Times New Roman" w:hAnsi="Times New Roman" w:cs="Times New Roman"/>
          <w:sz w:val="24"/>
          <w:szCs w:val="24"/>
        </w:rPr>
        <w:t>when possible</w:t>
      </w:r>
      <w:r w:rsidR="00AE0B51">
        <w:rPr>
          <w:rFonts w:ascii="Times New Roman" w:hAnsi="Times New Roman" w:cs="Times New Roman"/>
          <w:sz w:val="24"/>
          <w:szCs w:val="24"/>
        </w:rPr>
        <w:t xml:space="preserve"> and aggregate up to larger geographies when needed. </w:t>
      </w:r>
    </w:p>
    <w:p w14:paraId="29016B01" w14:textId="45C2056E"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 xml:space="preserve">the only geographic consideration, </w:t>
      </w:r>
      <w:r w:rsidR="003F2075">
        <w:rPr>
          <w:rFonts w:ascii="Times New Roman" w:hAnsi="Times New Roman" w:cs="Times New Roman"/>
          <w:sz w:val="24"/>
          <w:szCs w:val="24"/>
        </w:rPr>
        <w:t>the places people live</w:t>
      </w:r>
      <w:r w:rsidR="008D549D">
        <w:rPr>
          <w:rFonts w:ascii="Times New Roman" w:hAnsi="Times New Roman" w:cs="Times New Roman"/>
          <w:sz w:val="24"/>
          <w:szCs w:val="24"/>
        </w:rPr>
        <w:t>, usually housing units located at addresses</w:t>
      </w:r>
      <w:r w:rsidR="003F2075">
        <w:rPr>
          <w:rFonts w:ascii="Times New Roman" w:hAnsi="Times New Roman" w:cs="Times New Roman"/>
          <w:sz w:val="24"/>
          <w:szCs w:val="24"/>
        </w:rPr>
        <w:t>,</w:t>
      </w:r>
      <w:r w:rsidR="008D549D">
        <w:rPr>
          <w:rFonts w:ascii="Times New Roman" w:hAnsi="Times New Roman" w:cs="Times New Roman"/>
          <w:sz w:val="24"/>
          <w:szCs w:val="24"/>
        </w:rPr>
        <w:t xml:space="preserve">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w:t>
      </w:r>
      <w:r w:rsidR="003F2075">
        <w:rPr>
          <w:rFonts w:ascii="Times New Roman" w:hAnsi="Times New Roman" w:cs="Times New Roman"/>
          <w:sz w:val="24"/>
          <w:szCs w:val="24"/>
        </w:rPr>
        <w:t>;</w:t>
      </w:r>
      <w:r w:rsidR="0086776B">
        <w:rPr>
          <w:rFonts w:ascii="Times New Roman" w:hAnsi="Times New Roman" w:cs="Times New Roman"/>
          <w:sz w:val="24"/>
          <w:szCs w:val="24"/>
        </w:rPr>
        <w:t xml:space="preserve"> and </w:t>
      </w:r>
      <w:r w:rsidR="003F2075">
        <w:rPr>
          <w:rFonts w:ascii="Times New Roman" w:hAnsi="Times New Roman" w:cs="Times New Roman"/>
          <w:sz w:val="24"/>
          <w:szCs w:val="24"/>
        </w:rPr>
        <w:t>p</w:t>
      </w:r>
      <w:r w:rsidR="0042291B">
        <w:rPr>
          <w:rFonts w:ascii="Times New Roman" w:hAnsi="Times New Roman" w:cs="Times New Roman"/>
          <w:sz w:val="24"/>
          <w:szCs w:val="24"/>
        </w:rPr>
        <w:t>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3E6D9F76"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Census Bureau maintains a database called the Master Address File (MAF), which identifies unique structures and single units within a structure (called MAF units) by identifiers called MAFIDs. MAF Unites represent residential, non-residential structures, and their addresses</w:t>
      </w:r>
      <w:r w:rsidR="005A23E5">
        <w:rPr>
          <w:rFonts w:ascii="Times New Roman" w:hAnsi="Times New Roman" w:cs="Times New Roman"/>
          <w:sz w:val="24"/>
          <w:szCs w:val="24"/>
        </w:rPr>
        <w:t>, and thus a micro-level geographic source</w:t>
      </w:r>
      <w:r>
        <w:rPr>
          <w:rFonts w:ascii="Times New Roman" w:hAnsi="Times New Roman" w:cs="Times New Roman"/>
          <w:sz w:val="24"/>
          <w:szCs w:val="24"/>
        </w:rPr>
        <w:t xml:space="preserve">. </w:t>
      </w:r>
      <w:r w:rsidR="009774E8" w:rsidRPr="00123156">
        <w:rPr>
          <w:rFonts w:ascii="Times New Roman" w:hAnsi="Times New Roman" w:cs="Times New Roman"/>
          <w:sz w:val="24"/>
          <w:szCs w:val="24"/>
        </w:rPr>
        <w:t xml:space="preserve">Many projects examining migration in the </w:t>
      </w:r>
      <w:r w:rsidR="009774E8" w:rsidRPr="00123156">
        <w:rPr>
          <w:rFonts w:ascii="Times New Roman" w:hAnsi="Times New Roman" w:cs="Times New Roman"/>
          <w:sz w:val="24"/>
          <w:szCs w:val="24"/>
        </w:rPr>
        <w:lastRenderedPageBreak/>
        <w:t>U.S. use MAF</w:t>
      </w:r>
      <w:r w:rsidR="005A23E5">
        <w:rPr>
          <w:rFonts w:ascii="Times New Roman" w:hAnsi="Times New Roman" w:cs="Times New Roman"/>
          <w:sz w:val="24"/>
          <w:szCs w:val="24"/>
        </w:rPr>
        <w:t xml:space="preserve"> unit</w:t>
      </w:r>
      <w:r w:rsidR="009774E8" w:rsidRPr="00123156">
        <w:rPr>
          <w:rFonts w:ascii="Times New Roman" w:hAnsi="Times New Roman" w:cs="Times New Roman"/>
          <w:sz w:val="24"/>
          <w:szCs w:val="24"/>
        </w:rPr>
        <w:t>s</w:t>
      </w:r>
      <w:r w:rsidR="005D620A" w:rsidRPr="00123156">
        <w:rPr>
          <w:rFonts w:ascii="Times New Roman" w:hAnsi="Times New Roman" w:cs="Times New Roman"/>
          <w:sz w:val="24"/>
          <w:szCs w:val="24"/>
        </w:rPr>
        <w:t xml:space="preserve"> and many data sources, like the American Community Survey, the Survey of Income and Program Participation, or the Current Population Survey, are using MA</w:t>
      </w:r>
      <w:r w:rsidR="005A23E5">
        <w:rPr>
          <w:rFonts w:ascii="Times New Roman" w:hAnsi="Times New Roman" w:cs="Times New Roman"/>
          <w:sz w:val="24"/>
          <w:szCs w:val="24"/>
        </w:rPr>
        <w:t>F unit</w:t>
      </w:r>
      <w:r w:rsidR="005D620A" w:rsidRPr="00123156">
        <w:rPr>
          <w:rFonts w:ascii="Times New Roman" w:hAnsi="Times New Roman" w:cs="Times New Roman"/>
          <w:sz w:val="24"/>
          <w:szCs w:val="24"/>
        </w:rPr>
        <w:t>s behind the scenes for their sampling frames and address reconciliation system</w:t>
      </w:r>
      <w:r w:rsidR="003F2075" w:rsidRPr="00123156">
        <w:rPr>
          <w:rFonts w:ascii="Times New Roman" w:hAnsi="Times New Roman" w:cs="Times New Roman"/>
          <w:sz w:val="24"/>
          <w:szCs w:val="24"/>
        </w:rPr>
        <w:t xml:space="preserve"> </w:t>
      </w:r>
      <w:r w:rsidR="003F2075">
        <w:rPr>
          <w:rFonts w:ascii="Times New Roman" w:hAnsi="Times New Roman" w:cs="Times New Roman"/>
          <w:color w:val="EE0000"/>
          <w:sz w:val="24"/>
          <w:szCs w:val="24"/>
        </w:rPr>
        <w:fldChar w:fldCharType="begin"/>
      </w:r>
      <w:r w:rsidR="00123156">
        <w:rPr>
          <w:rFonts w:ascii="Times New Roman" w:hAnsi="Times New Roman" w:cs="Times New Roman"/>
          <w:color w:val="EE0000"/>
          <w:sz w:val="24"/>
          <w:szCs w:val="24"/>
        </w:rPr>
        <w:instrText xml:space="preserve"> ADDIN ZOTERO_ITEM CSL_CITATION {"citationID":"F8W8s2kr","properties":{"formattedCitation":"(United States Census Bureau 2019, 2025d, 2025a)","plainCitation":"(United States Census Bureau 2019, 2025d, 2025a)","noteIndex":0},"citationItems":[{"id":1500,"uris":["http://zotero.org/users/6152647/items/SSYY2Y5E"],"itemData":{"id":1500,"type":"document","publisher":"United States Census Bureau","title":"Design and Methodology: Current Population Survey-- America's Source for Labor Force Data Technical Paper 77","URL":"https://www2.census.gov/programs-surveys/cps/methodology/CPS-Tech-Paper-77.pdf","author":[{"literal":"United States Census Bureau"}],"issued":{"date-parts":[["2019"]]}}},{"id":1458,"uris":["http://zotero.org/users/6152647/items/XDZ6TYJ3"],"itemData":{"id":1458,"type":"webpage","abstract":"Learn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Bureau"}],"accessed":{"date-parts":[["2025",3,25]]},"issued":{"date-parts":[["2025"]]}}},{"id":1503,"uris":["http://zotero.org/users/6152647/items/3AXSPIW8"],"itemData":{"id":1503,"type":"document","publisher":"United States Census Bureau","title":"2024 Survey of Income and Program Participation Users' Guide","URL":"https://www2.census.gov/programs-surveys/sipp/tech-documentation/methodology/2024_SIPP_Users_Guide.pdf","author":[{"literal":"United States Census Bureau"}],"issued":{"date-parts":[["2025"]]}}}],"schema":"https://github.com/citation-style-language/schema/raw/master/csl-citation.json"} </w:instrText>
      </w:r>
      <w:r w:rsidR="003F2075">
        <w:rPr>
          <w:rFonts w:ascii="Times New Roman" w:hAnsi="Times New Roman" w:cs="Times New Roman"/>
          <w:color w:val="EE0000"/>
          <w:sz w:val="24"/>
          <w:szCs w:val="24"/>
        </w:rPr>
        <w:fldChar w:fldCharType="separate"/>
      </w:r>
      <w:r w:rsidR="00123156" w:rsidRPr="00123156">
        <w:rPr>
          <w:rFonts w:ascii="Times New Roman" w:hAnsi="Times New Roman" w:cs="Times New Roman"/>
          <w:sz w:val="24"/>
        </w:rPr>
        <w:t>(United States Census Bureau 2019, 2025d, 2025a)</w:t>
      </w:r>
      <w:r w:rsidR="003F2075">
        <w:rPr>
          <w:rFonts w:ascii="Times New Roman" w:hAnsi="Times New Roman" w:cs="Times New Roman"/>
          <w:color w:val="EE0000"/>
          <w:sz w:val="24"/>
          <w:szCs w:val="24"/>
        </w:rPr>
        <w:fldChar w:fldCharType="end"/>
      </w:r>
      <w:r w:rsidR="005D620A">
        <w:rPr>
          <w:rFonts w:ascii="Times New Roman" w:hAnsi="Times New Roman" w:cs="Times New Roman"/>
          <w:sz w:val="24"/>
          <w:szCs w:val="24"/>
        </w:rPr>
        <w:t>.</w:t>
      </w:r>
      <w:r w:rsidR="009774E8">
        <w:rPr>
          <w:rFonts w:ascii="Times New Roman" w:hAnsi="Times New Roman" w:cs="Times New Roman"/>
          <w:sz w:val="24"/>
          <w:szCs w:val="24"/>
        </w:rPr>
        <w:t xml:space="preserve"> The MAF is updated frequently from state, federal (including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w:t>
      </w:r>
    </w:p>
    <w:p w14:paraId="239AB0B6" w14:textId="4696F249" w:rsidR="005A76B3"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w:t>
      </w:r>
      <w:r w:rsidR="00AE715D">
        <w:rPr>
          <w:rFonts w:ascii="Times New Roman" w:hAnsi="Times New Roman" w:cs="Times New Roman"/>
          <w:sz w:val="24"/>
          <w:szCs w:val="24"/>
        </w:rPr>
        <w:t>MAFX</w:t>
      </w:r>
      <w:r w:rsidR="002C7129">
        <w:rPr>
          <w:rFonts w:ascii="Times New Roman" w:hAnsi="Times New Roman" w:cs="Times New Roman"/>
          <w:sz w:val="24"/>
          <w:szCs w:val="24"/>
        </w:rPr>
        <w:t xml:space="preserve"> helpfully provides</w:t>
      </w:r>
      <w:r w:rsidR="00D9029A">
        <w:rPr>
          <w:rFonts w:ascii="Times New Roman" w:hAnsi="Times New Roman" w:cs="Times New Roman"/>
          <w:sz w:val="24"/>
          <w:szCs w:val="24"/>
        </w:rPr>
        <w:t xml:space="preserve"> characteristics </w:t>
      </w:r>
      <w:r w:rsidR="00AE715D">
        <w:rPr>
          <w:rFonts w:ascii="Times New Roman" w:hAnsi="Times New Roman" w:cs="Times New Roman"/>
          <w:sz w:val="24"/>
          <w:szCs w:val="24"/>
        </w:rPr>
        <w:t>for</w:t>
      </w:r>
      <w:r w:rsidR="00207256">
        <w:rPr>
          <w:rFonts w:ascii="Times New Roman" w:hAnsi="Times New Roman" w:cs="Times New Roman"/>
          <w:sz w:val="24"/>
          <w:szCs w:val="24"/>
        </w:rPr>
        <w:t xml:space="preserve"> MAF units, but MAF units are not</w:t>
      </w:r>
      <w:r w:rsidR="00D26F54">
        <w:rPr>
          <w:rFonts w:ascii="Times New Roman" w:hAnsi="Times New Roman" w:cs="Times New Roman"/>
          <w:sz w:val="24"/>
          <w:szCs w:val="24"/>
        </w:rPr>
        <w:t xml:space="preserve"> </w:t>
      </w:r>
      <w:r w:rsidR="00762FFB">
        <w:rPr>
          <w:rFonts w:ascii="Times New Roman" w:hAnsi="Times New Roman" w:cs="Times New Roman"/>
          <w:sz w:val="24"/>
          <w:szCs w:val="24"/>
        </w:rPr>
        <w:t>necessarily</w:t>
      </w:r>
      <w:r w:rsidR="00207256">
        <w:rPr>
          <w:rFonts w:ascii="Times New Roman" w:hAnsi="Times New Roman" w:cs="Times New Roman"/>
          <w:sz w:val="24"/>
          <w:szCs w:val="24"/>
        </w:rPr>
        <w:t xml:space="preserve">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w:t>
      </w:r>
      <w:r w:rsidR="00AE715D">
        <w:rPr>
          <w:rFonts w:ascii="Times New Roman" w:hAnsi="Times New Roman" w:cs="Times New Roman"/>
          <w:sz w:val="24"/>
          <w:szCs w:val="24"/>
        </w:rPr>
        <w:t>defines</w:t>
      </w:r>
      <w:r>
        <w:rPr>
          <w:rFonts w:ascii="Times New Roman" w:hAnsi="Times New Roman" w:cs="Times New Roman"/>
          <w:sz w:val="24"/>
          <w:szCs w:val="24"/>
        </w:rPr>
        <w:t xml:space="preserve">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w:t>
      </w:r>
      <w:r w:rsidR="006C6E5F">
        <w:rPr>
          <w:rFonts w:ascii="Times New Roman" w:hAnsi="Times New Roman" w:cs="Times New Roman"/>
          <w:sz w:val="24"/>
          <w:szCs w:val="24"/>
        </w:rPr>
        <w:fldChar w:fldCharType="begin"/>
      </w:r>
      <w:r w:rsidR="005A76B3">
        <w:rPr>
          <w:rFonts w:ascii="Times New Roman" w:hAnsi="Times New Roman" w:cs="Times New Roman"/>
          <w:sz w:val="24"/>
          <w:szCs w:val="24"/>
        </w:rPr>
        <w:instrText xml:space="preserve"> ADDIN ZOTERO_ITEM CSL_CITATION {"citationID":"EB1rz8vZ","properties":{"formattedCitation":"(United States Census Bureau 2021)","plainCitation":"(United States Census Bureau 2021)","noteIndex":0},"citationItems":[{"id":1505,"uris":["http://zotero.org/users/6152647/items/G9HAX5WM"],"itemData":{"id":1505,"type":"webpage","container-title":"Census.gov","language":"en","note":"section: Government","title":"Group Quarters and Housing Unit Estimates Terms and Definitions","URL":"https://www.census.gov/programs-surveys/popest/about/glossary/housing.html","author":[{"literal":"United States Census Bureau"}],"accessed":{"date-parts":[["2025",8,29]]},"issued":{"date-parts":[["2021"]]}}}],"schema":"https://github.com/citation-style-language/schema/raw/master/csl-citation.json"} </w:instrText>
      </w:r>
      <w:r w:rsidR="006C6E5F">
        <w:rPr>
          <w:rFonts w:ascii="Times New Roman" w:hAnsi="Times New Roman" w:cs="Times New Roman"/>
          <w:sz w:val="24"/>
          <w:szCs w:val="24"/>
        </w:rPr>
        <w:fldChar w:fldCharType="separate"/>
      </w:r>
      <w:r w:rsidR="005A76B3" w:rsidRPr="005A76B3">
        <w:rPr>
          <w:rFonts w:ascii="Times New Roman" w:hAnsi="Times New Roman" w:cs="Times New Roman"/>
          <w:sz w:val="24"/>
        </w:rPr>
        <w:t>(United States Census Bureau 2021</w:t>
      </w:r>
      <w:r w:rsidR="005A76B3">
        <w:rPr>
          <w:rFonts w:ascii="Times New Roman" w:hAnsi="Times New Roman" w:cs="Times New Roman"/>
          <w:sz w:val="24"/>
        </w:rPr>
        <w:t>:1</w:t>
      </w:r>
      <w:r w:rsidR="005A76B3" w:rsidRPr="005A76B3">
        <w:rPr>
          <w:rFonts w:ascii="Times New Roman" w:hAnsi="Times New Roman" w:cs="Times New Roman"/>
          <w:sz w:val="24"/>
        </w:rPr>
        <w:t>)</w:t>
      </w:r>
      <w:r w:rsidR="006C6E5F">
        <w:rPr>
          <w:rFonts w:ascii="Times New Roman" w:hAnsi="Times New Roman" w:cs="Times New Roman"/>
          <w:sz w:val="24"/>
          <w:szCs w:val="24"/>
        </w:rPr>
        <w:fldChar w:fldCharType="end"/>
      </w:r>
      <w:r w:rsidR="005A76B3">
        <w:rPr>
          <w:rFonts w:ascii="Times New Roman" w:hAnsi="Times New Roman" w:cs="Times New Roman"/>
          <w:sz w:val="24"/>
          <w:szCs w:val="24"/>
        </w:rPr>
        <w:t>.</w:t>
      </w:r>
    </w:p>
    <w:p w14:paraId="2B74D63D" w14:textId="2035F7AD" w:rsidR="00836AFE" w:rsidRDefault="0042291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two additional </w:t>
      </w:r>
      <w:r w:rsidR="0086776B">
        <w:rPr>
          <w:rFonts w:ascii="Times New Roman" w:hAnsi="Times New Roman" w:cs="Times New Roman"/>
          <w:sz w:val="24"/>
          <w:szCs w:val="24"/>
        </w:rPr>
        <w:t>criteria</w:t>
      </w:r>
      <w:r>
        <w:rPr>
          <w:rFonts w:ascii="Times New Roman" w:hAnsi="Times New Roman" w:cs="Times New Roman"/>
          <w:sz w:val="24"/>
          <w:szCs w:val="24"/>
        </w:rPr>
        <w:t xml:space="preserve">: </w:t>
      </w:r>
      <w:r w:rsidR="0086776B">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Finally non-conventional housing is included in the housing unit inventory when they are the usual place of residence for a person, otherwise they are excluded.</w:t>
      </w:r>
      <w:r w:rsidR="005E2850">
        <w:rPr>
          <w:rFonts w:ascii="Times New Roman" w:hAnsi="Times New Roman" w:cs="Times New Roman"/>
          <w:sz w:val="24"/>
          <w:szCs w:val="24"/>
        </w:rPr>
        <w:t xml:space="preserve"> Different surveys and programs use different thresholds for considering a housing unit</w:t>
      </w:r>
      <w:r w:rsidR="00765A3D">
        <w:rPr>
          <w:rFonts w:ascii="Times New Roman" w:hAnsi="Times New Roman" w:cs="Times New Roman"/>
          <w:sz w:val="24"/>
          <w:szCs w:val="24"/>
        </w:rPr>
        <w:t>, and researchers who are interacting with individual-level data</w:t>
      </w:r>
      <w:r w:rsidR="005952B1">
        <w:rPr>
          <w:rFonts w:ascii="Times New Roman" w:hAnsi="Times New Roman" w:cs="Times New Roman"/>
          <w:sz w:val="24"/>
          <w:szCs w:val="24"/>
        </w:rPr>
        <w:t>.</w:t>
      </w:r>
      <w:r w:rsidR="00765A3D">
        <w:rPr>
          <w:rFonts w:ascii="Times New Roman" w:hAnsi="Times New Roman" w:cs="Times New Roman"/>
          <w:sz w:val="24"/>
          <w:szCs w:val="24"/>
        </w:rPr>
        <w:t xml:space="preserve"> </w:t>
      </w:r>
    </w:p>
    <w:p w14:paraId="75172A8E" w14:textId="2CC53CBB" w:rsidR="00AD2D54" w:rsidRDefault="00AD2D54"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r w:rsidR="00B40904">
        <w:rPr>
          <w:rFonts w:ascii="Times New Roman" w:hAnsi="Times New Roman" w:cs="Times New Roman"/>
          <w:sz w:val="24"/>
          <w:szCs w:val="24"/>
        </w:rPr>
        <w:t>assigned 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idents at risk.</w:t>
      </w:r>
      <w:r w:rsidR="00D9029A">
        <w:rPr>
          <w:rFonts w:ascii="Times New Roman" w:hAnsi="Times New Roman" w:cs="Times New Roman"/>
          <w:sz w:val="24"/>
          <w:szCs w:val="24"/>
        </w:rPr>
        <w:t xml:space="preserve"> The difficulty for data users is that</w:t>
      </w:r>
      <w:r w:rsidR="0025551A">
        <w:rPr>
          <w:rFonts w:ascii="Times New Roman" w:hAnsi="Times New Roman" w:cs="Times New Roman"/>
          <w:sz w:val="24"/>
          <w:szCs w:val="24"/>
        </w:rPr>
        <w:t xml:space="preserve"> while all housing units are</w:t>
      </w:r>
      <w:r w:rsidR="00D9029A">
        <w:rPr>
          <w:rFonts w:ascii="Times New Roman" w:hAnsi="Times New Roman" w:cs="Times New Roman"/>
          <w:sz w:val="24"/>
          <w:szCs w:val="24"/>
        </w:rPr>
        <w:t xml:space="preserve"> MAF units</w:t>
      </w:r>
      <w:r w:rsidR="0025551A">
        <w:rPr>
          <w:rFonts w:ascii="Times New Roman" w:hAnsi="Times New Roman" w:cs="Times New Roman"/>
          <w:sz w:val="24"/>
          <w:szCs w:val="24"/>
        </w:rPr>
        <w:t>, MAF units</w:t>
      </w:r>
      <w:r w:rsidR="00D9029A">
        <w:rPr>
          <w:rFonts w:ascii="Times New Roman" w:hAnsi="Times New Roman" w:cs="Times New Roman"/>
          <w:sz w:val="24"/>
          <w:szCs w:val="24"/>
        </w:rPr>
        <w:t xml:space="preserve"> are not necessarily</w:t>
      </w:r>
      <w:r w:rsidR="0025551A">
        <w:rPr>
          <w:rFonts w:ascii="Times New Roman" w:hAnsi="Times New Roman" w:cs="Times New Roman"/>
          <w:sz w:val="24"/>
          <w:szCs w:val="24"/>
        </w:rPr>
        <w:t xml:space="preserve"> valid</w:t>
      </w:r>
      <w:r w:rsidR="00D9029A">
        <w:rPr>
          <w:rFonts w:ascii="Times New Roman" w:hAnsi="Times New Roman" w:cs="Times New Roman"/>
          <w:sz w:val="24"/>
          <w:szCs w:val="24"/>
        </w:rPr>
        <w:t xml:space="preserve"> housing units</w:t>
      </w:r>
      <w:r w:rsidR="0025551A">
        <w:rPr>
          <w:rFonts w:ascii="Times New Roman" w:hAnsi="Times New Roman" w:cs="Times New Roman"/>
          <w:sz w:val="24"/>
          <w:szCs w:val="24"/>
        </w:rPr>
        <w:t>.</w:t>
      </w:r>
      <w:r w:rsidR="005952B1">
        <w:rPr>
          <w:rFonts w:ascii="Times New Roman" w:hAnsi="Times New Roman" w:cs="Times New Roman"/>
          <w:sz w:val="24"/>
          <w:szCs w:val="24"/>
        </w:rPr>
        <w:t xml:space="preserve"> </w:t>
      </w:r>
      <w:r w:rsidR="0025551A">
        <w:rPr>
          <w:rFonts w:ascii="Times New Roman" w:hAnsi="Times New Roman" w:cs="Times New Roman"/>
          <w:sz w:val="24"/>
          <w:szCs w:val="24"/>
        </w:rPr>
        <w:t>H</w:t>
      </w:r>
      <w:r w:rsidR="005952B1">
        <w:rPr>
          <w:rFonts w:ascii="Times New Roman" w:hAnsi="Times New Roman" w:cs="Times New Roman"/>
          <w:sz w:val="24"/>
          <w:szCs w:val="24"/>
        </w:rPr>
        <w:t xml:space="preserve">ow many (if any) </w:t>
      </w:r>
      <w:r w:rsidR="0025551A">
        <w:rPr>
          <w:rFonts w:ascii="Times New Roman" w:hAnsi="Times New Roman" w:cs="Times New Roman"/>
          <w:sz w:val="24"/>
          <w:szCs w:val="24"/>
        </w:rPr>
        <w:t>individuals</w:t>
      </w:r>
      <w:r w:rsidR="005952B1">
        <w:rPr>
          <w:rFonts w:ascii="Times New Roman" w:hAnsi="Times New Roman" w:cs="Times New Roman"/>
          <w:sz w:val="24"/>
          <w:szCs w:val="24"/>
        </w:rPr>
        <w:t xml:space="preserve"> or families live in MAF unit would be unclear if the Census Bureau did not provide a mechanism to </w:t>
      </w:r>
      <w:r w:rsidR="005952B1">
        <w:rPr>
          <w:rFonts w:ascii="Times New Roman" w:hAnsi="Times New Roman" w:cs="Times New Roman"/>
          <w:sz w:val="24"/>
          <w:szCs w:val="24"/>
        </w:rPr>
        <w:lastRenderedPageBreak/>
        <w:t xml:space="preserve">attach people to their residences. I will discuss more about the matching process in a section on administrative data. </w:t>
      </w:r>
    </w:p>
    <w:p w14:paraId="3ECC9813" w14:textId="77777777" w:rsidR="0025551A" w:rsidRDefault="0025551A" w:rsidP="0025551A">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502820EE" w14:textId="12C66671" w:rsidR="00820588" w:rsidRDefault="00820588" w:rsidP="002555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t>
      </w:r>
      <w:r w:rsidR="00A55E4B">
        <w:rPr>
          <w:rFonts w:ascii="Times New Roman" w:hAnsi="Times New Roman" w:cs="Times New Roman"/>
          <w:sz w:val="24"/>
          <w:szCs w:val="24"/>
        </w:rPr>
        <w:t>now</w:t>
      </w:r>
      <w:r>
        <w:rPr>
          <w:rFonts w:ascii="Times New Roman" w:hAnsi="Times New Roman" w:cs="Times New Roman"/>
          <w:sz w:val="24"/>
          <w:szCs w:val="24"/>
        </w:rPr>
        <w:t xml:space="preserve"> turn our focus from geography to demography, the people </w:t>
      </w:r>
      <w:r w:rsidR="00A55E4B">
        <w:rPr>
          <w:rFonts w:ascii="Times New Roman" w:hAnsi="Times New Roman" w:cs="Times New Roman"/>
          <w:sz w:val="24"/>
          <w:szCs w:val="24"/>
        </w:rPr>
        <w:t xml:space="preserve">who live in the places. Similar to the concerns around privacy for MAF units and addresses, the Census Bureau provides a system to anonymize the people that live in the United States: the Primary Identification Key or PIK. </w:t>
      </w:r>
    </w:p>
    <w:p w14:paraId="3130449A" w14:textId="704F5203" w:rsidR="00F619E3" w:rsidRPr="00820588" w:rsidRDefault="00F619E3" w:rsidP="002555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PIKs first begin as an effort to link people across the old decennial censuses. Censuses are released 70 years after they are enumerated. </w:t>
      </w:r>
    </w:p>
    <w:p w14:paraId="4E8A0E9C" w14:textId="215F68F1" w:rsidR="00820588" w:rsidRPr="00820588" w:rsidRDefault="00820588" w:rsidP="0025551A">
      <w:pPr>
        <w:spacing w:line="480" w:lineRule="auto"/>
        <w:rPr>
          <w:rFonts w:ascii="Times New Roman" w:hAnsi="Times New Roman" w:cs="Times New Roman"/>
          <w:sz w:val="24"/>
          <w:szCs w:val="24"/>
        </w:rPr>
      </w:pPr>
      <w:r>
        <w:rPr>
          <w:rFonts w:ascii="Times New Roman" w:hAnsi="Times New Roman" w:cs="Times New Roman"/>
          <w:i/>
          <w:iCs/>
          <w:sz w:val="24"/>
          <w:szCs w:val="24"/>
        </w:rPr>
        <w:tab/>
      </w:r>
    </w:p>
    <w:p w14:paraId="184233DE" w14:textId="77777777" w:rsidR="0025551A" w:rsidRDefault="0025551A" w:rsidP="0025551A">
      <w:pPr>
        <w:spacing w:line="480" w:lineRule="auto"/>
        <w:ind w:firstLine="720"/>
        <w:rPr>
          <w:rFonts w:ascii="Times New Roman" w:hAnsi="Times New Roman" w:cs="Times New Roman"/>
          <w:sz w:val="24"/>
          <w:szCs w:val="24"/>
        </w:rPr>
      </w:pP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t>Operationalization of Time</w:t>
      </w:r>
    </w:p>
    <w:p w14:paraId="45C5E537" w14:textId="1A3CD2F9" w:rsidR="00AE4A5B" w:rsidRPr="00AE4A5B" w:rsidRDefault="00AE4A5B" w:rsidP="0025551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The gold standard is knowing the day a person moves, but most data, especially administrative data, only registers a change when a new vintage of data is collected. Additionally, lots of migration is temporary. People may move multiple times between data collection periods or move to a new location and then back again. </w:t>
      </w:r>
    </w:p>
    <w:p w14:paraId="5FDE5C67" w14:textId="6827961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 xml:space="preserve">Used for </w:t>
      </w:r>
      <w:r w:rsidR="00CA042E">
        <w:rPr>
          <w:rFonts w:ascii="Times New Roman" w:hAnsi="Times New Roman" w:cs="Times New Roman"/>
          <w:i/>
          <w:iCs/>
          <w:sz w:val="24"/>
          <w:szCs w:val="24"/>
        </w:rPr>
        <w:t>Migration</w:t>
      </w:r>
      <w:r w:rsidR="00010CF8" w:rsidRPr="008B5152">
        <w:rPr>
          <w:rFonts w:ascii="Times New Roman" w:hAnsi="Times New Roman" w:cs="Times New Roman"/>
          <w:i/>
          <w:iCs/>
          <w:sz w:val="24"/>
          <w:szCs w:val="24"/>
        </w:rPr>
        <w:t xml:space="preserve"> Research</w:t>
      </w:r>
    </w:p>
    <w:p w14:paraId="59C91ABE" w14:textId="03191A07"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The American Community Survey and the Decennial Census</w:t>
      </w:r>
      <w:r w:rsidR="00CC046C">
        <w:rPr>
          <w:rFonts w:ascii="Times New Roman" w:hAnsi="Times New Roman" w:cs="Times New Roman"/>
          <w:sz w:val="24"/>
          <w:szCs w:val="24"/>
        </w:rPr>
        <w:t xml:space="preserve"> operate using the MAFX as their sampling frame. (The Decennial Census just visits every housing unit in the sampling </w:t>
      </w:r>
      <w:r w:rsidR="00CC046C">
        <w:rPr>
          <w:rFonts w:ascii="Times New Roman" w:hAnsi="Times New Roman" w:cs="Times New Roman"/>
          <w:sz w:val="24"/>
          <w:szCs w:val="24"/>
        </w:rPr>
        <w:lastRenderedPageBreak/>
        <w:t xml:space="preserve">frame and adds </w:t>
      </w:r>
      <w:r w:rsidR="00B23B22">
        <w:rPr>
          <w:rFonts w:ascii="Times New Roman" w:hAnsi="Times New Roman" w:cs="Times New Roman"/>
          <w:sz w:val="24"/>
          <w:szCs w:val="24"/>
        </w:rPr>
        <w:t xml:space="preserve">housing </w:t>
      </w:r>
      <w:r w:rsidR="00CC046C">
        <w:rPr>
          <w:rFonts w:ascii="Times New Roman" w:hAnsi="Times New Roman" w:cs="Times New Roman"/>
          <w:sz w:val="24"/>
          <w:szCs w:val="24"/>
        </w:rPr>
        <w:t>units</w:t>
      </w:r>
      <w:r w:rsidR="00B23B22">
        <w:rPr>
          <w:rFonts w:ascii="Times New Roman" w:hAnsi="Times New Roman" w:cs="Times New Roman"/>
          <w:sz w:val="24"/>
          <w:szCs w:val="24"/>
        </w:rPr>
        <w:t xml:space="preserve"> as it discovers new ones</w:t>
      </w:r>
      <w:r w:rsidR="00CC046C">
        <w:rPr>
          <w:rFonts w:ascii="Times New Roman" w:hAnsi="Times New Roman" w:cs="Times New Roman"/>
          <w:sz w:val="24"/>
          <w:szCs w:val="24"/>
        </w:rPr>
        <w:t>)</w:t>
      </w:r>
      <w:r w:rsidR="00B23B22">
        <w:rPr>
          <w:rFonts w:ascii="Times New Roman" w:hAnsi="Times New Roman" w:cs="Times New Roman"/>
          <w:sz w:val="24"/>
          <w:szCs w:val="24"/>
        </w:rPr>
        <w:t xml:space="preserve">. </w:t>
      </w:r>
      <w:r w:rsidR="00FC3506" w:rsidRPr="008B5152">
        <w:rPr>
          <w:rFonts w:ascii="Times New Roman" w:hAnsi="Times New Roman" w:cs="Times New Roman"/>
          <w:sz w:val="24"/>
          <w:szCs w:val="24"/>
        </w:rPr>
        <w:t xml:space="preserve">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B23B22">
        <w:rPr>
          <w:rFonts w:ascii="Times New Roman" w:hAnsi="Times New Roman" w:cs="Times New Roman"/>
          <w:sz w:val="24"/>
          <w:szCs w:val="24"/>
        </w:rPr>
        <w:t>relationships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08D64BE1"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62025E">
        <w:rPr>
          <w:rFonts w:ascii="Times New Roman" w:hAnsi="Times New Roman" w:cs="Times New Roman"/>
          <w:sz w:val="24"/>
          <w:szCs w:val="24"/>
        </w:rPr>
        <w:instrText xml:space="preserve"> ADDIN ZOTERO_ITEM CSL_CITATION {"citationID":"mNlCEOoe","properties":{"formattedCitation":"(United States Census Bureau 2025c)","plainCitation":"(United States Census Bureau 2025c)","noteIndex":0},"citationItems":[{"id":1456,"uris":["http://zotero.org/users/6152647/items/RJPKPNKF"],"itemData":{"id":1456,"type":"webpage","abstract":"Learn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62025E" w:rsidRPr="0062025E">
        <w:rPr>
          <w:rFonts w:ascii="Times New Roman" w:hAnsi="Times New Roman" w:cs="Times New Roman"/>
          <w:sz w:val="24"/>
        </w:rPr>
        <w:t>(United States Census Bureau 2025c)</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lastRenderedPageBreak/>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 xml:space="preserve">(Layne, Wagner, and </w:t>
      </w:r>
      <w:proofErr w:type="spellStart"/>
      <w:r w:rsidRPr="008B5152">
        <w:rPr>
          <w:rFonts w:ascii="Times New Roman" w:hAnsi="Times New Roman" w:cs="Times New Roman"/>
          <w:sz w:val="24"/>
          <w:szCs w:val="24"/>
        </w:rPr>
        <w:t>Rothhaas</w:t>
      </w:r>
      <w:proofErr w:type="spellEnd"/>
      <w:r w:rsidRPr="008B5152">
        <w:rPr>
          <w:rFonts w:ascii="Times New Roman" w:hAnsi="Times New Roman" w:cs="Times New Roman"/>
          <w:sz w:val="24"/>
          <w:szCs w:val="24"/>
        </w:rPr>
        <w:t xml:space="preserve">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6922A360" w14:textId="3094DB2D" w:rsidR="00762FFB" w:rsidRDefault="00762FFB"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Matching addresses to MAFIDs is also done at the Census Bur</w:t>
      </w:r>
      <w:r w:rsidR="00820588">
        <w:rPr>
          <w:rFonts w:ascii="Times New Roman" w:hAnsi="Times New Roman" w:cs="Times New Roman"/>
          <w:sz w:val="24"/>
          <w:szCs w:val="24"/>
        </w:rPr>
        <w:t>eau</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w:t>
      </w:r>
      <w:proofErr w:type="spellStart"/>
      <w:r w:rsidR="002049D9">
        <w:rPr>
          <w:rFonts w:ascii="Times New Roman" w:hAnsi="Times New Roman" w:cs="Times New Roman"/>
          <w:sz w:val="24"/>
          <w:szCs w:val="24"/>
        </w:rPr>
        <w:t>Eyeota</w:t>
      </w:r>
      <w:proofErr w:type="spellEnd"/>
      <w:r w:rsidR="002049D9">
        <w:rPr>
          <w:rFonts w:ascii="Times New Roman" w:hAnsi="Times New Roman" w:cs="Times New Roman"/>
          <w:sz w:val="24"/>
          <w:szCs w:val="24"/>
        </w:rPr>
        <w:t xml:space="preserve">, usually with the goal of profiling customers. This information is most often gathered through internet cookies, 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w:t>
      </w:r>
      <w:r w:rsidR="00F4266A">
        <w:rPr>
          <w:rFonts w:ascii="Times New Roman" w:hAnsi="Times New Roman" w:cs="Times New Roman"/>
          <w:sz w:val="24"/>
          <w:szCs w:val="24"/>
        </w:rPr>
        <w:lastRenderedPageBreak/>
        <w:t>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even in projects that require multiple 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5961CBF3"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even when the correct race is listed in primary sources (like voting records) for 96% of the sample, the accuracy for the five datasets range from 74% to 85%.</w:t>
      </w:r>
      <w:r w:rsidR="001A19E6">
        <w:rPr>
          <w:rFonts w:ascii="Times New Roman" w:hAnsi="Times New Roman" w:cs="Times New Roman"/>
          <w:sz w:val="24"/>
          <w:szCs w:val="24"/>
        </w:rPr>
        <w:t xml:space="preserve"> These accuracy rates are even worse for minorities, like accuracy ranging from 56% to 76% for African Americans, and </w:t>
      </w:r>
      <w:r w:rsidR="001A19E6">
        <w:rPr>
          <w:rFonts w:ascii="Times New Roman" w:hAnsi="Times New Roman" w:cs="Times New Roman"/>
          <w:sz w:val="24"/>
          <w:szCs w:val="24"/>
        </w:rPr>
        <w:lastRenderedPageBreak/>
        <w:t xml:space="preserve">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w:t>
      </w:r>
      <w:r w:rsidR="00D26F54">
        <w:rPr>
          <w:rFonts w:ascii="Times New Roman" w:hAnsi="Times New Roman" w:cs="Times New Roman"/>
          <w:sz w:val="24"/>
          <w:szCs w:val="24"/>
        </w:rPr>
        <w:t>/or</w:t>
      </w:r>
      <w:r w:rsidR="004551B0">
        <w:rPr>
          <w:rFonts w:ascii="Times New Roman" w:hAnsi="Times New Roman" w:cs="Times New Roman"/>
          <w:sz w:val="24"/>
          <w:szCs w:val="24"/>
        </w:rPr>
        <w:t xml:space="preserve"> have </w:t>
      </w:r>
      <w:r w:rsidR="00D26F54">
        <w:rPr>
          <w:rFonts w:ascii="Times New Roman" w:hAnsi="Times New Roman" w:cs="Times New Roman"/>
          <w:sz w:val="24"/>
          <w:szCs w:val="24"/>
        </w:rPr>
        <w:t>fewer</w:t>
      </w:r>
      <w:r w:rsidR="004551B0">
        <w:rPr>
          <w:rFonts w:ascii="Times New Roman" w:hAnsi="Times New Roman" w:cs="Times New Roman"/>
          <w:sz w:val="24"/>
          <w:szCs w:val="24"/>
        </w:rPr>
        <w:t xml:space="preserve">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3A71C5F3" w:rsidR="0059403D"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497B9E">
        <w:rPr>
          <w:rFonts w:ascii="Times New Roman" w:hAnsi="Times New Roman" w:cs="Times New Roman"/>
          <w:sz w:val="24"/>
          <w:szCs w:val="24"/>
        </w:rPr>
        <w:t xml:space="preserve">(1)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w:t>
      </w:r>
      <w:r w:rsidR="00497B9E">
        <w:rPr>
          <w:rFonts w:ascii="Times New Roman" w:hAnsi="Times New Roman" w:cs="Times New Roman"/>
          <w:sz w:val="24"/>
          <w:szCs w:val="24"/>
        </w:rPr>
        <w:t xml:space="preserve">(2) </w:t>
      </w:r>
      <w:r>
        <w:rPr>
          <w:rFonts w:ascii="Times New Roman" w:hAnsi="Times New Roman" w:cs="Times New Roman"/>
          <w:sz w:val="24"/>
          <w:szCs w:val="24"/>
        </w:rPr>
        <w:t xml:space="preserve">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r w:rsidR="00497B9E">
        <w:rPr>
          <w:rFonts w:ascii="Times New Roman" w:hAnsi="Times New Roman" w:cs="Times New Roman"/>
          <w:sz w:val="24"/>
          <w:szCs w:val="24"/>
        </w:rPr>
        <w:t xml:space="preserve"> This is the current frontier of whole-universe estimation, though no data source can currently do both at the 80% level. </w:t>
      </w:r>
    </w:p>
    <w:p w14:paraId="3041CF71" w14:textId="2D1D75D7" w:rsidR="002350F5" w:rsidRDefault="00325E7A" w:rsidP="00325E7A">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The demographic frame extract. </w:t>
      </w:r>
      <w:r>
        <w:rPr>
          <w:rFonts w:ascii="Times New Roman" w:hAnsi="Times New Roman" w:cs="Times New Roman"/>
          <w:sz w:val="24"/>
          <w:szCs w:val="24"/>
        </w:rPr>
        <w:t xml:space="preserve">The  U.S. Census Bureau’s Demographic Frame </w:t>
      </w:r>
      <w:r w:rsidR="006D695D">
        <w:rPr>
          <w:rFonts w:ascii="Times New Roman" w:hAnsi="Times New Roman" w:cs="Times New Roman"/>
          <w:sz w:val="24"/>
          <w:szCs w:val="24"/>
        </w:rPr>
        <w:t>(</w:t>
      </w:r>
      <w:proofErr w:type="spellStart"/>
      <w:r w:rsidR="006D695D">
        <w:rPr>
          <w:rFonts w:ascii="Times New Roman" w:hAnsi="Times New Roman" w:cs="Times New Roman"/>
          <w:sz w:val="24"/>
          <w:szCs w:val="24"/>
        </w:rPr>
        <w:t>demoframe</w:t>
      </w:r>
      <w:proofErr w:type="spellEnd"/>
      <w:r w:rsidR="006D695D">
        <w:rPr>
          <w:rFonts w:ascii="Times New Roman" w:hAnsi="Times New Roman" w:cs="Times New Roman"/>
          <w:sz w:val="24"/>
          <w:szCs w:val="24"/>
        </w:rPr>
        <w:t xml:space="preserve">) </w:t>
      </w:r>
      <w:r>
        <w:rPr>
          <w:rFonts w:ascii="Times New Roman" w:hAnsi="Times New Roman" w:cs="Times New Roman"/>
          <w:sz w:val="24"/>
          <w:szCs w:val="24"/>
        </w:rPr>
        <w:t>Team’s</w:t>
      </w:r>
      <w:r w:rsidR="00545F29">
        <w:rPr>
          <w:rFonts w:ascii="Times New Roman" w:hAnsi="Times New Roman" w:cs="Times New Roman"/>
          <w:sz w:val="24"/>
          <w:szCs w:val="24"/>
        </w:rPr>
        <w:t xml:space="preserve"> extract uses administrative records and modeling to match</w:t>
      </w:r>
      <w:r>
        <w:rPr>
          <w:rFonts w:ascii="Times New Roman" w:hAnsi="Times New Roman" w:cs="Times New Roman"/>
          <w:sz w:val="24"/>
          <w:szCs w:val="24"/>
        </w:rPr>
        <w:t xml:space="preserve"> </w:t>
      </w:r>
      <w:r w:rsidR="002350F5">
        <w:rPr>
          <w:rFonts w:ascii="Times New Roman" w:hAnsi="Times New Roman" w:cs="Times New Roman"/>
          <w:sz w:val="24"/>
          <w:szCs w:val="24"/>
        </w:rPr>
        <w:t>pe</w:t>
      </w:r>
      <w:r w:rsidR="00545F29">
        <w:rPr>
          <w:rFonts w:ascii="Times New Roman" w:hAnsi="Times New Roman" w:cs="Times New Roman"/>
          <w:sz w:val="24"/>
          <w:szCs w:val="24"/>
        </w:rPr>
        <w:t>ople and places in a given time</w:t>
      </w:r>
      <w:r w:rsidR="00B428C0">
        <w:rPr>
          <w:rFonts w:ascii="Times New Roman" w:hAnsi="Times New Roman" w:cs="Times New Roman"/>
          <w:sz w:val="24"/>
          <w:szCs w:val="24"/>
        </w:rPr>
        <w:t xml:space="preserve">  </w:t>
      </w:r>
      <w:r w:rsidR="00B428C0" w:rsidRPr="003C52A1">
        <w:rPr>
          <w:rFonts w:ascii="Times New Roman" w:hAnsi="Times New Roman" w:cs="Times New Roman"/>
          <w:sz w:val="24"/>
          <w:szCs w:val="24"/>
        </w:rPr>
        <w:fldChar w:fldCharType="begin"/>
      </w:r>
      <w:r w:rsidR="00B428C0">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B428C0" w:rsidRPr="003C52A1">
        <w:rPr>
          <w:rFonts w:ascii="Times New Roman" w:hAnsi="Times New Roman" w:cs="Times New Roman"/>
          <w:sz w:val="24"/>
          <w:szCs w:val="24"/>
        </w:rPr>
        <w:fldChar w:fldCharType="separate"/>
      </w:r>
      <w:r w:rsidR="00B428C0" w:rsidRPr="003C52A1">
        <w:rPr>
          <w:rFonts w:ascii="Times New Roman" w:hAnsi="Times New Roman" w:cs="Times New Roman"/>
          <w:sz w:val="24"/>
        </w:rPr>
        <w:t>(Demographic Frame Team 2025)</w:t>
      </w:r>
      <w:r w:rsidR="00B428C0" w:rsidRPr="003C52A1">
        <w:rPr>
          <w:rFonts w:ascii="Times New Roman" w:hAnsi="Times New Roman" w:cs="Times New Roman"/>
          <w:sz w:val="24"/>
          <w:szCs w:val="24"/>
        </w:rPr>
        <w:fldChar w:fldCharType="end"/>
      </w:r>
      <w:r w:rsidR="00545F29">
        <w:rPr>
          <w:rFonts w:ascii="Times New Roman" w:hAnsi="Times New Roman" w:cs="Times New Roman"/>
          <w:sz w:val="24"/>
          <w:szCs w:val="24"/>
        </w:rPr>
        <w:t>. T</w:t>
      </w:r>
      <w:r w:rsidR="002350F5">
        <w:rPr>
          <w:rFonts w:ascii="Times New Roman" w:hAnsi="Times New Roman" w:cs="Times New Roman"/>
          <w:sz w:val="24"/>
          <w:szCs w:val="24"/>
        </w:rPr>
        <w:t xml:space="preserve">he </w:t>
      </w:r>
      <w:proofErr w:type="spellStart"/>
      <w:r w:rsidR="002350F5">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extracts</w:t>
      </w:r>
      <w:r w:rsidR="00B428C0">
        <w:rPr>
          <w:rFonts w:ascii="Times New Roman" w:hAnsi="Times New Roman" w:cs="Times New Roman"/>
          <w:sz w:val="24"/>
          <w:szCs w:val="24"/>
        </w:rPr>
        <w:t xml:space="preserve"> are modeled using people living in the United States known to the Social </w:t>
      </w:r>
      <w:r w:rsidR="006D695D">
        <w:rPr>
          <w:rFonts w:ascii="Times New Roman" w:hAnsi="Times New Roman" w:cs="Times New Roman"/>
          <w:sz w:val="24"/>
          <w:szCs w:val="24"/>
        </w:rPr>
        <w:t>Security</w:t>
      </w:r>
      <w:r w:rsidR="00B428C0">
        <w:rPr>
          <w:rFonts w:ascii="Times New Roman" w:hAnsi="Times New Roman" w:cs="Times New Roman"/>
          <w:sz w:val="24"/>
          <w:szCs w:val="24"/>
        </w:rPr>
        <w:t xml:space="preserve"> Administration</w:t>
      </w:r>
      <w:r w:rsidR="006D695D">
        <w:rPr>
          <w:rFonts w:ascii="Times New Roman" w:hAnsi="Times New Roman" w:cs="Times New Roman"/>
          <w:sz w:val="24"/>
          <w:szCs w:val="24"/>
        </w:rPr>
        <w:t xml:space="preserve"> </w:t>
      </w:r>
      <w:r w:rsidR="006D695D">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{"citationID":"bbKe0LXv","properties":{"formattedCitation":"(Anthony Wray, Board, and Administration 2024)","plainCitation":"(Anthony Wray, Board, and Administration 2024)","noteIndex":0},"citationItems":[{"id":1507,"uris":["http://zotero.org/users/6152647/items/GV26KX9T"],"itemData":{"id":1507,"type":"dataset","DOI":"10.3886/E207202V1","language":"en","publisher":"Inter-university Consortium for Political and Social Research (ICPSR)","source":"www.openicpsr.org","title":"Numerical Identification Files (NUMIDENT), 1936–2007","URL":"https://www.openicpsr.org/openicpsr/project/207202/version/V1/view","author":[{"family":"Anthony Wray","given":"University of Southern Denmark"},{"family":"Board","given":"United States Federal Security Agency Social Security"},{"family":"Administration","given":"United States Social Security"}],"accessed":{"date-parts":[["2025",8,29]]},"issued":{"date-parts":[["2024",7,1]]}}}],"schema":"https://github.com/citation-style-language/schema/raw/master/csl-citation.json"} </w:instrText>
      </w:r>
      <w:r w:rsidR="006D695D">
        <w:rPr>
          <w:rFonts w:ascii="Times New Roman" w:hAnsi="Times New Roman" w:cs="Times New Roman"/>
          <w:sz w:val="24"/>
          <w:szCs w:val="24"/>
        </w:rPr>
        <w:fldChar w:fldCharType="separate"/>
      </w:r>
      <w:r w:rsidR="006D695D" w:rsidRPr="006D695D">
        <w:rPr>
          <w:rFonts w:ascii="Times New Roman" w:hAnsi="Times New Roman" w:cs="Times New Roman"/>
          <w:sz w:val="24"/>
        </w:rPr>
        <w:t>(Anthony Wray, Board, and Administration 2024)</w:t>
      </w:r>
      <w:r w:rsidR="006D695D">
        <w:rPr>
          <w:rFonts w:ascii="Times New Roman" w:hAnsi="Times New Roman" w:cs="Times New Roman"/>
          <w:sz w:val="24"/>
          <w:szCs w:val="24"/>
        </w:rPr>
        <w:fldChar w:fldCharType="end"/>
      </w:r>
      <w:r w:rsidR="00B428C0">
        <w:rPr>
          <w:rFonts w:ascii="Times New Roman" w:hAnsi="Times New Roman" w:cs="Times New Roman"/>
          <w:sz w:val="24"/>
          <w:szCs w:val="24"/>
        </w:rPr>
        <w:t>.</w:t>
      </w:r>
      <w:r w:rsidR="006D695D">
        <w:rPr>
          <w:rFonts w:ascii="Times New Roman" w:hAnsi="Times New Roman" w:cs="Times New Roman"/>
          <w:sz w:val="24"/>
          <w:szCs w:val="24"/>
        </w:rPr>
        <w:t xml:space="preserve"> The </w:t>
      </w:r>
      <w:proofErr w:type="spellStart"/>
      <w:r w:rsidR="006D695D">
        <w:rPr>
          <w:rFonts w:ascii="Times New Roman" w:hAnsi="Times New Roman" w:cs="Times New Roman"/>
          <w:sz w:val="24"/>
          <w:szCs w:val="24"/>
        </w:rPr>
        <w:t>demoframe</w:t>
      </w:r>
      <w:proofErr w:type="spellEnd"/>
      <w:r w:rsidR="006D695D">
        <w:rPr>
          <w:rFonts w:ascii="Times New Roman" w:hAnsi="Times New Roman" w:cs="Times New Roman"/>
          <w:sz w:val="24"/>
          <w:szCs w:val="24"/>
        </w:rPr>
        <w:t xml:space="preserve"> team uses the Census Bureau’s version of the </w:t>
      </w:r>
      <w:proofErr w:type="spellStart"/>
      <w:r w:rsidR="006D695D">
        <w:rPr>
          <w:rFonts w:ascii="Times New Roman" w:hAnsi="Times New Roman" w:cs="Times New Roman"/>
          <w:sz w:val="24"/>
          <w:szCs w:val="24"/>
        </w:rPr>
        <w:t>Numident</w:t>
      </w:r>
      <w:proofErr w:type="spellEnd"/>
      <w:r w:rsidR="003F19AA">
        <w:rPr>
          <w:rFonts w:ascii="Times New Roman" w:hAnsi="Times New Roman" w:cs="Times New Roman"/>
          <w:sz w:val="24"/>
          <w:szCs w:val="24"/>
        </w:rPr>
        <w:t xml:space="preserve">: </w:t>
      </w:r>
      <w:r w:rsidR="006D695D">
        <w:rPr>
          <w:rFonts w:ascii="Times New Roman" w:hAnsi="Times New Roman" w:cs="Times New Roman"/>
          <w:sz w:val="24"/>
          <w:szCs w:val="24"/>
        </w:rPr>
        <w:t xml:space="preserve">the Census </w:t>
      </w:r>
      <w:proofErr w:type="spellStart"/>
      <w:r w:rsidR="006D695D">
        <w:rPr>
          <w:rFonts w:ascii="Times New Roman" w:hAnsi="Times New Roman" w:cs="Times New Roman"/>
          <w:sz w:val="24"/>
          <w:szCs w:val="24"/>
        </w:rPr>
        <w:t>Numident</w:t>
      </w:r>
      <w:proofErr w:type="spellEnd"/>
      <w:r w:rsidR="006D695D">
        <w:rPr>
          <w:rFonts w:ascii="Times New Roman" w:hAnsi="Times New Roman" w:cs="Times New Roman"/>
          <w:sz w:val="24"/>
          <w:szCs w:val="24"/>
        </w:rPr>
        <w:t xml:space="preserve">. </w:t>
      </w:r>
      <w:r w:rsidR="00B428C0">
        <w:rPr>
          <w:rFonts w:ascii="Times New Roman" w:hAnsi="Times New Roman" w:cs="Times New Roman"/>
          <w:sz w:val="24"/>
          <w:szCs w:val="24"/>
        </w:rPr>
        <w:t xml:space="preserve">  </w:t>
      </w:r>
      <w:r w:rsidR="002350F5">
        <w:rPr>
          <w:rFonts w:ascii="Times New Roman" w:hAnsi="Times New Roman" w:cs="Times New Roman"/>
          <w:sz w:val="24"/>
          <w:szCs w:val="24"/>
        </w:rPr>
        <w:t xml:space="preserve"> </w:t>
      </w:r>
    </w:p>
    <w:p w14:paraId="478335CA" w14:textId="728AF0F9" w:rsidR="002350F5" w:rsidRPr="002350F5" w:rsidRDefault="00325E7A" w:rsidP="00325E7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w:t>
      </w:r>
      <w:proofErr w:type="spellStart"/>
      <w:r w:rsidR="000E15A0">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 offers four machine learning models which identify the best PIK/MAFID pairs for a given year and reference date: an elastic net, random forest, logit, and boosted tree model. They are trained on the extract year’s ACS data as a truth set and then uses the sources from the past two years in the Person Place Table to create PIK/MAFID pairs. Other features used for training include the </w:t>
      </w:r>
      <w:r w:rsidR="000E15A0">
        <w:rPr>
          <w:rFonts w:ascii="Times New Roman" w:hAnsi="Times New Roman" w:cs="Times New Roman"/>
          <w:sz w:val="24"/>
          <w:szCs w:val="24"/>
        </w:rPr>
        <w:t>source name and</w:t>
      </w:r>
      <w:r w:rsidR="002350F5">
        <w:rPr>
          <w:rFonts w:ascii="Times New Roman" w:hAnsi="Times New Roman" w:cs="Times New Roman"/>
          <w:sz w:val="24"/>
          <w:szCs w:val="24"/>
        </w:rPr>
        <w:t xml:space="preserve"> the characteristics of a particular source, and the date a source was considered valid. Each model seems to have different strengths and weaknesses and there are different versions of the</w:t>
      </w:r>
      <w:r w:rsidR="000E15A0">
        <w:rPr>
          <w:rFonts w:ascii="Times New Roman" w:hAnsi="Times New Roman" w:cs="Times New Roman"/>
          <w:sz w:val="24"/>
          <w:szCs w:val="24"/>
        </w:rPr>
        <w:t xml:space="preserve"> </w:t>
      </w:r>
      <w:proofErr w:type="spellStart"/>
      <w:r w:rsidR="002350F5">
        <w:rPr>
          <w:rFonts w:ascii="Times New Roman" w:hAnsi="Times New Roman" w:cs="Times New Roman"/>
          <w:sz w:val="24"/>
          <w:szCs w:val="24"/>
        </w:rPr>
        <w:t>demoframe</w:t>
      </w:r>
      <w:proofErr w:type="spellEnd"/>
      <w:r w:rsidR="002350F5">
        <w:rPr>
          <w:rFonts w:ascii="Times New Roman" w:hAnsi="Times New Roman" w:cs="Times New Roman"/>
          <w:sz w:val="24"/>
          <w:szCs w:val="24"/>
        </w:rPr>
        <w:t xml:space="preserve"> extracts with various reference dates and coverages. The assignment process and logic behind the PIK/MAFID pairs is opaque for each model. However, broadly speaking, the models prefer PIK/MAFID pairs with many </w:t>
      </w:r>
      <w:r w:rsidR="002350F5">
        <w:rPr>
          <w:rFonts w:ascii="Times New Roman" w:hAnsi="Times New Roman" w:cs="Times New Roman"/>
          <w:sz w:val="24"/>
          <w:szCs w:val="24"/>
        </w:rPr>
        <w:lastRenderedPageBreak/>
        <w:t xml:space="preserve">corroborating sources, with higher quality sources, and more recent sources. It also has a feature </w:t>
      </w:r>
      <w:r w:rsidR="002350F5" w:rsidRPr="003C52A1">
        <w:rPr>
          <w:rFonts w:ascii="Times New Roman" w:hAnsi="Times New Roman" w:cs="Times New Roman"/>
          <w:sz w:val="24"/>
          <w:szCs w:val="24"/>
        </w:rPr>
        <w:t xml:space="preserve">which prefers </w:t>
      </w:r>
      <w:proofErr w:type="spellStart"/>
      <w:r w:rsidR="002350F5" w:rsidRPr="003C52A1">
        <w:rPr>
          <w:rFonts w:ascii="Times New Roman" w:hAnsi="Times New Roman" w:cs="Times New Roman"/>
          <w:sz w:val="24"/>
          <w:szCs w:val="24"/>
        </w:rPr>
        <w:t>mafids</w:t>
      </w:r>
      <w:proofErr w:type="spellEnd"/>
      <w:r w:rsidR="002350F5" w:rsidRPr="003C52A1">
        <w:rPr>
          <w:rFonts w:ascii="Times New Roman" w:hAnsi="Times New Roman" w:cs="Times New Roman"/>
          <w:sz w:val="24"/>
          <w:szCs w:val="24"/>
        </w:rPr>
        <w:t xml:space="preserve"> that were considered valid housing units during the last decennial census. </w:t>
      </w:r>
    </w:p>
    <w:p w14:paraId="5C57D2E0" w14:textId="123F0399" w:rsidR="002350F5" w:rsidRPr="00B37263" w:rsidRDefault="002350F5" w:rsidP="002350F5">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Internal analyses suggest using the random forest and logistic regression models over the elastic net and boosted tree models </w:t>
      </w:r>
      <w:r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{"citationID":"I6UvTFPH","properties":{"formattedCitation":"(Demographic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Pr="003C52A1">
        <w:rPr>
          <w:rFonts w:ascii="Times New Roman" w:hAnsi="Times New Roman" w:cs="Times New Roman"/>
          <w:sz w:val="24"/>
          <w:szCs w:val="24"/>
        </w:rPr>
        <w:fldChar w:fldCharType="separate"/>
      </w:r>
      <w:r w:rsidRPr="003C52A1">
        <w:rPr>
          <w:rFonts w:ascii="Times New Roman" w:hAnsi="Times New Roman" w:cs="Times New Roman"/>
          <w:sz w:val="24"/>
        </w:rPr>
        <w:t>(Demographic Frame Team 2025)</w:t>
      </w:r>
      <w:r w:rsidRPr="003C52A1">
        <w:rPr>
          <w:rFonts w:ascii="Times New Roman" w:hAnsi="Times New Roman" w:cs="Times New Roman"/>
          <w:sz w:val="24"/>
          <w:szCs w:val="24"/>
        </w:rPr>
        <w:fldChar w:fldCharType="end"/>
      </w:r>
      <w:r w:rsidRPr="003C52A1">
        <w:rPr>
          <w:rFonts w:ascii="Times New Roman" w:hAnsi="Times New Roman" w:cs="Times New Roman"/>
          <w:sz w:val="24"/>
          <w:szCs w:val="24"/>
        </w:rPr>
        <w:t xml:space="preserve">. They suggest using either the random forest or logistic models based on their internal analyses, and so because the projected probability for the PIK/MAFID pairs are </w:t>
      </w:r>
      <w:r>
        <w:rPr>
          <w:rFonts w:ascii="Times New Roman" w:hAnsi="Times New Roman" w:cs="Times New Roman"/>
          <w:sz w:val="24"/>
          <w:szCs w:val="24"/>
        </w:rPr>
        <w:t>unimportant for this project</w:t>
      </w:r>
      <w:r w:rsidRPr="003C52A1">
        <w:rPr>
          <w:rFonts w:ascii="Times New Roman" w:hAnsi="Times New Roman" w:cs="Times New Roman"/>
          <w:sz w:val="24"/>
          <w:szCs w:val="24"/>
        </w:rPr>
        <w:t xml:space="preserve">, I use the random forest model whenever the </w:t>
      </w:r>
      <w:proofErr w:type="spellStart"/>
      <w:r w:rsidRPr="003C52A1">
        <w:rPr>
          <w:rFonts w:ascii="Times New Roman" w:hAnsi="Times New Roman" w:cs="Times New Roman"/>
          <w:sz w:val="24"/>
          <w:szCs w:val="24"/>
        </w:rPr>
        <w:t>demoframe</w:t>
      </w:r>
      <w:proofErr w:type="spellEnd"/>
      <w:r w:rsidRPr="003C52A1">
        <w:rPr>
          <w:rFonts w:ascii="Times New Roman" w:hAnsi="Times New Roman" w:cs="Times New Roman"/>
          <w:sz w:val="24"/>
          <w:szCs w:val="24"/>
        </w:rPr>
        <w:t xml:space="preserve"> extracts are used.  </w:t>
      </w:r>
    </w:p>
    <w:p w14:paraId="2ADFD1EB" w14:textId="7CF6298C" w:rsidR="004F4567" w:rsidRPr="008B5152" w:rsidRDefault="0062773C" w:rsidP="004F4567">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w:t>
      </w:r>
      <w:r w:rsidR="003F19AA">
        <w:rPr>
          <w:rFonts w:ascii="Times New Roman" w:hAnsi="Times New Roman" w:cs="Times New Roman"/>
          <w:sz w:val="24"/>
          <w:szCs w:val="24"/>
        </w:rPr>
        <w:t xml:space="preserve"> administrative records,</w:t>
      </w:r>
      <w:r>
        <w:rPr>
          <w:rFonts w:ascii="Times New Roman" w:hAnsi="Times New Roman" w:cs="Times New Roman"/>
          <w:sz w:val="24"/>
          <w:szCs w:val="24"/>
        </w:rPr>
        <w:t xml:space="preserve"> PIKs and PIK variable </w:t>
      </w:r>
      <w:r w:rsidR="00D237CF">
        <w:rPr>
          <w:rFonts w:ascii="Times New Roman" w:hAnsi="Times New Roman" w:cs="Times New Roman"/>
          <w:sz w:val="24"/>
          <w:szCs w:val="24"/>
        </w:rPr>
        <w:t>assignments</w:t>
      </w:r>
      <w:r>
        <w:rPr>
          <w:rFonts w:ascii="Times New Roman" w:hAnsi="Times New Roman" w:cs="Times New Roman"/>
          <w:sz w:val="24"/>
          <w:szCs w:val="24"/>
        </w:rPr>
        <w: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 xml:space="preserve">person place </w:t>
      </w:r>
      <w:r w:rsidR="00B17CF7">
        <w:rPr>
          <w:rFonts w:ascii="Times New Roman" w:hAnsi="Times New Roman" w:cs="Times New Roman"/>
          <w:sz w:val="24"/>
          <w:szCs w:val="24"/>
        </w:rPr>
        <w:t>matching</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w:t>
      </w:r>
      <w:r w:rsidR="00B17CF7">
        <w:rPr>
          <w:rFonts w:ascii="Times New Roman" w:hAnsi="Times New Roman" w:cs="Times New Roman"/>
          <w:sz w:val="24"/>
          <w:szCs w:val="24"/>
        </w:rPr>
        <w:t>the assignment of MAFIDs to MAF units in administrative records</w:t>
      </w:r>
      <w:r w:rsidR="00D237CF">
        <w:rPr>
          <w:rFonts w:ascii="Times New Roman" w:hAnsi="Times New Roman" w:cs="Times New Roman"/>
          <w:sz w:val="24"/>
          <w:szCs w:val="24"/>
        </w:rPr>
        <w:t xml:space="preserve">. </w:t>
      </w:r>
      <w:r w:rsidR="009F1195" w:rsidRPr="008B5152">
        <w:rPr>
          <w:rFonts w:ascii="Times New Roman" w:hAnsi="Times New Roman" w:cs="Times New Roman"/>
          <w:sz w:val="24"/>
          <w:szCs w:val="24"/>
        </w:rPr>
        <w:t>Many administrative data sources, like the United States Postal Service, also have their own MAFID matching processes</w:t>
      </w:r>
      <w:r w:rsidR="00EF62F6">
        <w:rPr>
          <w:rFonts w:ascii="Times New Roman" w:hAnsi="Times New Roman" w:cs="Times New Roman"/>
          <w:sz w:val="24"/>
          <w:szCs w:val="24"/>
        </w:rPr>
        <w:t xml:space="preserve">, which can introduce error. When MAFID assignment on administrative records use different versions of the MAFX, errors can accumulate, especially when the MAFX version year and the administrative record vintage are </w:t>
      </w:r>
      <w:r w:rsidR="004F4567">
        <w:rPr>
          <w:rFonts w:ascii="Times New Roman" w:hAnsi="Times New Roman" w:cs="Times New Roman"/>
          <w:sz w:val="24"/>
          <w:szCs w:val="24"/>
        </w:rPr>
        <w:t>very different</w:t>
      </w:r>
      <w:r w:rsidR="003F19AA">
        <w:rPr>
          <w:rFonts w:ascii="Times New Roman" w:hAnsi="Times New Roman" w:cs="Times New Roman"/>
          <w:sz w:val="24"/>
          <w:szCs w:val="24"/>
        </w:rPr>
        <w:t>.</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54D6FE91"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xml:space="preserve">, The Demographic Frame extracts, and all other datasets included in the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07B328D7" w14:textId="77777777" w:rsidR="00E91A87"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w:t>
      </w:r>
    </w:p>
    <w:p w14:paraId="4F7A366D" w14:textId="3E1CA96A" w:rsidR="00E91A87" w:rsidRPr="00503287" w:rsidRDefault="00E91A87" w:rsidP="007A0444">
      <w:pPr>
        <w:spacing w:line="480" w:lineRule="auto"/>
        <w:ind w:firstLine="720"/>
        <w:rPr>
          <w:rFonts w:ascii="Times New Roman" w:hAnsi="Times New Roman" w:cs="Times New Roman"/>
          <w:color w:val="EE0000"/>
          <w:sz w:val="24"/>
          <w:szCs w:val="24"/>
        </w:rPr>
      </w:pPr>
      <w:r w:rsidRPr="00503287">
        <w:rPr>
          <w:rFonts w:ascii="Times New Roman" w:hAnsi="Times New Roman" w:cs="Times New Roman"/>
          <w:color w:val="EE0000"/>
          <w:sz w:val="24"/>
          <w:szCs w:val="24"/>
        </w:rPr>
        <w:t xml:space="preserve">To address the issue of administrative records using different </w:t>
      </w:r>
      <w:proofErr w:type="spellStart"/>
      <w:r w:rsidRPr="00503287">
        <w:rPr>
          <w:rFonts w:ascii="Times New Roman" w:hAnsi="Times New Roman" w:cs="Times New Roman"/>
          <w:color w:val="EE0000"/>
          <w:sz w:val="24"/>
          <w:szCs w:val="24"/>
        </w:rPr>
        <w:t>mafids</w:t>
      </w:r>
      <w:proofErr w:type="spellEnd"/>
      <w:r w:rsidRPr="00503287">
        <w:rPr>
          <w:rFonts w:ascii="Times New Roman" w:hAnsi="Times New Roman" w:cs="Times New Roman"/>
          <w:color w:val="EE0000"/>
          <w:sz w:val="24"/>
          <w:szCs w:val="24"/>
        </w:rPr>
        <w:t xml:space="preserve">, I create a table called the </w:t>
      </w:r>
      <w:proofErr w:type="spellStart"/>
      <w:r w:rsidRPr="00503287">
        <w:rPr>
          <w:rFonts w:ascii="Times New Roman" w:hAnsi="Times New Roman" w:cs="Times New Roman"/>
          <w:color w:val="EE0000"/>
          <w:sz w:val="24"/>
          <w:szCs w:val="24"/>
        </w:rPr>
        <w:t>MAF_Master</w:t>
      </w:r>
      <w:proofErr w:type="spellEnd"/>
      <w:r w:rsidRPr="00503287">
        <w:rPr>
          <w:rFonts w:ascii="Times New Roman" w:hAnsi="Times New Roman" w:cs="Times New Roman"/>
          <w:color w:val="EE0000"/>
          <w:sz w:val="24"/>
          <w:szCs w:val="24"/>
        </w:rPr>
        <w:t xml:space="preserve">. It combs through recent MAFXs to track MAFIDs, their characteristics, and their successors over time. This </w:t>
      </w:r>
    </w:p>
    <w:p w14:paraId="6C915A01" w14:textId="7F32808A" w:rsidR="007A0444" w:rsidRDefault="00F36C36"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Pr>
          <w:rFonts w:ascii="Times New Roman" w:hAnsi="Times New Roman" w:cs="Times New Roman"/>
          <w:sz w:val="24"/>
          <w:szCs w:val="24"/>
        </w:rPr>
        <w:t xml:space="preserve"> </w:t>
      </w:r>
      <w:r w:rsidR="004F3F4F">
        <w:rPr>
          <w:rFonts w:ascii="Times New Roman" w:hAnsi="Times New Roman" w:cs="Times New Roman"/>
          <w:sz w:val="24"/>
          <w:szCs w:val="24"/>
        </w:rPr>
        <w:t>predictions</w:t>
      </w:r>
      <w:r>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3D0DE843"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6D695D">
        <w:rPr>
          <w:rFonts w:ascii="Times New Roman" w:hAnsi="Times New Roman" w:cs="Times New Roman"/>
          <w:sz w:val="24"/>
          <w:szCs w:val="24"/>
        </w:rPr>
        <w:instrText xml:space="preserve"> ADDIN ZOTERO_ITEM CSL_CITATION {"citationID":"ag1xGXHH","properties":{"formattedCitation":"(Demographic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xml:space="preserve">. They suggest using either </w:t>
      </w:r>
      <w:r w:rsidR="001563D9" w:rsidRPr="003C52A1">
        <w:rPr>
          <w:rFonts w:ascii="Times New Roman" w:hAnsi="Times New Roman" w:cs="Times New Roman"/>
          <w:sz w:val="24"/>
          <w:szCs w:val="24"/>
        </w:rPr>
        <w:lastRenderedPageBreak/>
        <w:t>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w:t>
      </w:r>
      <w:r w:rsidR="00115629" w:rsidRPr="003D4D8E">
        <w:rPr>
          <w:rFonts w:ascii="Times New Roman" w:hAnsi="Times New Roman" w:cs="Times New Roman"/>
          <w:sz w:val="24"/>
          <w:szCs w:val="24"/>
        </w:rPr>
        <w:lastRenderedPageBreak/>
        <w:t xml:space="preserve">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is a whole-universe accounting like the Decennial Census, we can see if and where people are moving by comparing the three datasets used in the previous analyses (the 2020v3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proofErr w:type="spellStart"/>
      <w:r w:rsidR="00A47F1F">
        <w:rPr>
          <w:rFonts w:ascii="Times New Roman" w:hAnsi="Times New Roman" w:cs="Times New Roman"/>
          <w:sz w:val="24"/>
          <w:szCs w:val="24"/>
        </w:rPr>
        <w:t>spective</w:t>
      </w:r>
      <w:proofErr w:type="spellEnd"/>
      <w:r w:rsidR="00A47F1F">
        <w:rPr>
          <w:rFonts w:ascii="Times New Roman" w:hAnsi="Times New Roman" w:cs="Times New Roman"/>
          <w:sz w:val="24"/>
          <w:szCs w:val="24"/>
        </w:rPr>
        <w:t xml:space="preser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w:t>
      </w:r>
      <w:proofErr w:type="spellStart"/>
      <w:r w:rsidR="00894ADA">
        <w:rPr>
          <w:rFonts w:ascii="Times New Roman" w:hAnsi="Times New Roman" w:cs="Times New Roman"/>
          <w:sz w:val="24"/>
          <w:szCs w:val="24"/>
        </w:rPr>
        <w:t>demoframe</w:t>
      </w:r>
      <w:proofErr w:type="spellEnd"/>
      <w:r w:rsidR="00894ADA">
        <w:rPr>
          <w:rFonts w:ascii="Times New Roman" w:hAnsi="Times New Roman" w:cs="Times New Roman"/>
          <w:sz w:val="24"/>
          <w:szCs w:val="24"/>
        </w:rPr>
        <w:t xml:space="preserv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_two_source</w:t>
            </w:r>
            <w:proofErr w:type="spellEnd"/>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_four_source</w:t>
            </w:r>
            <w:proofErr w:type="spellEnd"/>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_only_sources</w:t>
            </w:r>
            <w:proofErr w:type="spellEnd"/>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_no_vsgi</w:t>
            </w:r>
            <w:proofErr w:type="spellEnd"/>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_unitstat_resstat</w:t>
            </w:r>
            <w:proofErr w:type="spellEnd"/>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5935B079" w14:textId="27692CAD" w:rsidR="00814D26" w:rsidRDefault="00535A6C" w:rsidP="00535A6C">
      <w:pPr>
        <w:spacing w:line="480" w:lineRule="auto"/>
      </w:pPr>
      <w:r>
        <w:tab/>
        <w:t>The purpose of this chapter is to connect the first and final chapters. We explore</w:t>
      </w:r>
      <w:r w:rsidR="00983301">
        <w:t>d</w:t>
      </w:r>
      <w:r>
        <w:t xml:space="preserve"> the accuracy of PIK and MAFID assignment in chapter I. In chapter III, I will apply these methods to a </w:t>
      </w:r>
      <w:r w:rsidR="00722271">
        <w:t>hurricane case study. How accurate are migration estimates derived from the business rules 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w:t>
      </w:r>
      <w:r>
        <w:rPr>
          <w:rFonts w:ascii="Times New Roman" w:hAnsi="Times New Roman" w:cs="Times New Roman"/>
          <w:sz w:val="24"/>
          <w:szCs w:val="24"/>
        </w:rPr>
        <w:lastRenderedPageBreak/>
        <w:t xml:space="preserve">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.It asserts that migration is an evolutionary process that changes the origin and destination. The people involved undergo a transformation from migration too, returning with more human and social capital (not to mention the other benefits like income). Migration </w:t>
      </w:r>
      <w:r w:rsidRPr="008B5152">
        <w:rPr>
          <w:rFonts w:ascii="Times New Roman" w:hAnsi="Times New Roman" w:cs="Times New Roman"/>
          <w:sz w:val="24"/>
          <w:szCs w:val="24"/>
        </w:rPr>
        <w:lastRenderedPageBreak/>
        <w:t>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Neoclassical economics does not describe return migration, nor the tendency of humans to organize their economic outputs in collective households (neoclassical economics assumes </w:t>
      </w:r>
      <w:r w:rsidRPr="008B5152">
        <w:rPr>
          <w:rFonts w:ascii="Times New Roman" w:hAnsi="Times New Roman" w:cs="Times New Roman"/>
          <w:sz w:val="24"/>
          <w:szCs w:val="24"/>
        </w:rPr>
        <w:lastRenderedPageBreak/>
        <w:t>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49C63447" w14:textId="77777777"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every migration is a zero-sum event, origins and destinations are frequently theorized and analyzed together. One way to consider the origins and destinations together and handle the aggregation required to respect federal data standards is to create matrixes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matrixes usually combine the immigrants and emigrants by column and row, with cell counts particular to a specific place, i.e. the net migrants from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column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1F2BB9" w:rsidP="00814D26">
      <w:pPr>
        <w:spacing w:line="480" w:lineRule="auto"/>
        <w:ind w:firstLine="720"/>
        <w:rPr>
          <w:rFonts w:ascii="Times New Roman" w:hAnsi="Times New Roman" w:cs="Times New Roman"/>
          <w:sz w:val="24"/>
          <w:szCs w:val="24"/>
        </w:rPr>
      </w:pPr>
    </w:p>
    <w:p w14:paraId="6C34AF9A" w14:textId="2999D71F" w:rsidR="00814D26" w:rsidRDefault="00814D26"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ADD THE AVAILABLE ESTIMATES FOR THE U.S HERE</w:t>
      </w:r>
    </w:p>
    <w:p w14:paraId="1AF060B4" w14:textId="3F9CAE55" w:rsidR="00B21FA1" w:rsidRDefault="00B21FA1"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ALSO ADD the WORK WITH ERGMs</w:t>
      </w:r>
    </w:p>
    <w:p w14:paraId="637E3699" w14:textId="77777777" w:rsidR="00754EA4" w:rsidRPr="001F2BB9" w:rsidRDefault="00754EA4" w:rsidP="00754EA4">
      <w:pPr>
        <w:spacing w:line="480" w:lineRule="auto"/>
        <w:rPr>
          <w:rFonts w:ascii="Times New Roman" w:hAnsi="Times New Roman" w:cs="Times New Roman"/>
          <w:sz w:val="24"/>
          <w:szCs w:val="24"/>
        </w:rPr>
      </w:pPr>
      <w:r>
        <w:rPr>
          <w:rFonts w:ascii="Times New Roman" w:hAnsi="Times New Roman" w:cs="Times New Roman"/>
          <w:i/>
          <w:iCs/>
          <w:sz w:val="24"/>
          <w:szCs w:val="24"/>
        </w:rPr>
        <w:t>Operationalization of Time</w:t>
      </w:r>
    </w:p>
    <w:p w14:paraId="7C01894F"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lastRenderedPageBreak/>
        <w:tab/>
        <w:t>Researchers studying migration related to disasters have utilized a couple of different approaches to identify time periods for migration.</w:t>
      </w:r>
    </w:p>
    <w:p w14:paraId="61FD93F5" w14:textId="77777777" w:rsidR="00754EA4" w:rsidRPr="005C40A6" w:rsidRDefault="00754EA4" w:rsidP="00754EA4">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p>
    <w:p w14:paraId="6268A491" w14:textId="77777777" w:rsidR="00754EA4" w:rsidRDefault="00754EA4" w:rsidP="00814D26">
      <w:pPr>
        <w:spacing w:line="480" w:lineRule="auto"/>
        <w:ind w:firstLine="720"/>
        <w:jc w:val="center"/>
        <w:rPr>
          <w:rFonts w:ascii="Times New Roman" w:hAnsi="Times New Roman" w:cs="Times New Roman"/>
          <w:sz w:val="24"/>
          <w:szCs w:val="24"/>
        </w:rPr>
      </w:pP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163FA1B5"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create net migration matrixes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y, 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from the PPM logistic regression model for 2019. This matrix </w:t>
      </w:r>
      <w:r w:rsidR="00C73ECF">
        <w:rPr>
          <w:rFonts w:ascii="Times New Roman" w:hAnsi="Times New Roman" w:cs="Times New Roman"/>
          <w:sz w:val="24"/>
          <w:szCs w:val="24"/>
        </w:rPr>
        <w:t xml:space="preserve">operation is similar to algebra, because each data product is subtracted from the same data PPM from 2019. This subtracted result analyzes each difference </w:t>
      </w:r>
    </w:p>
    <w:p w14:paraId="242F686F" w14:textId="77777777" w:rsidR="00814D26" w:rsidRPr="008B5152" w:rsidRDefault="00814D26" w:rsidP="004A6218">
      <w:pPr>
        <w:spacing w:line="480" w:lineRule="auto"/>
        <w:ind w:firstLine="720"/>
        <w:rPr>
          <w:rFonts w:ascii="Times New Roman" w:hAnsi="Times New Roman" w:cs="Times New Roman"/>
          <w:sz w:val="24"/>
          <w:szCs w:val="24"/>
        </w:rPr>
      </w:pPr>
    </w:p>
    <w:p w14:paraId="7F7684AC" w14:textId="302A5B5F" w:rsidR="002E56E2" w:rsidRDefault="002E56E2" w:rsidP="00990251">
      <w:pPr>
        <w:jc w:val="center"/>
      </w:pPr>
      <w:r>
        <w:t xml:space="preserve">Chapter III: </w:t>
      </w:r>
      <w:r w:rsidR="004A6218">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1EC49159"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w:t>
      </w:r>
      <w:r>
        <w:rPr>
          <w:rFonts w:ascii="Times New Roman" w:hAnsi="Times New Roman" w:cs="Times New Roman"/>
          <w:sz w:val="24"/>
          <w:szCs w:val="24"/>
        </w:rPr>
        <w:lastRenderedPageBreak/>
        <w:t xml:space="preserve">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147F8A37" w14:textId="77777777" w:rsidR="00754EA4" w:rsidRPr="00754EA4" w:rsidRDefault="00754EA4" w:rsidP="00754EA4">
      <w:pPr>
        <w:spacing w:line="480" w:lineRule="auto"/>
        <w:rPr>
          <w:rFonts w:ascii="Times New Roman" w:hAnsi="Times New Roman" w:cs="Times New Roman"/>
          <w:i/>
          <w:iCs/>
          <w:sz w:val="24"/>
          <w:szCs w:val="24"/>
        </w:rPr>
      </w:pP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3FD676EA" w14:textId="77777777" w:rsidR="006D695D" w:rsidRDefault="00A50E41" w:rsidP="006D695D">
      <w:pPr>
        <w:pStyle w:val="Bibliography"/>
      </w:pPr>
      <w:r>
        <w:fldChar w:fldCharType="begin"/>
      </w:r>
      <w:r w:rsidR="00541732">
        <w:instrText xml:space="preserve"> ADDIN ZOTERO_BIBL {"uncited":[],"omitted":[],"custom":[]} CSL_BIBLIOGRAPHY </w:instrText>
      </w:r>
      <w:r>
        <w:fldChar w:fldCharType="separate"/>
      </w:r>
      <w:r w:rsidR="006D695D">
        <w:t xml:space="preserve">Ambel, Alemayehu, Kevin McGee, and Asmelash Tsegay. 2021. </w:t>
      </w:r>
      <w:r w:rsidR="006D695D">
        <w:rPr>
          <w:i/>
          <w:iCs/>
        </w:rPr>
        <w:t>Reducing Bias in Phone Survey Samples: Effectiveness of Reweighting Techniques Using Face-to-Face Surveys as Frames in Four African Countries</w:t>
      </w:r>
      <w:r w:rsidR="006D695D">
        <w:t>. Policy Research Working Papers. The World Bank.</w:t>
      </w:r>
    </w:p>
    <w:p w14:paraId="219CD643" w14:textId="77777777" w:rsidR="006D695D" w:rsidRDefault="006D695D" w:rsidP="006D695D">
      <w:pPr>
        <w:pStyle w:val="Bibliography"/>
      </w:pPr>
      <w:r>
        <w:t>Anthony Wray, University of Southern Denmark, United States Federal Security Agency Social Security Board, and United States Social Security Administration. 2024. “Numerical Identification Files (NUMIDENT), 1936–2007.” Inter-university Consortium for Political and Social Research (ICPSR). doi:10.3886/E207202V1.</w:t>
      </w:r>
    </w:p>
    <w:p w14:paraId="18D4875B" w14:textId="77777777" w:rsidR="006D695D" w:rsidRDefault="006D695D" w:rsidP="006D695D">
      <w:pPr>
        <w:pStyle w:val="Bibliography"/>
      </w:pPr>
      <w:r>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Pr>
          <w:i/>
          <w:iCs/>
        </w:rPr>
        <w:t>Journal of Medical Internet Research</w:t>
      </w:r>
      <w:r>
        <w:t xml:space="preserve"> 26(1):e50421. doi:10.2196/50421.</w:t>
      </w:r>
    </w:p>
    <w:p w14:paraId="2C597EAF" w14:textId="77777777" w:rsidR="006D695D" w:rsidRDefault="006D695D" w:rsidP="006D695D">
      <w:pPr>
        <w:pStyle w:val="Bibliography"/>
      </w:pPr>
      <w:r>
        <w:t xml:space="preserve">Berlemann, Michael, and Max Friedrich Steinhardt. 2017. “Climate Change, Natural Disasters, and Migration—a Survey of the Empirical Evidence.” </w:t>
      </w:r>
      <w:r>
        <w:rPr>
          <w:i/>
          <w:iCs/>
        </w:rPr>
        <w:t>CESifo Economic Studies</w:t>
      </w:r>
      <w:r>
        <w:t xml:space="preserve"> 63(4):353–85. doi:10.1093/cesifo/ifx019.</w:t>
      </w:r>
    </w:p>
    <w:p w14:paraId="005DC423" w14:textId="77777777" w:rsidR="006D695D" w:rsidRDefault="006D695D" w:rsidP="006D695D">
      <w:pPr>
        <w:pStyle w:val="Bibliography"/>
      </w:pPr>
      <w:r>
        <w:t>Bijak, Jakub. 2006. “Forecasting International Migration: Selected Theories, Models, and Methods.” http://www.cefmr.pan.pl/docs/cefmr_wp_2006-04.pdf.</w:t>
      </w:r>
    </w:p>
    <w:p w14:paraId="283A2DE9" w14:textId="77777777" w:rsidR="006D695D" w:rsidRDefault="006D695D" w:rsidP="006D695D">
      <w:pPr>
        <w:pStyle w:val="Bibliography"/>
      </w:pPr>
      <w:r>
        <w:t xml:space="preserve">Bilecen, Başak, Markus Gamper, and Miranda J. Lubbers. 2018. “The Missing Link: Social Network Analysis in Migration and Transnationalism.” </w:t>
      </w:r>
      <w:r>
        <w:rPr>
          <w:i/>
          <w:iCs/>
        </w:rPr>
        <w:t>Social Networks</w:t>
      </w:r>
      <w:r>
        <w:t xml:space="preserve"> 53:1–3. doi:10.1016/j.socnet.2017.07.001.</w:t>
      </w:r>
    </w:p>
    <w:p w14:paraId="5B000A27" w14:textId="77777777" w:rsidR="006D695D" w:rsidRDefault="006D695D" w:rsidP="006D695D">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doi:10.1016/j.jdeveco.2019.04.002.</w:t>
      </w:r>
    </w:p>
    <w:p w14:paraId="2B925F79" w14:textId="77777777" w:rsidR="006D695D" w:rsidRDefault="006D695D" w:rsidP="006D695D">
      <w:pPr>
        <w:pStyle w:val="Bibliography"/>
      </w:pPr>
      <w:r>
        <w:t xml:space="preserve">Bronson, Nathan, Thomas Lento, and Janet L. Wiener. 2015. “Open Data Challenges at Facebook.” Pp. 1516–19 in </w:t>
      </w:r>
      <w:r>
        <w:rPr>
          <w:i/>
          <w:iCs/>
        </w:rPr>
        <w:t>2015 IEEE 31st International Conference on Data Engineering</w:t>
      </w:r>
      <w:r>
        <w:t>.</w:t>
      </w:r>
    </w:p>
    <w:p w14:paraId="29656E9D" w14:textId="77777777" w:rsidR="006D695D" w:rsidRDefault="006D695D" w:rsidP="006D695D">
      <w:pPr>
        <w:pStyle w:val="Bibliography"/>
      </w:pPr>
      <w:r>
        <w:t xml:space="preserve">Buzzelli, Michael. 2020. “Modifiable Areal Unit Problem.” </w:t>
      </w:r>
      <w:r>
        <w:rPr>
          <w:i/>
          <w:iCs/>
        </w:rPr>
        <w:t>International Encyclopedia of Human Geography</w:t>
      </w:r>
      <w:r>
        <w:t xml:space="preserve"> 169–73. doi:10.1016/B978-0-08-102295-5.10406-8.</w:t>
      </w:r>
    </w:p>
    <w:p w14:paraId="335145B7" w14:textId="77777777" w:rsidR="006D695D" w:rsidRDefault="006D695D" w:rsidP="006D695D">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doi:10.1097/MLR.0b013e3182028ac7.</w:t>
      </w:r>
    </w:p>
    <w:p w14:paraId="4FEC5EA9" w14:textId="77777777" w:rsidR="006D695D" w:rsidRDefault="006D695D" w:rsidP="006D695D">
      <w:pPr>
        <w:pStyle w:val="Bibliography"/>
      </w:pPr>
      <w:r>
        <w:t>Card, David, Raj Chetty, Martin S. Feldstein, and Emmanuel Saez. 2010. “Expanding Access to Administrative Data for Research in the United States.”</w:t>
      </w:r>
    </w:p>
    <w:p w14:paraId="39F869CA" w14:textId="77777777" w:rsidR="006D695D" w:rsidRDefault="006D695D" w:rsidP="006D695D">
      <w:pPr>
        <w:pStyle w:val="Bibliography"/>
      </w:pPr>
      <w:r>
        <w:lastRenderedPageBreak/>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09FF2F8C" w14:textId="77777777" w:rsidR="006D695D" w:rsidRDefault="006D695D" w:rsidP="006D695D">
      <w:pPr>
        <w:pStyle w:val="Bibliography"/>
      </w:pPr>
      <w:r>
        <w:t xml:space="preserve">Craig, Jean B., Joan M. Culley, Abbas Tavakoli, and Erik R. Svendsen. 2013. “Gleaning Data From Disaster: A Hospital-Based Data Mining Method To Studying All-Hazard Triage After A Chemical Disaster.” </w:t>
      </w:r>
      <w:r>
        <w:rPr>
          <w:i/>
          <w:iCs/>
        </w:rPr>
        <w:t>American Journal of Disaster Medicine</w:t>
      </w:r>
      <w:r>
        <w:t xml:space="preserve"> 8(2):97–111. doi:10.5055/ajdm.2013.0116.</w:t>
      </w:r>
    </w:p>
    <w:p w14:paraId="1DCFB413" w14:textId="77777777" w:rsidR="006D695D" w:rsidRDefault="006D695D" w:rsidP="006D695D">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443C08CE" w14:textId="77777777" w:rsidR="006D695D" w:rsidRDefault="006D695D" w:rsidP="006D695D">
      <w:pPr>
        <w:pStyle w:val="Bibliography"/>
      </w:pPr>
      <w:r>
        <w:t>Demographic Frame Team. 2025. “Demographic Frame Extract Notes- 2023v1.”</w:t>
      </w:r>
    </w:p>
    <w:p w14:paraId="4E2AA0C0" w14:textId="77777777" w:rsidR="006D695D" w:rsidRDefault="006D695D" w:rsidP="006D695D">
      <w:pPr>
        <w:pStyle w:val="Bibliography"/>
      </w:pPr>
      <w:r>
        <w:t>Devine, Jason, Spader Jonathan, and King Ryan. 2021. “2020 Census Data Review.” https://www.census.gov/newsroom/blogs/random-samplings/2021/04/2020-census-data-review.html.</w:t>
      </w:r>
    </w:p>
    <w:p w14:paraId="5465BE64" w14:textId="77777777" w:rsidR="006D695D" w:rsidRDefault="006D695D" w:rsidP="006D695D">
      <w:pPr>
        <w:pStyle w:val="Bibliography"/>
      </w:pPr>
      <w:r>
        <w:t xml:space="preserve">Faist, Thomas. 2015. “Transnational Social Spaces.” </w:t>
      </w:r>
      <w:r>
        <w:rPr>
          <w:i/>
          <w:iCs/>
        </w:rPr>
        <w:t>Ethnic and Racial Studies</w:t>
      </w:r>
      <w:r>
        <w:t xml:space="preserve"> 38(13):2271–74. doi:10.1080/01419870.2015.1058502.</w:t>
      </w:r>
    </w:p>
    <w:p w14:paraId="5E45D798" w14:textId="77777777" w:rsidR="006D695D" w:rsidRDefault="006D695D" w:rsidP="006D695D">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386CD72F" w14:textId="77777777" w:rsidR="006D695D" w:rsidRDefault="006D695D" w:rsidP="006D695D">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4287EE4E" w14:textId="77777777" w:rsidR="006D695D" w:rsidRDefault="006D695D" w:rsidP="006D695D">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73CE0412" w14:textId="77777777" w:rsidR="006D695D" w:rsidRDefault="006D695D" w:rsidP="006D695D">
      <w:pPr>
        <w:pStyle w:val="Bibliography"/>
      </w:pPr>
      <w:r>
        <w:t xml:space="preserve">Gourlay, Sydney, Talip Kilic, Antonio Martuscelli, Philip Wollburg, and Alberto Zezza. 2021. “Viewpoint: High-Frequency Phone Surveys on COVID-19: Good Practices, Open Questions.” </w:t>
      </w:r>
      <w:r>
        <w:rPr>
          <w:i/>
          <w:iCs/>
        </w:rPr>
        <w:t>Food Policy</w:t>
      </w:r>
      <w:r>
        <w:t xml:space="preserve"> 105:102153. doi:10.1016/j.foodpol.2021.102153.</w:t>
      </w:r>
    </w:p>
    <w:p w14:paraId="417F094B" w14:textId="77777777" w:rsidR="006D695D" w:rsidRDefault="006D695D" w:rsidP="006D695D">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41946BAC" w14:textId="77777777" w:rsidR="006D695D" w:rsidRDefault="006D695D" w:rsidP="006D695D">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75F36EC3" w14:textId="77777777" w:rsidR="006D695D" w:rsidRDefault="006D695D" w:rsidP="006D695D">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16ED2168" w14:textId="77777777" w:rsidR="006D695D" w:rsidRDefault="006D695D" w:rsidP="006D695D">
      <w:pPr>
        <w:pStyle w:val="Bibliography"/>
      </w:pPr>
      <w:r>
        <w:lastRenderedPageBreak/>
        <w:t>Johnson, Roger, Justin Bland, and Charles Coleman. 2008. “Impacts of the 2005 Gulf Coast Hurricanes on Domestic Migration The U.S. Census Bureau’s Response.”</w:t>
      </w:r>
    </w:p>
    <w:p w14:paraId="22276248" w14:textId="77777777" w:rsidR="006D695D" w:rsidRDefault="006D695D" w:rsidP="006D695D">
      <w:pPr>
        <w:pStyle w:val="Bibliography"/>
      </w:pPr>
      <w:r>
        <w:t xml:space="preserve">Khaw, Khai Wah, Ramayah Thurasamy, Hadi Al-Abrrow, Alhamzah Alnoor, Victor Tiberius, Hasan Oudah Abdullah, and Sammar Abbas. 2021. “Influence of Generational Status on Immigrants’ Entrepreneurial Intentions to Start New Ventures: A Framework Based on Structural Equation Modeling and Multicriteria Decision-Making.” </w:t>
      </w:r>
      <w:r>
        <w:rPr>
          <w:i/>
          <w:iCs/>
        </w:rPr>
        <w:t>Journal of Entrepreneurship in Emerging Economies</w:t>
      </w:r>
      <w:r>
        <w:t xml:space="preserve"> 15(3):589–634. doi:10.1108/JEEE-04-2021-0141.</w:t>
      </w:r>
    </w:p>
    <w:p w14:paraId="5BF23347" w14:textId="77777777" w:rsidR="006D695D" w:rsidRDefault="006D695D" w:rsidP="006D695D">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doi:10.1016/j.socscimed.2023.115807.</w:t>
      </w:r>
    </w:p>
    <w:p w14:paraId="75A623CD" w14:textId="77777777" w:rsidR="006D695D" w:rsidRDefault="006D695D" w:rsidP="006D695D">
      <w:pPr>
        <w:pStyle w:val="Bibliography"/>
      </w:pPr>
      <w:r>
        <w:t>Layne, Mary, Deborah Wagner, and Cynthia Rothhaas. 2014. “Estimating Record Linkage False Match Rate for the Person Identification Validation System.”</w:t>
      </w:r>
    </w:p>
    <w:p w14:paraId="01B856BA" w14:textId="77777777" w:rsidR="006D695D" w:rsidRDefault="006D695D" w:rsidP="006D695D">
      <w:pPr>
        <w:pStyle w:val="Bibliography"/>
      </w:pPr>
      <w:r>
        <w:t xml:space="preserve">Lee, Everett S. 1966. “A Theory of Migration.” </w:t>
      </w:r>
      <w:r>
        <w:rPr>
          <w:i/>
          <w:iCs/>
        </w:rPr>
        <w:t>Demography</w:t>
      </w:r>
      <w:r>
        <w:t xml:space="preserve"> 3(1):47–57. doi:10.2307/2060063.</w:t>
      </w:r>
    </w:p>
    <w:p w14:paraId="17E3DCBD" w14:textId="77777777" w:rsidR="006D695D" w:rsidRDefault="006D695D" w:rsidP="006D695D">
      <w:pPr>
        <w:pStyle w:val="Bibliography"/>
      </w:pPr>
      <w:r>
        <w:t>Linden, Thomas, Rishabh Khandelwal, Hamza Harkous, and Kassem Fawaz. 2019. “The Privacy Policy Landscape After the GDPR.”</w:t>
      </w:r>
    </w:p>
    <w:p w14:paraId="1B97F6DC" w14:textId="77777777" w:rsidR="006D695D" w:rsidRDefault="006D695D" w:rsidP="006D695D">
      <w:pPr>
        <w:pStyle w:val="Bibliography"/>
      </w:pPr>
      <w:r>
        <w:t xml:space="preserve">Markovikj, Dejan, Sonja Gievska, Michal Kosinski, and David Stillwell. 2013. “Mining Facebook Data for Predictive Personality Modeling.” </w:t>
      </w:r>
      <w:r>
        <w:rPr>
          <w:i/>
          <w:iCs/>
        </w:rPr>
        <w:t>Proceedings of the International AAAI Conference on Web and Social Media</w:t>
      </w:r>
      <w:r>
        <w:t xml:space="preserve"> 7(2):23–26. doi:10.1609/icwsm.v7i2.14466.</w:t>
      </w:r>
    </w:p>
    <w:p w14:paraId="2FE6293E" w14:textId="77777777" w:rsidR="006D695D" w:rsidRDefault="006D695D" w:rsidP="006D695D">
      <w:pPr>
        <w:pStyle w:val="Bibliography"/>
      </w:pPr>
      <w:r>
        <w:t xml:space="preserve">Massey, Douglas S. 1990. “Social Structure, Household Strategies, and the Cumulative Causation of Migration.” </w:t>
      </w:r>
      <w:r>
        <w:rPr>
          <w:i/>
          <w:iCs/>
        </w:rPr>
        <w:t>Population Index</w:t>
      </w:r>
      <w:r>
        <w:t xml:space="preserve"> 56(1):3–26. doi:10.2307/3644186.</w:t>
      </w:r>
    </w:p>
    <w:p w14:paraId="2BC908C4" w14:textId="77777777" w:rsidR="006D695D" w:rsidRDefault="006D695D" w:rsidP="006D695D">
      <w:pPr>
        <w:pStyle w:val="Bibliography"/>
      </w:pPr>
      <w:r>
        <w:t xml:space="preserve">Massey, Douglas S. 2015. “A Missing Element in Migration Theories.” </w:t>
      </w:r>
      <w:r>
        <w:rPr>
          <w:i/>
          <w:iCs/>
        </w:rPr>
        <w:t>Migration Letters</w:t>
      </w:r>
      <w:r>
        <w:t xml:space="preserve"> 12(3):279–99. doi:10.59670/ml.v12i3.280.</w:t>
      </w:r>
    </w:p>
    <w:p w14:paraId="5A62077E" w14:textId="77777777" w:rsidR="006D695D" w:rsidRDefault="006D695D" w:rsidP="006D695D">
      <w:pPr>
        <w:pStyle w:val="Bibliography"/>
      </w:pPr>
      <w:r>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7DC640C4" w14:textId="77777777" w:rsidR="006D695D" w:rsidRDefault="006D695D" w:rsidP="006D695D">
      <w:pPr>
        <w:pStyle w:val="Bibliography"/>
      </w:pPr>
      <w:r>
        <w:t xml:space="preserve">Mayer, Jonathan R., and John C. Mitchell. 2012. “Third-Party Web Tracking: Policy and Technology.” Pp. 413–27 in </w:t>
      </w:r>
      <w:r>
        <w:rPr>
          <w:i/>
          <w:iCs/>
        </w:rPr>
        <w:t>2012 IEEE Symposium on Security and Privacy</w:t>
      </w:r>
      <w:r>
        <w:t>.</w:t>
      </w:r>
    </w:p>
    <w:p w14:paraId="39AF90CC" w14:textId="77777777" w:rsidR="006D695D" w:rsidRDefault="006D695D" w:rsidP="006D695D">
      <w:pPr>
        <w:pStyle w:val="Bibliography"/>
      </w:pPr>
      <w:r>
        <w:t xml:space="preserve">Mitchell, Travis. 2018. </w:t>
      </w:r>
      <w:r>
        <w:rPr>
          <w:i/>
          <w:iCs/>
        </w:rPr>
        <w:t>Commercial Voter Files and the Study of U.S. Politics</w:t>
      </w:r>
      <w:r>
        <w:t>. Pew Research Center. https://www.pewresearch.org/methods/2018/02/15/demographic-data/.</w:t>
      </w:r>
    </w:p>
    <w:p w14:paraId="1F52A3AD" w14:textId="77777777" w:rsidR="006D695D" w:rsidRDefault="006D695D" w:rsidP="006D695D">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405DD4DA" w14:textId="77777777" w:rsidR="006D695D" w:rsidRDefault="006D695D" w:rsidP="006D695D">
      <w:pPr>
        <w:pStyle w:val="Bibliography"/>
      </w:pPr>
      <w:r>
        <w:t>Mulry, Mary H., and Cristina J. Tello-Trillo. 2023. “Full Report of the Comparisons of Administrative Record Rosters to Census Self-Responses and NRFU Household Member Responses.”</w:t>
      </w:r>
    </w:p>
    <w:p w14:paraId="6ABB8117" w14:textId="77777777" w:rsidR="006D695D" w:rsidRDefault="006D695D" w:rsidP="006D695D">
      <w:pPr>
        <w:pStyle w:val="Bibliography"/>
      </w:pPr>
      <w:r>
        <w:lastRenderedPageBreak/>
        <w:t>Narayanan, Arvind, and Vitaly Shmatikov. 2007. “How To Break Anonymity of the Netflix Prize Dataset.”</w:t>
      </w:r>
    </w:p>
    <w:p w14:paraId="36543DA7" w14:textId="77777777" w:rsidR="006D695D" w:rsidRDefault="006D695D" w:rsidP="006D695D">
      <w:pPr>
        <w:pStyle w:val="Bibliography"/>
      </w:pPr>
      <w:r>
        <w:t>Ortman, Jennifer, and Anthony Knapp. 2023. “Demographic Frame: Leveraging Person-Level Data to Enhance Census and Survey Taking.” Presented at the 2023 Southern Demographic Association Annual Meeting, San Antonio, Texas.</w:t>
      </w:r>
    </w:p>
    <w:p w14:paraId="58CDF187" w14:textId="77777777" w:rsidR="006D695D" w:rsidRDefault="006D695D" w:rsidP="006D695D">
      <w:pPr>
        <w:pStyle w:val="Bibliography"/>
      </w:pPr>
      <w:r>
        <w:t xml:space="preserve">Piguet, Etienne, Pécoud Antoine, and Paul de Guchteneire. 2011. “Migration and Climate Change: An Overview.” </w:t>
      </w:r>
      <w:r>
        <w:rPr>
          <w:i/>
          <w:iCs/>
        </w:rPr>
        <w:t>Refugee Survey Quarterly</w:t>
      </w:r>
      <w:r>
        <w:t xml:space="preserve"> 30(3):1–23. doi:10.1093/rsq/hdr006.</w:t>
      </w:r>
    </w:p>
    <w:p w14:paraId="6FB7BB48" w14:textId="77777777" w:rsidR="006D695D" w:rsidRDefault="006D695D" w:rsidP="006D695D">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7698A0EE" w14:textId="77777777" w:rsidR="006D695D" w:rsidRDefault="006D695D" w:rsidP="006D695D">
      <w:pPr>
        <w:pStyle w:val="Bibliography"/>
      </w:pPr>
      <w:r>
        <w:t xml:space="preserve">Stark, Oded, and J. Edward Taylor. 1991. “Migration Incentives, Migration Types: The Role of Relative Deprivation.” </w:t>
      </w:r>
      <w:r>
        <w:rPr>
          <w:i/>
          <w:iCs/>
        </w:rPr>
        <w:t>The Economic Journal</w:t>
      </w:r>
      <w:r>
        <w:t xml:space="preserve"> 101(408):1163–78. doi:10.2307/2234433.</w:t>
      </w:r>
    </w:p>
    <w:p w14:paraId="5862BA54" w14:textId="77777777" w:rsidR="006D695D" w:rsidRDefault="006D695D" w:rsidP="006D695D">
      <w:pPr>
        <w:pStyle w:val="Bibliography"/>
      </w:pPr>
      <w:r>
        <w:t xml:space="preserve">Stouffer, Samuel A. 1940. “Intervening Opportunities: A Theory Relating Mobility and Distance.” </w:t>
      </w:r>
      <w:r>
        <w:rPr>
          <w:i/>
          <w:iCs/>
        </w:rPr>
        <w:t>American Sociological Review</w:t>
      </w:r>
      <w:r>
        <w:t xml:space="preserve"> 5(6):845–67. doi:10.2307/2084520.</w:t>
      </w:r>
    </w:p>
    <w:p w14:paraId="5E9309B2" w14:textId="77777777" w:rsidR="006D695D" w:rsidRDefault="006D695D" w:rsidP="006D695D">
      <w:pPr>
        <w:pStyle w:val="Bibliography"/>
      </w:pPr>
      <w:r>
        <w:t xml:space="preserve">Streiner, David L., Geoffrey R. Norman, and John Cairney. 2015. </w:t>
      </w:r>
      <w:r>
        <w:rPr>
          <w:i/>
          <w:iCs/>
        </w:rPr>
        <w:t>Health Measurement Scales</w:t>
      </w:r>
      <w:r>
        <w:t>. Oxford: Oxford University Press.</w:t>
      </w:r>
    </w:p>
    <w:p w14:paraId="49E7E20E" w14:textId="77777777" w:rsidR="006D695D" w:rsidRDefault="006D695D" w:rsidP="006D695D">
      <w:pPr>
        <w:pStyle w:val="Bibliography"/>
      </w:pPr>
      <w:r>
        <w:t xml:space="preserve">Taylor, J. Edward. 1984. </w:t>
      </w:r>
      <w:r>
        <w:rPr>
          <w:i/>
          <w:iCs/>
        </w:rPr>
        <w:t>Differential Migration, Networks, Information and Risk</w:t>
      </w:r>
      <w:r>
        <w:t>. Migration and Development Program, Harvard University.</w:t>
      </w:r>
    </w:p>
    <w:p w14:paraId="5FD81E9B" w14:textId="77777777" w:rsidR="006D695D" w:rsidRDefault="006D695D" w:rsidP="006D695D">
      <w:pPr>
        <w:pStyle w:val="Bibliography"/>
      </w:pPr>
      <w:r>
        <w:t>United States Census Bureau. 2019. “Design and Methodology: Current Population Survey-- America’s Source for Labor Force Data Technical Paper 77.”</w:t>
      </w:r>
    </w:p>
    <w:p w14:paraId="011B1341" w14:textId="77777777" w:rsidR="006D695D" w:rsidRDefault="006D695D" w:rsidP="006D695D">
      <w:pPr>
        <w:pStyle w:val="Bibliography"/>
      </w:pPr>
      <w:r>
        <w:t>United States Census Bureau. 2021. “Group Quarters and Housing Unit Estimates Terms and Definitions.” https://www.census.gov/programs-surveys/popest/about/glossary/housing.html.</w:t>
      </w:r>
    </w:p>
    <w:p w14:paraId="06BE4A28" w14:textId="77777777" w:rsidR="006D695D" w:rsidRDefault="006D695D" w:rsidP="006D695D">
      <w:pPr>
        <w:pStyle w:val="Bibliography"/>
      </w:pPr>
      <w:r>
        <w:t>United States Census Bureau. 2025a. “2024 Survey of Income and Program Participation Users’ Guide.”</w:t>
      </w:r>
    </w:p>
    <w:p w14:paraId="4D2F9415" w14:textId="77777777" w:rsidR="006D695D" w:rsidRDefault="006D695D" w:rsidP="006D695D">
      <w:pPr>
        <w:pStyle w:val="Bibliography"/>
      </w:pPr>
      <w:r>
        <w:t>United States Census Bureau. 2025b. “About Metropolitan and Micropolitan Statistical Areas.” https://www.census.gov/programs-surveys/metro-micro/about.html.</w:t>
      </w:r>
    </w:p>
    <w:p w14:paraId="3550CDC6" w14:textId="77777777" w:rsidR="006D695D" w:rsidRDefault="006D695D" w:rsidP="006D695D">
      <w:pPr>
        <w:pStyle w:val="Bibliography"/>
      </w:pPr>
      <w:r>
        <w:t>United States Census Bureau. 2025c. “Decennial Census of Population and Housing Questionnaires &amp; Instructions.” https://www.census.gov/programs-surveys/decennial-census/technical-documentation/questionnaires.html.</w:t>
      </w:r>
    </w:p>
    <w:p w14:paraId="77F2E285" w14:textId="77777777" w:rsidR="006D695D" w:rsidRDefault="006D695D" w:rsidP="006D695D">
      <w:pPr>
        <w:pStyle w:val="Bibliography"/>
      </w:pPr>
      <w:r>
        <w:t>United States Census Bureau. 2025d. “Design and Methodology Report.” https://www.census.gov/programs-surveys/acs/methodology/design-and-methodology.html.</w:t>
      </w:r>
    </w:p>
    <w:p w14:paraId="3BE8EDFF" w14:textId="77777777" w:rsidR="006D695D" w:rsidRDefault="006D695D" w:rsidP="006D695D">
      <w:pPr>
        <w:pStyle w:val="Bibliography"/>
      </w:pPr>
      <w:r>
        <w:t>Xin, Rui, Niloofar Mireshghallah, Shuyue Stella Li, Michael Duan, Hyunwoo Kim, Yejin Choi, Yulia Tsvetkov, Sewoong Oh, and Pang Wei Koh. 2025. “A False Sense of Privacy: Evaluating Textual Data Sanitization Beyond Surface-Level Privacy Leakage.”</w:t>
      </w:r>
    </w:p>
    <w:p w14:paraId="71FF15D8" w14:textId="77777777" w:rsidR="006D695D" w:rsidRDefault="006D695D" w:rsidP="006D695D">
      <w:pPr>
        <w:pStyle w:val="Bibliography"/>
      </w:pPr>
      <w:r>
        <w:lastRenderedPageBreak/>
        <w:t xml:space="preserve">Zhou, Bing, Lei Zou, Ali Mostafavi, Binbin Lin, Mingzheng Yang, Nasir Gharaibeh, Heng Cai, Joynal Abedin, and Debayan Mandal. 2022. “VictimFinder: Harvesting Rescue Requests in Disaster Response from Social Media with BERT.” </w:t>
      </w:r>
      <w:r>
        <w:rPr>
          <w:i/>
          <w:iCs/>
        </w:rPr>
        <w:t>Computers, Environment and Urban Systems</w:t>
      </w:r>
      <w:r>
        <w:t xml:space="preserve"> 95:101824. doi:10.1016/j.compenvurbsys.2022.101824.</w:t>
      </w:r>
    </w:p>
    <w:p w14:paraId="61F5E0E0" w14:textId="77777777" w:rsidR="006D695D" w:rsidRDefault="006D695D" w:rsidP="006D695D">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30C0D04F" w14:textId="77777777" w:rsidR="006D695D" w:rsidRDefault="006D695D" w:rsidP="006D695D">
      <w:pPr>
        <w:pStyle w:val="Bibliography"/>
      </w:pPr>
      <w:r>
        <w:t xml:space="preserve">Zou, Lei, Nina S. N. Lam, Shayan Shams, Heng Cai, Michelle A. Meyer, Seungwon Yang, Kisung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5B4E7989"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F5419" w14:textId="77777777" w:rsidR="005101EC" w:rsidRDefault="005101EC" w:rsidP="002F1A57">
      <w:pPr>
        <w:spacing w:after="0" w:line="240" w:lineRule="auto"/>
      </w:pPr>
      <w:r>
        <w:separator/>
      </w:r>
    </w:p>
  </w:endnote>
  <w:endnote w:type="continuationSeparator" w:id="0">
    <w:p w14:paraId="66F1E31B" w14:textId="77777777" w:rsidR="005101EC" w:rsidRDefault="005101EC"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99596" w14:textId="77777777" w:rsidR="005101EC" w:rsidRDefault="005101EC" w:rsidP="002F1A57">
      <w:pPr>
        <w:spacing w:after="0" w:line="240" w:lineRule="auto"/>
      </w:pPr>
      <w:r>
        <w:separator/>
      </w:r>
    </w:p>
  </w:footnote>
  <w:footnote w:type="continuationSeparator" w:id="0">
    <w:p w14:paraId="3AAEB7BD" w14:textId="77777777" w:rsidR="005101EC" w:rsidRDefault="005101EC"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087B"/>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3DA4"/>
    <w:rsid w:val="0009796F"/>
    <w:rsid w:val="00097CD3"/>
    <w:rsid w:val="000A562A"/>
    <w:rsid w:val="000A7FB2"/>
    <w:rsid w:val="000B3273"/>
    <w:rsid w:val="000B5607"/>
    <w:rsid w:val="000C209E"/>
    <w:rsid w:val="000C4E07"/>
    <w:rsid w:val="000D0268"/>
    <w:rsid w:val="000D161D"/>
    <w:rsid w:val="000D2516"/>
    <w:rsid w:val="000D295D"/>
    <w:rsid w:val="000D4101"/>
    <w:rsid w:val="000D4E0E"/>
    <w:rsid w:val="000D548A"/>
    <w:rsid w:val="000E15A0"/>
    <w:rsid w:val="000E6687"/>
    <w:rsid w:val="000F53F7"/>
    <w:rsid w:val="00103F4B"/>
    <w:rsid w:val="0010508B"/>
    <w:rsid w:val="001106D6"/>
    <w:rsid w:val="00115629"/>
    <w:rsid w:val="00117433"/>
    <w:rsid w:val="00123156"/>
    <w:rsid w:val="00126CD7"/>
    <w:rsid w:val="00127A20"/>
    <w:rsid w:val="00127B7F"/>
    <w:rsid w:val="00127E86"/>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B4F02"/>
    <w:rsid w:val="001C3862"/>
    <w:rsid w:val="001C41D3"/>
    <w:rsid w:val="001C5A4A"/>
    <w:rsid w:val="001D1744"/>
    <w:rsid w:val="001D3D41"/>
    <w:rsid w:val="001D72A4"/>
    <w:rsid w:val="001D7534"/>
    <w:rsid w:val="001E3347"/>
    <w:rsid w:val="001E44C7"/>
    <w:rsid w:val="001F2BB9"/>
    <w:rsid w:val="00201241"/>
    <w:rsid w:val="0020307A"/>
    <w:rsid w:val="002049D9"/>
    <w:rsid w:val="00207256"/>
    <w:rsid w:val="00215713"/>
    <w:rsid w:val="002163A5"/>
    <w:rsid w:val="0022332A"/>
    <w:rsid w:val="002237BB"/>
    <w:rsid w:val="00223FAD"/>
    <w:rsid w:val="00224CBA"/>
    <w:rsid w:val="00225E05"/>
    <w:rsid w:val="002350F5"/>
    <w:rsid w:val="00235B61"/>
    <w:rsid w:val="0023654E"/>
    <w:rsid w:val="00240DB0"/>
    <w:rsid w:val="00242076"/>
    <w:rsid w:val="0025551A"/>
    <w:rsid w:val="00260D8B"/>
    <w:rsid w:val="002706BD"/>
    <w:rsid w:val="00270F5F"/>
    <w:rsid w:val="002719F2"/>
    <w:rsid w:val="00274D3D"/>
    <w:rsid w:val="00283A88"/>
    <w:rsid w:val="002870A4"/>
    <w:rsid w:val="002909E5"/>
    <w:rsid w:val="002B06D3"/>
    <w:rsid w:val="002B1B65"/>
    <w:rsid w:val="002B25AF"/>
    <w:rsid w:val="002C0773"/>
    <w:rsid w:val="002C36C3"/>
    <w:rsid w:val="002C5B66"/>
    <w:rsid w:val="002C7129"/>
    <w:rsid w:val="002D2EDD"/>
    <w:rsid w:val="002D2F95"/>
    <w:rsid w:val="002D5815"/>
    <w:rsid w:val="002D66B7"/>
    <w:rsid w:val="002E05B0"/>
    <w:rsid w:val="002E4079"/>
    <w:rsid w:val="002E56E2"/>
    <w:rsid w:val="002E5EDD"/>
    <w:rsid w:val="002F028D"/>
    <w:rsid w:val="002F0C1A"/>
    <w:rsid w:val="002F1A57"/>
    <w:rsid w:val="002F3CF7"/>
    <w:rsid w:val="0030205A"/>
    <w:rsid w:val="00303709"/>
    <w:rsid w:val="00305181"/>
    <w:rsid w:val="003106B0"/>
    <w:rsid w:val="0031337F"/>
    <w:rsid w:val="00314AC1"/>
    <w:rsid w:val="00317755"/>
    <w:rsid w:val="00320DF8"/>
    <w:rsid w:val="00320F6F"/>
    <w:rsid w:val="0032548C"/>
    <w:rsid w:val="00325828"/>
    <w:rsid w:val="00325E7A"/>
    <w:rsid w:val="00330EB6"/>
    <w:rsid w:val="00331B38"/>
    <w:rsid w:val="00331D9A"/>
    <w:rsid w:val="00333597"/>
    <w:rsid w:val="00336B56"/>
    <w:rsid w:val="00336CAB"/>
    <w:rsid w:val="003635FE"/>
    <w:rsid w:val="00364E0F"/>
    <w:rsid w:val="00365C10"/>
    <w:rsid w:val="00367C16"/>
    <w:rsid w:val="00372A54"/>
    <w:rsid w:val="003814AA"/>
    <w:rsid w:val="00387817"/>
    <w:rsid w:val="00396617"/>
    <w:rsid w:val="003A2ADA"/>
    <w:rsid w:val="003A2FA1"/>
    <w:rsid w:val="003A5E84"/>
    <w:rsid w:val="003A7864"/>
    <w:rsid w:val="003A7E46"/>
    <w:rsid w:val="003B1619"/>
    <w:rsid w:val="003B407D"/>
    <w:rsid w:val="003B61E5"/>
    <w:rsid w:val="003C1851"/>
    <w:rsid w:val="003C52A1"/>
    <w:rsid w:val="003D4D8E"/>
    <w:rsid w:val="003D5FCE"/>
    <w:rsid w:val="003D6E78"/>
    <w:rsid w:val="003E2A0A"/>
    <w:rsid w:val="003E5DB7"/>
    <w:rsid w:val="003E68E0"/>
    <w:rsid w:val="003E7AF1"/>
    <w:rsid w:val="003F19AA"/>
    <w:rsid w:val="003F2075"/>
    <w:rsid w:val="003F3B21"/>
    <w:rsid w:val="003F6C99"/>
    <w:rsid w:val="003F72D9"/>
    <w:rsid w:val="00404755"/>
    <w:rsid w:val="0040723B"/>
    <w:rsid w:val="004169D2"/>
    <w:rsid w:val="0042291B"/>
    <w:rsid w:val="004312DC"/>
    <w:rsid w:val="00436FED"/>
    <w:rsid w:val="00443116"/>
    <w:rsid w:val="004551B0"/>
    <w:rsid w:val="004608E4"/>
    <w:rsid w:val="00461E51"/>
    <w:rsid w:val="0046473A"/>
    <w:rsid w:val="00471541"/>
    <w:rsid w:val="004733DD"/>
    <w:rsid w:val="00473A64"/>
    <w:rsid w:val="00481D62"/>
    <w:rsid w:val="0048242F"/>
    <w:rsid w:val="00482F64"/>
    <w:rsid w:val="004901AC"/>
    <w:rsid w:val="0049395D"/>
    <w:rsid w:val="00496497"/>
    <w:rsid w:val="00496639"/>
    <w:rsid w:val="004966AD"/>
    <w:rsid w:val="00497B9E"/>
    <w:rsid w:val="004A0B60"/>
    <w:rsid w:val="004A2A91"/>
    <w:rsid w:val="004A3604"/>
    <w:rsid w:val="004A3B3D"/>
    <w:rsid w:val="004A52CD"/>
    <w:rsid w:val="004A6218"/>
    <w:rsid w:val="004B43B3"/>
    <w:rsid w:val="004B5F01"/>
    <w:rsid w:val="004C50E3"/>
    <w:rsid w:val="004D1CA9"/>
    <w:rsid w:val="004E5B34"/>
    <w:rsid w:val="004E6253"/>
    <w:rsid w:val="004F3F4F"/>
    <w:rsid w:val="004F4567"/>
    <w:rsid w:val="004F4AE5"/>
    <w:rsid w:val="004F5756"/>
    <w:rsid w:val="004F7A47"/>
    <w:rsid w:val="00503287"/>
    <w:rsid w:val="00503EE5"/>
    <w:rsid w:val="005101EC"/>
    <w:rsid w:val="00510271"/>
    <w:rsid w:val="00514CC5"/>
    <w:rsid w:val="00521988"/>
    <w:rsid w:val="00521E1A"/>
    <w:rsid w:val="00530906"/>
    <w:rsid w:val="005346A2"/>
    <w:rsid w:val="00534DFF"/>
    <w:rsid w:val="00534F42"/>
    <w:rsid w:val="005351CA"/>
    <w:rsid w:val="00535A6C"/>
    <w:rsid w:val="00536F51"/>
    <w:rsid w:val="00541732"/>
    <w:rsid w:val="00542CB5"/>
    <w:rsid w:val="005449EB"/>
    <w:rsid w:val="00545F29"/>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952B1"/>
    <w:rsid w:val="005A23E5"/>
    <w:rsid w:val="005A345C"/>
    <w:rsid w:val="005A76B3"/>
    <w:rsid w:val="005B036E"/>
    <w:rsid w:val="005B148E"/>
    <w:rsid w:val="005B54ED"/>
    <w:rsid w:val="005C0F57"/>
    <w:rsid w:val="005C40A6"/>
    <w:rsid w:val="005D35AC"/>
    <w:rsid w:val="005D5DE2"/>
    <w:rsid w:val="005D620A"/>
    <w:rsid w:val="005E0862"/>
    <w:rsid w:val="005E2189"/>
    <w:rsid w:val="005E2850"/>
    <w:rsid w:val="005E3807"/>
    <w:rsid w:val="005E6DBC"/>
    <w:rsid w:val="005F049E"/>
    <w:rsid w:val="005F06EE"/>
    <w:rsid w:val="005F249F"/>
    <w:rsid w:val="005F31A9"/>
    <w:rsid w:val="005F4CC4"/>
    <w:rsid w:val="00603A2C"/>
    <w:rsid w:val="00607AC8"/>
    <w:rsid w:val="00607CE5"/>
    <w:rsid w:val="00611069"/>
    <w:rsid w:val="00612D50"/>
    <w:rsid w:val="0062025E"/>
    <w:rsid w:val="00622E8A"/>
    <w:rsid w:val="006235A1"/>
    <w:rsid w:val="0062773C"/>
    <w:rsid w:val="0064263E"/>
    <w:rsid w:val="006545E3"/>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E9F"/>
    <w:rsid w:val="006A5706"/>
    <w:rsid w:val="006B5F67"/>
    <w:rsid w:val="006C6E5F"/>
    <w:rsid w:val="006D3F50"/>
    <w:rsid w:val="006D695D"/>
    <w:rsid w:val="006D6DD1"/>
    <w:rsid w:val="006E25FE"/>
    <w:rsid w:val="006E2F67"/>
    <w:rsid w:val="006E43B8"/>
    <w:rsid w:val="006F503F"/>
    <w:rsid w:val="006F6335"/>
    <w:rsid w:val="006F673C"/>
    <w:rsid w:val="00702B8B"/>
    <w:rsid w:val="007040D5"/>
    <w:rsid w:val="007050C2"/>
    <w:rsid w:val="00707008"/>
    <w:rsid w:val="00714130"/>
    <w:rsid w:val="00716319"/>
    <w:rsid w:val="00722271"/>
    <w:rsid w:val="007232A1"/>
    <w:rsid w:val="00724EF7"/>
    <w:rsid w:val="007263DF"/>
    <w:rsid w:val="00736259"/>
    <w:rsid w:val="00737798"/>
    <w:rsid w:val="00754185"/>
    <w:rsid w:val="00754AAC"/>
    <w:rsid w:val="00754EA4"/>
    <w:rsid w:val="00762FFB"/>
    <w:rsid w:val="00764AED"/>
    <w:rsid w:val="00765A3D"/>
    <w:rsid w:val="007720D1"/>
    <w:rsid w:val="00776200"/>
    <w:rsid w:val="007770D4"/>
    <w:rsid w:val="00781671"/>
    <w:rsid w:val="00781AAD"/>
    <w:rsid w:val="00784B7C"/>
    <w:rsid w:val="00784D42"/>
    <w:rsid w:val="007858BD"/>
    <w:rsid w:val="00787A1A"/>
    <w:rsid w:val="007917D0"/>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14D26"/>
    <w:rsid w:val="00820588"/>
    <w:rsid w:val="008221E6"/>
    <w:rsid w:val="0082265A"/>
    <w:rsid w:val="00830A10"/>
    <w:rsid w:val="008328D7"/>
    <w:rsid w:val="00836AFE"/>
    <w:rsid w:val="0086776B"/>
    <w:rsid w:val="00872D76"/>
    <w:rsid w:val="00876863"/>
    <w:rsid w:val="00876D73"/>
    <w:rsid w:val="00881F62"/>
    <w:rsid w:val="0088346B"/>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B5D3B"/>
    <w:rsid w:val="008C1758"/>
    <w:rsid w:val="008C3B75"/>
    <w:rsid w:val="008C7313"/>
    <w:rsid w:val="008D2230"/>
    <w:rsid w:val="008D2E71"/>
    <w:rsid w:val="008D3525"/>
    <w:rsid w:val="008D549D"/>
    <w:rsid w:val="008D67A1"/>
    <w:rsid w:val="008E3086"/>
    <w:rsid w:val="008E6D0C"/>
    <w:rsid w:val="008E79A2"/>
    <w:rsid w:val="008F038B"/>
    <w:rsid w:val="008F3C17"/>
    <w:rsid w:val="008F60AD"/>
    <w:rsid w:val="0090148F"/>
    <w:rsid w:val="009020A8"/>
    <w:rsid w:val="00904583"/>
    <w:rsid w:val="00906439"/>
    <w:rsid w:val="00910C56"/>
    <w:rsid w:val="00917690"/>
    <w:rsid w:val="00921AD3"/>
    <w:rsid w:val="00922D84"/>
    <w:rsid w:val="00923B93"/>
    <w:rsid w:val="00926805"/>
    <w:rsid w:val="009272F1"/>
    <w:rsid w:val="00934BBF"/>
    <w:rsid w:val="0093696F"/>
    <w:rsid w:val="009369B1"/>
    <w:rsid w:val="00937CA6"/>
    <w:rsid w:val="009401E9"/>
    <w:rsid w:val="00942460"/>
    <w:rsid w:val="00950B83"/>
    <w:rsid w:val="00952E30"/>
    <w:rsid w:val="00955695"/>
    <w:rsid w:val="00961B3C"/>
    <w:rsid w:val="00962A76"/>
    <w:rsid w:val="009663BE"/>
    <w:rsid w:val="009774E8"/>
    <w:rsid w:val="00980AB6"/>
    <w:rsid w:val="00983301"/>
    <w:rsid w:val="009836FA"/>
    <w:rsid w:val="009857CB"/>
    <w:rsid w:val="00990251"/>
    <w:rsid w:val="009919FA"/>
    <w:rsid w:val="009926E6"/>
    <w:rsid w:val="00994D44"/>
    <w:rsid w:val="00997CFE"/>
    <w:rsid w:val="009A412D"/>
    <w:rsid w:val="009B614F"/>
    <w:rsid w:val="009B6363"/>
    <w:rsid w:val="009C4F06"/>
    <w:rsid w:val="009C667D"/>
    <w:rsid w:val="009C72BD"/>
    <w:rsid w:val="009D4601"/>
    <w:rsid w:val="009D7928"/>
    <w:rsid w:val="009E6E9C"/>
    <w:rsid w:val="009F1195"/>
    <w:rsid w:val="009F359A"/>
    <w:rsid w:val="009F6C5C"/>
    <w:rsid w:val="009F6D44"/>
    <w:rsid w:val="009F77F6"/>
    <w:rsid w:val="00A027F6"/>
    <w:rsid w:val="00A048FB"/>
    <w:rsid w:val="00A0548B"/>
    <w:rsid w:val="00A056BC"/>
    <w:rsid w:val="00A06392"/>
    <w:rsid w:val="00A123A0"/>
    <w:rsid w:val="00A1528F"/>
    <w:rsid w:val="00A161C3"/>
    <w:rsid w:val="00A26470"/>
    <w:rsid w:val="00A271FA"/>
    <w:rsid w:val="00A34129"/>
    <w:rsid w:val="00A365D1"/>
    <w:rsid w:val="00A42E27"/>
    <w:rsid w:val="00A45C56"/>
    <w:rsid w:val="00A46C23"/>
    <w:rsid w:val="00A47F1F"/>
    <w:rsid w:val="00A50E41"/>
    <w:rsid w:val="00A511E6"/>
    <w:rsid w:val="00A5149E"/>
    <w:rsid w:val="00A5209D"/>
    <w:rsid w:val="00A53A2F"/>
    <w:rsid w:val="00A54CA4"/>
    <w:rsid w:val="00A55E4B"/>
    <w:rsid w:val="00A5611B"/>
    <w:rsid w:val="00A61F9A"/>
    <w:rsid w:val="00A634BF"/>
    <w:rsid w:val="00A83DC5"/>
    <w:rsid w:val="00A87AEB"/>
    <w:rsid w:val="00A96F3E"/>
    <w:rsid w:val="00AC18B9"/>
    <w:rsid w:val="00AC5B1E"/>
    <w:rsid w:val="00AD0D90"/>
    <w:rsid w:val="00AD1DD3"/>
    <w:rsid w:val="00AD2D54"/>
    <w:rsid w:val="00AD4135"/>
    <w:rsid w:val="00AD6D34"/>
    <w:rsid w:val="00AE07F6"/>
    <w:rsid w:val="00AE0B51"/>
    <w:rsid w:val="00AE1439"/>
    <w:rsid w:val="00AE4A5B"/>
    <w:rsid w:val="00AE51A8"/>
    <w:rsid w:val="00AE715D"/>
    <w:rsid w:val="00AF6EE9"/>
    <w:rsid w:val="00B012CE"/>
    <w:rsid w:val="00B02A43"/>
    <w:rsid w:val="00B046C2"/>
    <w:rsid w:val="00B10F14"/>
    <w:rsid w:val="00B174E5"/>
    <w:rsid w:val="00B17CF7"/>
    <w:rsid w:val="00B207E4"/>
    <w:rsid w:val="00B21FA1"/>
    <w:rsid w:val="00B2323E"/>
    <w:rsid w:val="00B23B22"/>
    <w:rsid w:val="00B247A5"/>
    <w:rsid w:val="00B26DFA"/>
    <w:rsid w:val="00B31759"/>
    <w:rsid w:val="00B37263"/>
    <w:rsid w:val="00B40904"/>
    <w:rsid w:val="00B428C0"/>
    <w:rsid w:val="00B42A3F"/>
    <w:rsid w:val="00B54343"/>
    <w:rsid w:val="00B56714"/>
    <w:rsid w:val="00B56EA4"/>
    <w:rsid w:val="00B61961"/>
    <w:rsid w:val="00B6403C"/>
    <w:rsid w:val="00B67587"/>
    <w:rsid w:val="00B75A1C"/>
    <w:rsid w:val="00B83F8C"/>
    <w:rsid w:val="00B90544"/>
    <w:rsid w:val="00B91DB5"/>
    <w:rsid w:val="00B92A28"/>
    <w:rsid w:val="00B97BD5"/>
    <w:rsid w:val="00BA6CB0"/>
    <w:rsid w:val="00BB382D"/>
    <w:rsid w:val="00BC110F"/>
    <w:rsid w:val="00BC1377"/>
    <w:rsid w:val="00BC269F"/>
    <w:rsid w:val="00BC3551"/>
    <w:rsid w:val="00BC7DBE"/>
    <w:rsid w:val="00BD391B"/>
    <w:rsid w:val="00BD4A5E"/>
    <w:rsid w:val="00BD510A"/>
    <w:rsid w:val="00BE0480"/>
    <w:rsid w:val="00BE0A20"/>
    <w:rsid w:val="00BF230C"/>
    <w:rsid w:val="00BF583B"/>
    <w:rsid w:val="00C019D5"/>
    <w:rsid w:val="00C04881"/>
    <w:rsid w:val="00C07220"/>
    <w:rsid w:val="00C15347"/>
    <w:rsid w:val="00C21E23"/>
    <w:rsid w:val="00C2343A"/>
    <w:rsid w:val="00C24848"/>
    <w:rsid w:val="00C41B6B"/>
    <w:rsid w:val="00C44A55"/>
    <w:rsid w:val="00C51FAE"/>
    <w:rsid w:val="00C542F5"/>
    <w:rsid w:val="00C54589"/>
    <w:rsid w:val="00C55969"/>
    <w:rsid w:val="00C70E0B"/>
    <w:rsid w:val="00C716A0"/>
    <w:rsid w:val="00C73ECF"/>
    <w:rsid w:val="00C81F81"/>
    <w:rsid w:val="00C82429"/>
    <w:rsid w:val="00C85633"/>
    <w:rsid w:val="00C936F3"/>
    <w:rsid w:val="00CA042E"/>
    <w:rsid w:val="00CA164A"/>
    <w:rsid w:val="00CA44ED"/>
    <w:rsid w:val="00CA6043"/>
    <w:rsid w:val="00CC046C"/>
    <w:rsid w:val="00CC5A07"/>
    <w:rsid w:val="00CD2730"/>
    <w:rsid w:val="00CE1399"/>
    <w:rsid w:val="00CE3FED"/>
    <w:rsid w:val="00CF0A2F"/>
    <w:rsid w:val="00CF3752"/>
    <w:rsid w:val="00CF43AC"/>
    <w:rsid w:val="00D05004"/>
    <w:rsid w:val="00D2133E"/>
    <w:rsid w:val="00D2202F"/>
    <w:rsid w:val="00D224B6"/>
    <w:rsid w:val="00D231D2"/>
    <w:rsid w:val="00D237CF"/>
    <w:rsid w:val="00D25B59"/>
    <w:rsid w:val="00D26F54"/>
    <w:rsid w:val="00D40066"/>
    <w:rsid w:val="00D55D46"/>
    <w:rsid w:val="00D6198E"/>
    <w:rsid w:val="00D62BC9"/>
    <w:rsid w:val="00D73A90"/>
    <w:rsid w:val="00D74117"/>
    <w:rsid w:val="00D85074"/>
    <w:rsid w:val="00D86F85"/>
    <w:rsid w:val="00D875DE"/>
    <w:rsid w:val="00D9029A"/>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22DF2"/>
    <w:rsid w:val="00E27B64"/>
    <w:rsid w:val="00E307EF"/>
    <w:rsid w:val="00E323EB"/>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1A87"/>
    <w:rsid w:val="00E92669"/>
    <w:rsid w:val="00E92786"/>
    <w:rsid w:val="00E92EA8"/>
    <w:rsid w:val="00EA1FEC"/>
    <w:rsid w:val="00EA6845"/>
    <w:rsid w:val="00EB31C1"/>
    <w:rsid w:val="00EB47C1"/>
    <w:rsid w:val="00ED3293"/>
    <w:rsid w:val="00EE68BE"/>
    <w:rsid w:val="00EF31D6"/>
    <w:rsid w:val="00EF356D"/>
    <w:rsid w:val="00EF4B30"/>
    <w:rsid w:val="00EF62F6"/>
    <w:rsid w:val="00F074D3"/>
    <w:rsid w:val="00F138B0"/>
    <w:rsid w:val="00F13D3D"/>
    <w:rsid w:val="00F245B0"/>
    <w:rsid w:val="00F24DDC"/>
    <w:rsid w:val="00F3009F"/>
    <w:rsid w:val="00F303CA"/>
    <w:rsid w:val="00F30C75"/>
    <w:rsid w:val="00F3302C"/>
    <w:rsid w:val="00F36C36"/>
    <w:rsid w:val="00F4266A"/>
    <w:rsid w:val="00F51159"/>
    <w:rsid w:val="00F521FE"/>
    <w:rsid w:val="00F55AA4"/>
    <w:rsid w:val="00F619E3"/>
    <w:rsid w:val="00F67660"/>
    <w:rsid w:val="00F720D2"/>
    <w:rsid w:val="00F72274"/>
    <w:rsid w:val="00F819D2"/>
    <w:rsid w:val="00F82012"/>
    <w:rsid w:val="00F828D7"/>
    <w:rsid w:val="00F9270E"/>
    <w:rsid w:val="00F92E38"/>
    <w:rsid w:val="00F94420"/>
    <w:rsid w:val="00F97012"/>
    <w:rsid w:val="00F97102"/>
    <w:rsid w:val="00FA1CF3"/>
    <w:rsid w:val="00FA2E9B"/>
    <w:rsid w:val="00FA5B00"/>
    <w:rsid w:val="00FA6ED7"/>
    <w:rsid w:val="00FB0E5F"/>
    <w:rsid w:val="00FB1338"/>
    <w:rsid w:val="00FB4909"/>
    <w:rsid w:val="00FB7396"/>
    <w:rsid w:val="00FB77AE"/>
    <w:rsid w:val="00FC3506"/>
    <w:rsid w:val="00FD217E"/>
    <w:rsid w:val="00FD5768"/>
    <w:rsid w:val="00FE109A"/>
    <w:rsid w:val="00FE1ED8"/>
    <w:rsid w:val="00FE252E"/>
    <w:rsid w:val="00FE6FD1"/>
    <w:rsid w:val="00FF01DD"/>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5"/>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45500</TotalTime>
  <Pages>39</Pages>
  <Words>28662</Words>
  <Characters>163374</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26</cp:revision>
  <dcterms:created xsi:type="dcterms:W3CDTF">2025-01-29T19:14:00Z</dcterms:created>
  <dcterms:modified xsi:type="dcterms:W3CDTF">2025-09-11T18:59:00Z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id="tFLOG47D"/&gt;&lt;style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