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0F7" w14:textId="77777777" w:rsidR="00E6252D" w:rsidRDefault="00E6252D" w:rsidP="002D2F95">
      <w:pPr>
        <w:jc w:val="center"/>
      </w:pPr>
    </w:p>
    <w:p w14:paraId="0E609005" w14:textId="77777777" w:rsidR="00E6252D" w:rsidRDefault="00E6252D" w:rsidP="002D2F95">
      <w:pPr>
        <w:jc w:val="center"/>
      </w:pPr>
    </w:p>
    <w:p w14:paraId="71564F9D" w14:textId="77777777" w:rsidR="00E6252D" w:rsidRDefault="00E6252D" w:rsidP="002D2F95">
      <w:pPr>
        <w:jc w:val="center"/>
      </w:pPr>
    </w:p>
    <w:p w14:paraId="09BE2503" w14:textId="77777777" w:rsidR="00E6252D" w:rsidRDefault="00E6252D" w:rsidP="002D2F95">
      <w:pPr>
        <w:jc w:val="center"/>
      </w:pPr>
    </w:p>
    <w:p w14:paraId="047A0F3E" w14:textId="77777777" w:rsidR="00E6252D" w:rsidRDefault="00E6252D" w:rsidP="002D2F95">
      <w:pPr>
        <w:jc w:val="center"/>
      </w:pPr>
    </w:p>
    <w:p w14:paraId="05035D11" w14:textId="77777777" w:rsidR="00E6252D" w:rsidRDefault="00E6252D" w:rsidP="002D2F95">
      <w:pPr>
        <w:jc w:val="center"/>
      </w:pPr>
    </w:p>
    <w:p w14:paraId="186D3E81" w14:textId="6B48A772" w:rsidR="00F3009F" w:rsidRDefault="002D2F95" w:rsidP="002D2F95">
      <w:pPr>
        <w:jc w:val="center"/>
      </w:pPr>
      <w:r>
        <w:t>Why Can’t They Just Look it Up?</w:t>
      </w:r>
      <w:r w:rsidR="00E6252D">
        <w:t xml:space="preserve"> </w:t>
      </w:r>
      <w:r w:rsidR="009857CB">
        <w:t>Utilizing</w:t>
      </w:r>
      <w:r>
        <w:t xml:space="preserve"> Restricted Administrative Data to Overcome </w:t>
      </w:r>
      <w:r w:rsidR="009857CB">
        <w:t xml:space="preserve">the Limitations of Surveys in </w:t>
      </w:r>
      <w:r w:rsidR="007232A1">
        <w:t>Demography</w:t>
      </w:r>
    </w:p>
    <w:p w14:paraId="4AB6D18F" w14:textId="466B2B69" w:rsidR="00E14918" w:rsidRDefault="00F3009F" w:rsidP="00F3009F">
      <w:pPr>
        <w:jc w:val="center"/>
      </w:pPr>
      <w:r>
        <w:t>Paul Scholes</w:t>
      </w:r>
    </w:p>
    <w:p w14:paraId="1BD60709" w14:textId="20CE5606" w:rsidR="00333597" w:rsidRDefault="00333597" w:rsidP="00F3009F">
      <w:pPr>
        <w:jc w:val="center"/>
      </w:pPr>
      <w:r>
        <w:t>3</w:t>
      </w:r>
      <w:r w:rsidRPr="00333597">
        <w:rPr>
          <w:vertAlign w:val="superscript"/>
        </w:rPr>
        <w:t>rd</w:t>
      </w:r>
      <w:r>
        <w:t xml:space="preserve"> Year PhD Student </w:t>
      </w:r>
    </w:p>
    <w:p w14:paraId="151D9745" w14:textId="39FAB948" w:rsidR="00333597" w:rsidRDefault="00333597" w:rsidP="00F3009F">
      <w:pPr>
        <w:jc w:val="center"/>
      </w:pPr>
      <w:r>
        <w:t>Texas A&amp;M Sociology</w:t>
      </w:r>
    </w:p>
    <w:p w14:paraId="36600D4A" w14:textId="408F5F7B" w:rsidR="00333597" w:rsidRDefault="00333597" w:rsidP="00F3009F">
      <w:pPr>
        <w:jc w:val="center"/>
      </w:pPr>
      <w:r>
        <w:t>Projected Dissertation Proposal Defense: Ma</w:t>
      </w:r>
      <w:r w:rsidR="005B148E">
        <w:t>y</w:t>
      </w:r>
      <w:r>
        <w:t xml:space="preserve"> 2025</w:t>
      </w:r>
    </w:p>
    <w:p w14:paraId="49FF7702" w14:textId="688558B9" w:rsidR="005933F7" w:rsidRDefault="005933F7">
      <w:r>
        <w:br w:type="page"/>
      </w:r>
    </w:p>
    <w:p w14:paraId="7686D036" w14:textId="6D397F21" w:rsidR="00DF307D" w:rsidRDefault="00FF3A71" w:rsidP="00DF307D">
      <w:pPr>
        <w:ind w:firstLine="720"/>
      </w:pPr>
      <w:r>
        <w:lastRenderedPageBreak/>
        <w:t>Surveys</w:t>
      </w:r>
      <w:r w:rsidR="005F249F">
        <w:t xml:space="preserve"> and other probability-based data sources</w:t>
      </w:r>
      <w:r>
        <w:t xml:space="preserve"> </w:t>
      </w:r>
      <w:r w:rsidR="004F7A47">
        <w:t xml:space="preserve">are often used to generate inferences for a population. </w:t>
      </w:r>
      <w:r w:rsidR="00063FAB">
        <w:t>However, there are drawbacks to this approach and some of them are growing more consequential. A</w:t>
      </w:r>
      <w:r w:rsidR="00EB47C1">
        <w:t xml:space="preserve">s described by leading economists, “the research frontier moves to use administrative data” </w:t>
      </w:r>
      <w:r w:rsidR="00EB47C1">
        <w:fldChar w:fldCharType="begin"/>
      </w:r>
      <w:r w:rsidR="00EB47C1">
        <w:instrText xml:space="preserve"> ADDIN ZOTERO_ITEM CSL_CITATION {"citationID":"Dqa9E6s2","properties":{"formattedCitation":"(Card et al. 2010)","plainCitation":"(Card et al. 2010)","noteIndex":0},"citationItems":[{"id":1378,"uris":["http://zotero.org/users/6152647/items/7GE934JZ"],"itemData":{"id":1378,"type":"article","abstract":"We argue that the development and expansion of direct, secure access to administrative micro-data should be a top priority for the NSF. Administrative data offer much larger sample sizes and have far fewer problems with attrition, non-response, and measurement error than traditional survey data sources. Administrative data are therefore critical for cutting-edge empirical research, and particularly for credible public policy evaluation. Although a number of agencies have successful programs to provide access to administrative data - most notably the Centers for Medicare and Medicaid Services - the United States generally lags far behind other countries in making data available to researchers. We discuss the value of administrative data using examples from recent research in the United States and abroad. We then outline a plan to develop incentives for agencies to broaden data access for scientific research based on competition, transparency, and rewards for producing socially valuable scientific output.","DOI":"10.2139/ssrn.1888586","event-place":"Rochester, NY","genre":"SSRN Scholarly Paper","language":"en","number":"1888586","publisher":"Social Science Research Network","publisher-place":"Rochester, NY","source":"papers.ssrn.com","title":"Expanding Access to Administrative Data for Research in the United States","URL":"https://papers.ssrn.com/abstract=1888586","author":[{"family":"Card","given":"David"},{"family":"Chetty","given":"Raj"},{"family":"Feldstein","given":"Martin S."},{"family":"Saez","given":"Emmanuel"}],"accessed":{"date-parts":[["2025",1,31]]},"issued":{"date-parts":[["2010"]]}}}],"schema":"https://github.com/citation-style-language/schema/raw/master/csl-citation.json"} </w:instrText>
      </w:r>
      <w:r w:rsidR="00EB47C1">
        <w:fldChar w:fldCharType="separate"/>
      </w:r>
      <w:r w:rsidR="00EB47C1" w:rsidRPr="00EB47C1">
        <w:rPr>
          <w:rFonts w:ascii="Aptos" w:hAnsi="Aptos"/>
        </w:rPr>
        <w:t>(Card et al. 2010</w:t>
      </w:r>
      <w:r w:rsidR="00EB47C1">
        <w:rPr>
          <w:rFonts w:ascii="Aptos" w:hAnsi="Aptos"/>
        </w:rPr>
        <w:t>:1</w:t>
      </w:r>
      <w:r w:rsidR="00EB47C1" w:rsidRPr="00EB47C1">
        <w:rPr>
          <w:rFonts w:ascii="Aptos" w:hAnsi="Aptos"/>
        </w:rPr>
        <w:t>)</w:t>
      </w:r>
      <w:r w:rsidR="00EB47C1">
        <w:fldChar w:fldCharType="end"/>
      </w:r>
      <w:r w:rsidR="00DF307D">
        <w:t xml:space="preserve"> for a couple of reasons. First, is t</w:t>
      </w:r>
      <w:r w:rsidR="0003169D">
        <w:t>he cost of sampling and gathering data,</w:t>
      </w:r>
      <w:r w:rsidR="00DF307D">
        <w:t xml:space="preserve"> which is already paid for in administrative data. </w:t>
      </w:r>
      <w:r w:rsidR="0003169D">
        <w:t xml:space="preserve"> </w:t>
      </w:r>
      <w:r w:rsidR="00DF307D">
        <w:t>Second</w:t>
      </w:r>
      <w:r w:rsidR="00063FAB">
        <w:t xml:space="preserve"> (</w:t>
      </w:r>
      <w:r w:rsidR="00DF307D">
        <w:t xml:space="preserve">and one of the reasons that primary data collection has gotten so expensive </w:t>
      </w:r>
      <w:r w:rsidR="00063FAB">
        <w:t>recently) are the</w:t>
      </w:r>
      <w:r w:rsidR="0003169D">
        <w:t xml:space="preserve"> </w:t>
      </w:r>
      <w:r w:rsidR="00063FAB">
        <w:t>continually declining</w:t>
      </w:r>
      <w:r w:rsidR="002237BB">
        <w:t xml:space="preserve"> response rates in recent years</w:t>
      </w:r>
      <w:r w:rsidR="00DF307D">
        <w:t xml:space="preserve">. This decline in response rates means more people have to be contacted to have the same amount of data collected because many of those contacted will opt-out or non-respond to questions. </w:t>
      </w:r>
    </w:p>
    <w:p w14:paraId="456BD1A4" w14:textId="7C824929" w:rsidR="00DF307D" w:rsidRDefault="00DF307D" w:rsidP="00DF307D">
      <w:pPr>
        <w:ind w:firstLine="720"/>
      </w:pPr>
      <w:r>
        <w:t xml:space="preserve">One of the recent trends in data science is the demand for now-casting, or the ability to assemble data and generate data insights quickly. This is not possible with survey data, which can only describe the present after months of preparation and procedure. </w:t>
      </w:r>
      <w:r w:rsidR="00BD391B">
        <w:t>Additionally,</w:t>
      </w:r>
      <w:r>
        <w:t xml:space="preserve"> survey data that is not longitudinal or repeated rapidly loses its value for describing current conditions and never recovers it. </w:t>
      </w:r>
      <w:r w:rsidR="00224CBA">
        <w:t>An additional benefit of an administrative records approach is the reduction in measurement error. Respondents only fill out certain parts of the dataset, removing</w:t>
      </w:r>
      <w:r w:rsidR="00063FAB">
        <w:t xml:space="preserve"> some</w:t>
      </w:r>
      <w:r w:rsidR="00224CBA">
        <w:t xml:space="preserve"> bias</w:t>
      </w:r>
      <w:r w:rsidR="00063FAB">
        <w:t>es</w:t>
      </w:r>
      <w:r w:rsidR="00224CBA">
        <w:t xml:space="preserve"> </w:t>
      </w:r>
      <w:r w:rsidR="00063FAB">
        <w:t xml:space="preserve">from </w:t>
      </w:r>
      <w:r w:rsidR="00224CBA">
        <w:t>self-report</w:t>
      </w:r>
      <w:r w:rsidR="00063FAB">
        <w:t>.</w:t>
      </w:r>
      <w:r w:rsidR="00962A76">
        <w:t xml:space="preserve"> In </w:t>
      </w:r>
      <w:r w:rsidR="00BC1377">
        <w:t xml:space="preserve">tandem with </w:t>
      </w:r>
      <w:r w:rsidR="00962A76">
        <w:t xml:space="preserve">reducing measurement error from self-report is the easing of respondent burden: respondent only needs to provide just enough information to match them to their other records. </w:t>
      </w:r>
      <w:r w:rsidR="007B7582">
        <w:t xml:space="preserve">This project </w:t>
      </w:r>
      <w:r w:rsidR="00FA6ED7">
        <w:t>describes how to create a administrative data dataset to address these issues.</w:t>
      </w:r>
    </w:p>
    <w:p w14:paraId="10FAB1DF" w14:textId="71B7FE2D" w:rsidR="00FA6ED7" w:rsidRDefault="00FA6ED7" w:rsidP="00FA6ED7">
      <w:pPr>
        <w:ind w:firstLine="720"/>
      </w:pPr>
      <w:r>
        <w:t>This project also has a policy component. The data issues identified earlier have stunted the research on disaster related migration. What are the effects to the people in a community after a disaster? How long does it take for people to move back, if at all? What</w:t>
      </w:r>
      <w:r>
        <w:t xml:space="preserve"> skills and demographics</w:t>
      </w:r>
      <w:r>
        <w:t xml:space="preserve"> does a community lose or gain from the migration involved in a disaster? Without longitudinal and attrition-resilient methods,</w:t>
      </w:r>
      <w:r>
        <w:t xml:space="preserve"> this work is</w:t>
      </w:r>
      <w:r w:rsidR="00A1528F">
        <w:t xml:space="preserve"> very</w:t>
      </w:r>
      <w:r>
        <w:t xml:space="preserve"> </w:t>
      </w:r>
      <w:r w:rsidR="00A1528F">
        <w:t>difficult</w:t>
      </w:r>
      <w:r>
        <w:t>.</w:t>
      </w:r>
      <w:r>
        <w:t xml:space="preserve"> </w:t>
      </w:r>
      <w:r>
        <w:t>H</w:t>
      </w:r>
      <w:r>
        <w:t xml:space="preserve">ow can researchers </w:t>
      </w:r>
      <w:r w:rsidR="00A1528F">
        <w:t>record outcomes if they cannot differentiate</w:t>
      </w:r>
      <w:r>
        <w:t xml:space="preserve"> </w:t>
      </w:r>
      <w:r w:rsidR="00A1528F">
        <w:t>between a</w:t>
      </w:r>
      <w:r>
        <w:t xml:space="preserve"> respondent mov</w:t>
      </w:r>
      <w:r w:rsidR="00A1528F">
        <w:t>ing</w:t>
      </w:r>
      <w:r>
        <w:t>, d</w:t>
      </w:r>
      <w:r w:rsidR="00A1528F">
        <w:t>ying</w:t>
      </w:r>
      <w:r>
        <w:t>, or refus</w:t>
      </w:r>
      <w:r w:rsidR="00A1528F">
        <w:t>ing</w:t>
      </w:r>
      <w:r>
        <w:t xml:space="preserve"> to participate in the study? </w:t>
      </w:r>
    </w:p>
    <w:p w14:paraId="7F1BEB86" w14:textId="71E714A1" w:rsidR="00DF307D" w:rsidRDefault="00DF307D" w:rsidP="00DF307D">
      <w:pPr>
        <w:ind w:firstLine="720"/>
      </w:pPr>
      <w:r>
        <w:t>The research frontier moves toward administrative data because it is so frequently collected and recent advancements have made it easier than ever to assemble a data set from websites, government sources, and social media sites</w:t>
      </w:r>
      <w:r w:rsidR="00BD391B">
        <w:t>, all within minutes or hours</w:t>
      </w:r>
      <w:r>
        <w:t xml:space="preserve">. </w:t>
      </w:r>
      <w:r w:rsidR="00184BE9">
        <w:t xml:space="preserve">In the U.S., many administrative records have their access restricted to those with a special sworn status. </w:t>
      </w:r>
      <w:r w:rsidR="00E85FCE">
        <w:t xml:space="preserve">Obtaining access to the administrative records is only part of the challenge. Which datasets does a researcher need, what identification strategies will </w:t>
      </w:r>
      <w:r w:rsidR="00510271">
        <w:t xml:space="preserve">they use to match people between datasets that were never designed to work together, and can </w:t>
      </w:r>
      <w:r w:rsidR="00B31759">
        <w:t>they account for the non-probability sample t</w:t>
      </w:r>
      <w:r w:rsidR="00AD4135">
        <w:t>hat they are embracing with an administrative data appr</w:t>
      </w:r>
      <w:r w:rsidR="003106B0">
        <w:t>oa</w:t>
      </w:r>
      <w:r w:rsidR="00AD4135">
        <w:t>ch</w:t>
      </w:r>
      <w:r w:rsidR="00B31759">
        <w:t>?</w:t>
      </w:r>
    </w:p>
    <w:p w14:paraId="5B14921D" w14:textId="3C2238E2" w:rsidR="008D67A1" w:rsidRDefault="00184BE9" w:rsidP="00DF307D">
      <w:pPr>
        <w:ind w:firstLine="720"/>
      </w:pPr>
      <w:r>
        <w:t>This project ex</w:t>
      </w:r>
      <w:r w:rsidR="002909E5">
        <w:t xml:space="preserve">plains how a researcher can </w:t>
      </w:r>
      <w:r w:rsidR="005F049E">
        <w:t xml:space="preserve">(1) </w:t>
      </w:r>
      <w:r w:rsidR="002909E5">
        <w:t xml:space="preserve">assemble a dataset </w:t>
      </w:r>
      <w:r w:rsidR="00684345">
        <w:t>using unique identifiers maintained by the U.S. Census Bureau called Primary Identification Keys (PIKs).</w:t>
      </w:r>
      <w:r w:rsidR="00A123A0">
        <w:t xml:space="preserve"> (2)</w:t>
      </w:r>
      <w:r w:rsidR="00684345">
        <w:t xml:space="preserve"> I</w:t>
      </w:r>
      <w:r w:rsidR="005F049E">
        <w:t xml:space="preserve"> will rank the</w:t>
      </w:r>
      <w:r w:rsidR="00684345">
        <w:t xml:space="preserve"> administrative records </w:t>
      </w:r>
      <w:r w:rsidR="005F049E">
        <w:t xml:space="preserve">by how many correct PIKs they </w:t>
      </w:r>
      <w:r w:rsidR="00F94420">
        <w:t>add, using the American Community Survey and the U.S. Decennial Census as separate comparators</w:t>
      </w:r>
      <w:r w:rsidR="00950B83">
        <w:t>.</w:t>
      </w:r>
      <w:r w:rsidR="00A123A0">
        <w:t xml:space="preserve"> (3a)</w:t>
      </w:r>
      <w:r w:rsidR="00950B83">
        <w:t xml:space="preserve"> </w:t>
      </w:r>
      <w:r w:rsidR="004A0B60">
        <w:t>I will observe the comparability of this new dataset</w:t>
      </w:r>
      <w:r w:rsidR="00443116">
        <w:t xml:space="preserve"> — a demographic frame—</w:t>
      </w:r>
      <w:r w:rsidR="004A0B60">
        <w:t xml:space="preserve"> made of administrative </w:t>
      </w:r>
      <w:r w:rsidR="00443116">
        <w:t>records,</w:t>
      </w:r>
      <w:r w:rsidR="004A0B60">
        <w:t xml:space="preserve"> to the ACS and decennial census in 2020</w:t>
      </w:r>
      <w:r w:rsidR="00F94420">
        <w:t xml:space="preserve"> by examining the coverage error for </w:t>
      </w:r>
      <w:r w:rsidR="00F97012">
        <w:t>each geography in these datasets</w:t>
      </w:r>
      <w:r w:rsidR="004A0B60">
        <w:t>.</w:t>
      </w:r>
      <w:r w:rsidR="009F6D44">
        <w:t xml:space="preserve"> A researcher would normally include ACS or decennial data</w:t>
      </w:r>
      <w:r w:rsidR="00F97012">
        <w:t xml:space="preserve"> into the demographic frame</w:t>
      </w:r>
      <w:r w:rsidR="009F6D44">
        <w:t xml:space="preserve"> as </w:t>
      </w:r>
      <w:r w:rsidR="007B2AF5">
        <w:t>appropriate,</w:t>
      </w:r>
      <w:r w:rsidR="009F6D44">
        <w:t xml:space="preserve"> but </w:t>
      </w:r>
      <w:r w:rsidR="008D67A1">
        <w:t>I will create a</w:t>
      </w:r>
      <w:r w:rsidR="00443116">
        <w:t xml:space="preserve"> demoframe</w:t>
      </w:r>
      <w:r w:rsidR="00224CBA">
        <w:t xml:space="preserve"> that</w:t>
      </w:r>
      <w:r w:rsidR="00443116">
        <w:t xml:space="preserve"> avoids these rich data sources</w:t>
      </w:r>
      <w:r w:rsidR="008D67A1">
        <w:t>.</w:t>
      </w:r>
      <w:r w:rsidR="009F6D44">
        <w:t xml:space="preserve"> </w:t>
      </w:r>
      <w:r w:rsidR="004A0B60">
        <w:t xml:space="preserve">This </w:t>
      </w:r>
      <w:r w:rsidR="008D67A1">
        <w:t xml:space="preserve">will </w:t>
      </w:r>
      <w:r w:rsidR="004A0B60">
        <w:t>offer a conservative test for the effectiveness of a</w:t>
      </w:r>
      <w:r w:rsidR="008D67A1">
        <w:t>n</w:t>
      </w:r>
      <w:r w:rsidR="004A0B60">
        <w:t xml:space="preserve"> administrative records approach</w:t>
      </w:r>
      <w:r w:rsidR="008D67A1">
        <w:t xml:space="preserve">. Afterwards, I will </w:t>
      </w:r>
      <w:r w:rsidR="00A123A0">
        <w:t xml:space="preserve">(3b) </w:t>
      </w:r>
      <w:r w:rsidR="008D67A1">
        <w:lastRenderedPageBreak/>
        <w:t xml:space="preserve">make comparisons </w:t>
      </w:r>
      <w:r w:rsidR="00F97012">
        <w:t>with</w:t>
      </w:r>
      <w:r w:rsidR="008D67A1">
        <w:t xml:space="preserve"> a demoframe that includes</w:t>
      </w:r>
      <w:r w:rsidR="00F97012">
        <w:t xml:space="preserve"> one of</w:t>
      </w:r>
      <w:r w:rsidR="008D67A1">
        <w:t xml:space="preserve"> these sources</w:t>
      </w:r>
      <w:r w:rsidR="00F97012">
        <w:t xml:space="preserve"> compared against an omitted source</w:t>
      </w:r>
      <w:r w:rsidR="008D67A1">
        <w:t>.</w:t>
      </w:r>
      <w:r w:rsidR="00A123A0">
        <w:t xml:space="preserve"> </w:t>
      </w:r>
      <w:r w:rsidR="00F72274">
        <w:t>Having shown the ability to make estimates with the demographic frame, I will</w:t>
      </w:r>
      <w:r w:rsidR="00CD2730">
        <w:t xml:space="preserve"> (4)</w:t>
      </w:r>
      <w:r w:rsidR="00F72274">
        <w:t xml:space="preserve"> estimate measure of migration, such as the in and out migration rates, with these three datasources and discuss coverage differences across </w:t>
      </w:r>
      <w:r w:rsidR="00164333">
        <w:t>different geographies. While data is available at various g</w:t>
      </w:r>
      <w:r w:rsidR="00473A64">
        <w:t>eographic granularities</w:t>
      </w:r>
      <w:r w:rsidR="00164333">
        <w:t xml:space="preserve">, disclosure review will determine the </w:t>
      </w:r>
      <w:r w:rsidR="00473A64">
        <w:t>g</w:t>
      </w:r>
      <w:r w:rsidR="004C50E3">
        <w:t>eography statistics will be presented in. Finally</w:t>
      </w:r>
    </w:p>
    <w:p w14:paraId="12235AFC" w14:textId="541D87C3" w:rsidR="00184BE9" w:rsidRDefault="00950B83" w:rsidP="00DF307D">
      <w:pPr>
        <w:ind w:firstLine="720"/>
      </w:pPr>
      <w:r>
        <w:t xml:space="preserve"> </w:t>
      </w:r>
    </w:p>
    <w:p w14:paraId="57927886" w14:textId="77777777" w:rsidR="00DF307D" w:rsidRDefault="00DF307D" w:rsidP="00DF307D">
      <w:pPr>
        <w:ind w:firstLine="720"/>
      </w:pPr>
    </w:p>
    <w:p w14:paraId="5FB48471" w14:textId="2CEE9337" w:rsidR="0003169D" w:rsidRDefault="002237BB" w:rsidP="00DF307D">
      <w:pPr>
        <w:ind w:firstLine="720"/>
      </w:pPr>
      <w:r>
        <w:t xml:space="preserve">3) the increased burden on respondents, 4) the desire for so called now-casting, and 5) </w:t>
      </w:r>
      <w:r w:rsidR="00D40066">
        <w:t xml:space="preserve">the proliferation of non-probability data sources from administrative records, web scraping, social media data, etc. </w:t>
      </w:r>
    </w:p>
    <w:p w14:paraId="0458A53E" w14:textId="06AC3834" w:rsidR="005F249F" w:rsidRDefault="005F249F" w:rsidP="0081276B">
      <w:pPr>
        <w:ind w:firstLine="720"/>
      </w:pPr>
      <w:r>
        <w:t xml:space="preserve">This proposed project furthers this exploration of non-probability data sources by comparing </w:t>
      </w:r>
    </w:p>
    <w:p w14:paraId="46577381" w14:textId="4ED515DC" w:rsidR="005933F7" w:rsidRPr="009857CB" w:rsidRDefault="004F7A47" w:rsidP="0081276B">
      <w:pPr>
        <w:ind w:firstLine="720"/>
      </w:pPr>
      <w:r>
        <w:t>Samples of a population are representative of the population if there is no association with the outcome of interest and selection into the sample.</w:t>
      </w:r>
      <w:r w:rsidR="0003169D">
        <w:t xml:space="preserve"> In an ideal sample, those who are selected to participate and those who do not participate are the same,</w:t>
      </w:r>
      <w:r w:rsidR="0081276B">
        <w:t xml:space="preserve"> </w:t>
      </w:r>
    </w:p>
    <w:sectPr w:rsidR="005933F7" w:rsidRPr="009857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85A78" w14:textId="77777777" w:rsidR="00496639" w:rsidRDefault="00496639" w:rsidP="002F1A57">
      <w:pPr>
        <w:spacing w:after="0" w:line="240" w:lineRule="auto"/>
      </w:pPr>
      <w:r>
        <w:separator/>
      </w:r>
    </w:p>
  </w:endnote>
  <w:endnote w:type="continuationSeparator" w:id="0">
    <w:p w14:paraId="0171D817" w14:textId="77777777" w:rsidR="00496639" w:rsidRDefault="00496639" w:rsidP="002F1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A06C7" w14:textId="77777777" w:rsidR="00496639" w:rsidRDefault="00496639" w:rsidP="002F1A57">
      <w:pPr>
        <w:spacing w:after="0" w:line="240" w:lineRule="auto"/>
      </w:pPr>
      <w:r>
        <w:separator/>
      </w:r>
    </w:p>
  </w:footnote>
  <w:footnote w:type="continuationSeparator" w:id="0">
    <w:p w14:paraId="0AF9BFD5" w14:textId="77777777" w:rsidR="00496639" w:rsidRDefault="00496639" w:rsidP="002F1A5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09F"/>
    <w:rsid w:val="0003169D"/>
    <w:rsid w:val="000412CD"/>
    <w:rsid w:val="00063FAB"/>
    <w:rsid w:val="000D548A"/>
    <w:rsid w:val="00164333"/>
    <w:rsid w:val="00181762"/>
    <w:rsid w:val="00184BE9"/>
    <w:rsid w:val="00192575"/>
    <w:rsid w:val="002237BB"/>
    <w:rsid w:val="00224CBA"/>
    <w:rsid w:val="002909E5"/>
    <w:rsid w:val="002D2F95"/>
    <w:rsid w:val="002D5815"/>
    <w:rsid w:val="002F1A57"/>
    <w:rsid w:val="003106B0"/>
    <w:rsid w:val="00320F6F"/>
    <w:rsid w:val="00333597"/>
    <w:rsid w:val="00364E0F"/>
    <w:rsid w:val="00365C10"/>
    <w:rsid w:val="00443116"/>
    <w:rsid w:val="00473A64"/>
    <w:rsid w:val="00496639"/>
    <w:rsid w:val="004966AD"/>
    <w:rsid w:val="004A0B60"/>
    <w:rsid w:val="004A3604"/>
    <w:rsid w:val="004C50E3"/>
    <w:rsid w:val="004E5B34"/>
    <w:rsid w:val="004F7A47"/>
    <w:rsid w:val="00510271"/>
    <w:rsid w:val="005933F7"/>
    <w:rsid w:val="005B148E"/>
    <w:rsid w:val="005F049E"/>
    <w:rsid w:val="005F249F"/>
    <w:rsid w:val="00607AC8"/>
    <w:rsid w:val="006768BD"/>
    <w:rsid w:val="00684345"/>
    <w:rsid w:val="007232A1"/>
    <w:rsid w:val="007B2AF5"/>
    <w:rsid w:val="007B7582"/>
    <w:rsid w:val="0081276B"/>
    <w:rsid w:val="008D67A1"/>
    <w:rsid w:val="00950B83"/>
    <w:rsid w:val="00962A76"/>
    <w:rsid w:val="009857CB"/>
    <w:rsid w:val="009F6D44"/>
    <w:rsid w:val="00A123A0"/>
    <w:rsid w:val="00A1528F"/>
    <w:rsid w:val="00AD4135"/>
    <w:rsid w:val="00B31759"/>
    <w:rsid w:val="00B6403C"/>
    <w:rsid w:val="00BB382D"/>
    <w:rsid w:val="00BC1377"/>
    <w:rsid w:val="00BD391B"/>
    <w:rsid w:val="00BF230C"/>
    <w:rsid w:val="00CD2730"/>
    <w:rsid w:val="00D40066"/>
    <w:rsid w:val="00D6198E"/>
    <w:rsid w:val="00DA666F"/>
    <w:rsid w:val="00DF307D"/>
    <w:rsid w:val="00E14918"/>
    <w:rsid w:val="00E35890"/>
    <w:rsid w:val="00E6252D"/>
    <w:rsid w:val="00E85FCE"/>
    <w:rsid w:val="00EB47C1"/>
    <w:rsid w:val="00F138B0"/>
    <w:rsid w:val="00F3009F"/>
    <w:rsid w:val="00F72274"/>
    <w:rsid w:val="00F94420"/>
    <w:rsid w:val="00F97012"/>
    <w:rsid w:val="00FA6ED7"/>
    <w:rsid w:val="00FF3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DC468"/>
  <w15:chartTrackingRefBased/>
  <w15:docId w15:val="{3BC153A6-6DEA-4AB3-8FE4-CE8D42BCE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0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00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00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00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00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00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0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0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0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0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00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00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00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00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00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0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0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09F"/>
    <w:rPr>
      <w:rFonts w:eastAsiaTheme="majorEastAsia" w:cstheme="majorBidi"/>
      <w:color w:val="272727" w:themeColor="text1" w:themeTint="D8"/>
    </w:rPr>
  </w:style>
  <w:style w:type="paragraph" w:styleId="Title">
    <w:name w:val="Title"/>
    <w:basedOn w:val="Normal"/>
    <w:next w:val="Normal"/>
    <w:link w:val="TitleChar"/>
    <w:uiPriority w:val="10"/>
    <w:qFormat/>
    <w:rsid w:val="00F30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0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0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0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09F"/>
    <w:pPr>
      <w:spacing w:before="160"/>
      <w:jc w:val="center"/>
    </w:pPr>
    <w:rPr>
      <w:i/>
      <w:iCs/>
      <w:color w:val="404040" w:themeColor="text1" w:themeTint="BF"/>
    </w:rPr>
  </w:style>
  <w:style w:type="character" w:customStyle="1" w:styleId="QuoteChar">
    <w:name w:val="Quote Char"/>
    <w:basedOn w:val="DefaultParagraphFont"/>
    <w:link w:val="Quote"/>
    <w:uiPriority w:val="29"/>
    <w:rsid w:val="00F3009F"/>
    <w:rPr>
      <w:i/>
      <w:iCs/>
      <w:color w:val="404040" w:themeColor="text1" w:themeTint="BF"/>
    </w:rPr>
  </w:style>
  <w:style w:type="paragraph" w:styleId="ListParagraph">
    <w:name w:val="List Paragraph"/>
    <w:basedOn w:val="Normal"/>
    <w:uiPriority w:val="34"/>
    <w:qFormat/>
    <w:rsid w:val="00F3009F"/>
    <w:pPr>
      <w:ind w:left="720"/>
      <w:contextualSpacing/>
    </w:pPr>
  </w:style>
  <w:style w:type="character" w:styleId="IntenseEmphasis">
    <w:name w:val="Intense Emphasis"/>
    <w:basedOn w:val="DefaultParagraphFont"/>
    <w:uiPriority w:val="21"/>
    <w:qFormat/>
    <w:rsid w:val="00F3009F"/>
    <w:rPr>
      <w:i/>
      <w:iCs/>
      <w:color w:val="0F4761" w:themeColor="accent1" w:themeShade="BF"/>
    </w:rPr>
  </w:style>
  <w:style w:type="paragraph" w:styleId="IntenseQuote">
    <w:name w:val="Intense Quote"/>
    <w:basedOn w:val="Normal"/>
    <w:next w:val="Normal"/>
    <w:link w:val="IntenseQuoteChar"/>
    <w:uiPriority w:val="30"/>
    <w:qFormat/>
    <w:rsid w:val="00F30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009F"/>
    <w:rPr>
      <w:i/>
      <w:iCs/>
      <w:color w:val="0F4761" w:themeColor="accent1" w:themeShade="BF"/>
    </w:rPr>
  </w:style>
  <w:style w:type="character" w:styleId="IntenseReference">
    <w:name w:val="Intense Reference"/>
    <w:basedOn w:val="DefaultParagraphFont"/>
    <w:uiPriority w:val="32"/>
    <w:qFormat/>
    <w:rsid w:val="00F3009F"/>
    <w:rPr>
      <w:b/>
      <w:bCs/>
      <w:smallCaps/>
      <w:color w:val="0F4761" w:themeColor="accent1" w:themeShade="BF"/>
      <w:spacing w:val="5"/>
    </w:rPr>
  </w:style>
  <w:style w:type="paragraph" w:styleId="Header">
    <w:name w:val="header"/>
    <w:basedOn w:val="Normal"/>
    <w:link w:val="HeaderChar"/>
    <w:uiPriority w:val="99"/>
    <w:unhideWhenUsed/>
    <w:rsid w:val="002F1A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F1A57"/>
  </w:style>
  <w:style w:type="paragraph" w:styleId="Footer">
    <w:name w:val="footer"/>
    <w:basedOn w:val="Normal"/>
    <w:link w:val="FooterChar"/>
    <w:uiPriority w:val="99"/>
    <w:unhideWhenUsed/>
    <w:rsid w:val="002F1A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F1A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2211</TotalTime>
  <Pages>3</Pages>
  <Words>1064</Words>
  <Characters>6070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Scholes</dc:creator>
  <cp:keywords/>
  <dc:description/>
  <cp:lastModifiedBy>Paul Scholes</cp:lastModifiedBy>
  <cp:revision>4</cp:revision>
  <dcterms:created xsi:type="dcterms:W3CDTF">2025-01-29T20:14:00Z</dcterms:created>
  <dcterms:modified xsi:type="dcterms:W3CDTF">2025-02-05T21:44:00Z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id="SeahIK2u"/&gt;&lt;style id="http://www.zotero.org/styles/american-sociological-association" locale="en-US" hasBibliography="1" bibliographyStyleHasBeenSet="0"/&gt;&lt;prefs&gt;&lt;pref name="fieldType" value="Fiel</vt:lpwstr>
  </property>
  <property fmtid="{D5CDD505-2E9C-101B-9397-08002B2CF9AE}" pid="3" name="ZOTERO_PREF_2">
    <vt:lpwstr>d"/&gt;&lt;pref name="automaticJournalAbbreviations" value="true"/&gt;&lt;/prefs&gt;&lt;/data&gt;</vt:lpwstr>
  </property>
</Properties>
</file>