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6"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w:t>
      </w:r>
      <w:r>
        <w:t xml:space="preserve"> </w:t>
      </w:r>
      <w:r>
        <w:rPr>
          <w:iCs/>
          <w:i/>
        </w:rPr>
        <w:t xml:space="preserve">KCNJ5</w:t>
      </w:r>
      <w:r>
        <w:t xml:space="preserve"> </w:t>
      </w:r>
      <w:r>
        <w:t xml:space="preserve">mutations; “CACNA1D* is the second most commonly affected gene (about 20%). Other less common somatic mutations include mutations in the ATPases</w:t>
      </w:r>
      <w:r>
        <w:t xml:space="preserve"> </w:t>
      </w:r>
      <w:r>
        <w:rPr>
          <w:iCs/>
          <w:i/>
        </w:rPr>
        <w:t xml:space="preserve">ATP1A1</w:t>
      </w:r>
      <w:r>
        <w:t xml:space="preserve"> </w:t>
      </w:r>
      <w:r>
        <w:t xml:space="preserve">and</w:t>
      </w:r>
      <w:r>
        <w:t xml:space="preserve"> </w:t>
      </w:r>
      <w:r>
        <w:rPr>
          <w:iCs/>
          <w:i/>
        </w:rPr>
        <w:t xml:space="preserve">ATP2B3</w:t>
      </w:r>
      <w:r>
        <w:t xml:space="preserve"> </w:t>
      </w:r>
      <w:r>
        <w:t xml:space="preserve">and the gene encoding b-catenin,</w:t>
      </w:r>
      <w:r>
        <w:t xml:space="preserve"> </w:t>
      </w:r>
      <w:r>
        <w:rPr>
          <w:iCs/>
          <w:i/>
        </w:rPr>
        <w:t xml:space="preserve">CTNNB1</w:t>
      </w:r>
      <w:r>
        <w:t xml:space="preserve">.</w:t>
      </w:r>
    </w:p>
    <w:bookmarkEnd w:id="21"/>
    <w:bookmarkStart w:id="22" w:name="methods"/>
    <w:p>
      <w:pPr>
        <w:pStyle w:val="Heading2"/>
      </w:pPr>
      <w:r>
        <w:t xml:space="preserve">Methods</w:t>
      </w:r>
    </w:p>
    <w:bookmarkEnd w:id="22"/>
    <w:bookmarkStart w:id="23" w:name="results"/>
    <w:p>
      <w:pPr>
        <w:pStyle w:val="Heading2"/>
      </w:pPr>
      <w:r>
        <w:t xml:space="preserve">Results</w:t>
      </w:r>
    </w:p>
    <w:bookmarkEnd w:id="23"/>
    <w:bookmarkStart w:id="24" w:name="conclusion"/>
    <w:p>
      <w:pPr>
        <w:pStyle w:val="Heading2"/>
      </w:pPr>
      <w:r>
        <w:t xml:space="preserve">Conclusion</w:t>
      </w:r>
    </w:p>
    <w:bookmarkEnd w:id="24"/>
    <w:bookmarkStart w:id="25" w:name="outlook"/>
    <w:p>
      <w:pPr>
        <w:pStyle w:val="Heading2"/>
      </w:pPr>
      <w:r>
        <w:t xml:space="preserve">Outlook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2024-05-30T12:37:50Z</dcterms:created>
  <dcterms:modified xsi:type="dcterms:W3CDTF">2024-05-30T12:37:50Z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