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4"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(e.g.</w:t>
      </w:r>
      <w:r>
        <w:t xml:space="preserve"> </w:t>
      </w:r>
      <w:r>
        <w:t xml:space="preserve">(</w:t>
      </w:r>
      <w:hyperlink w:anchor="ref-choi_k_2011">
        <w:r>
          <w:rPr>
            <w:rStyle w:val="Hyperlink"/>
          </w:rPr>
          <w:t xml:space="preserve">Choi et al., 2011</w:t>
        </w:r>
      </w:hyperlink>
      <w:r>
        <w:t xml:space="preserve">)</w:t>
      </w:r>
      <w:r>
        <w:t xml:space="preserve">) mutations;</w:t>
      </w:r>
      <w:r>
        <w:t xml:space="preserve"> </w:t>
      </w:r>
      <w:r>
        <w:rPr>
          <w:iCs/>
          <w:i/>
        </w:rPr>
        <w:t xml:space="preserve">CACNA1D</w:t>
      </w:r>
      <w:r>
        <w:t xml:space="preserve"> </w:t>
      </w:r>
      <w:r>
        <w:t xml:space="preserve">is the second most commonly affected gene (about 20%; e.g.</w:t>
      </w:r>
      <w:r>
        <w:t xml:space="preserve"> </w:t>
      </w:r>
      <w:r>
        <w:t xml:space="preserve">(</w:t>
      </w:r>
      <w:hyperlink w:anchor="ref-scholl_somatic_2013">
        <w:r>
          <w:rPr>
            <w:rStyle w:val="Hyperlink"/>
          </w:rPr>
          <w:t xml:space="preserve">Scholl et al., 2013</w:t>
        </w:r>
      </w:hyperlink>
      <w:r>
        <w:t xml:space="preserve">)</w:t>
      </w:r>
      <w:r>
        <w:t xml:space="preserve">).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5" w:name="methods"/>
    <w:p>
      <w:pPr>
        <w:pStyle w:val="Heading2"/>
      </w:pPr>
      <w:r>
        <w:t xml:space="preserve">Methods</w:t>
      </w:r>
    </w:p>
    <w:bookmarkStart w:id="22" w:name="sample-selection-and-preparation"/>
    <w:p>
      <w:pPr>
        <w:pStyle w:val="Heading3"/>
      </w:pPr>
      <w:r>
        <w:t xml:space="preserve">Sample selection and preparation</w:t>
      </w:r>
    </w:p>
    <w:p>
      <w:pPr>
        <w:pStyle w:val="FirstParagraph"/>
      </w:pPr>
      <w:r>
        <w:t xml:space="preserve">Archived formalin-fixed paraffin-embedded (FFPE) material was selected from individuals with primary aldosteronism.</w:t>
      </w:r>
    </w:p>
    <w:bookmarkEnd w:id="22"/>
    <w:bookmarkStart w:id="23" w:name="Xbfcff54778b7f0e755e04156009cdaff1bac1f4"/>
    <w:p>
      <w:pPr>
        <w:pStyle w:val="Heading3"/>
      </w:pPr>
      <w:r>
        <w:t xml:space="preserve">Targeted Sanger sequencing for known mutations</w:t>
      </w:r>
    </w:p>
    <w:bookmarkEnd w:id="23"/>
    <w:bookmarkStart w:id="24" w:name="X2e6a638c1d2525325ec831de06df4c9d3f946f0"/>
    <w:p>
      <w:pPr>
        <w:pStyle w:val="Heading3"/>
      </w:pPr>
      <w:r>
        <w:t xml:space="preserve">Analysis of high-throughput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4"/>
    <w:bookmarkEnd w:id="25"/>
    <w:bookmarkStart w:id="26" w:name="results"/>
    <w:p>
      <w:pPr>
        <w:pStyle w:val="Heading2"/>
      </w:pPr>
      <w:r>
        <w:t xml:space="preserve">Results</w:t>
      </w:r>
    </w:p>
    <w:bookmarkEnd w:id="26"/>
    <w:bookmarkStart w:id="27" w:name="conclusion"/>
    <w:p>
      <w:pPr>
        <w:pStyle w:val="Heading2"/>
      </w:pPr>
      <w:r>
        <w:t xml:space="preserve">Conclusion</w:t>
      </w:r>
    </w:p>
    <w:bookmarkEnd w:id="27"/>
    <w:bookmarkStart w:id="33" w:name="outlook"/>
    <w:p>
      <w:pPr>
        <w:pStyle w:val="Heading2"/>
      </w:pPr>
      <w:r>
        <w:t xml:space="preserve">Outlook</w:t>
      </w:r>
    </w:p>
    <w:bookmarkStart w:id="32" w:name="refs"/>
    <w:bookmarkStart w:id="29" w:name="ref-choi_k_2011"/>
    <w:p>
      <w:pPr>
        <w:pStyle w:val="Bibliography"/>
      </w:pPr>
      <w:r>
        <w:t xml:space="preserve">Choi, M., Scholl, U. I., Yue, P., Björklund, P., Zhao, B., Nelson-Williams, C., Ji, W., Cho, Y., Patel, A., Men, C. J., Lolis, E., Wisgerhof, M. V., Geller, D. S., Mane, S., Hellman, P., Westin, G., Åkerström, G., Wang, W., Carling, T., &amp; Lifton, R. P. (2011). K</w:t>
      </w:r>
      <w:r>
        <w:t xml:space="preserve"> </w:t>
      </w:r>
      <m:oMath>
        <m:sSup>
          <m:e>
            <m:r>
              <m:t>​</m:t>
            </m:r>
          </m:e>
          <m:sup>
            <m:r>
              <m:rPr>
                <m:nor/>
                <m:sty m:val="p"/>
              </m:rPr>
              <m:t>+</m:t>
            </m:r>
          </m:sup>
        </m:sSup>
      </m:oMath>
      <w:r>
        <w:t xml:space="preserve"> </w:t>
      </w:r>
      <w:r>
        <w:t xml:space="preserve">Channel</w:t>
      </w:r>
      <w:r>
        <w:t xml:space="preserve"> </w:t>
      </w:r>
      <w:r>
        <w:t xml:space="preserve">Mutations</w:t>
      </w:r>
      <w:r>
        <w:t xml:space="preserve"> </w:t>
      </w:r>
      <w:r>
        <w:t xml:space="preserve">in</w:t>
      </w:r>
      <w:r>
        <w:t xml:space="preserve"> </w:t>
      </w:r>
      <w:r>
        <w:t xml:space="preserve">Adrenal</w:t>
      </w:r>
      <w:r>
        <w:t xml:space="preserve"> </w:t>
      </w:r>
      <w:r>
        <w:t xml:space="preserve">Aldosterone</w:t>
      </w:r>
      <w:r>
        <w:t xml:space="preserve">-</w:t>
      </w:r>
      <w:r>
        <w:t xml:space="preserve">Producing</w:t>
      </w:r>
      <w:r>
        <w:t xml:space="preserve"> </w:t>
      </w:r>
      <w:r>
        <w:t xml:space="preserve">Adenomas</w:t>
      </w:r>
      <w:r>
        <w:t xml:space="preserve"> </w:t>
      </w:r>
      <w:r>
        <w:t xml:space="preserve">and</w:t>
      </w:r>
      <w:r>
        <w:t xml:space="preserve"> </w:t>
      </w:r>
      <w:r>
        <w:t xml:space="preserve">Hereditary</w:t>
      </w:r>
      <w:r>
        <w:t xml:space="preserve"> </w:t>
      </w:r>
      <w:r>
        <w:t xml:space="preserve">Hypertension</w:t>
      </w:r>
      <w:r>
        <w:t xml:space="preserve">.</w:t>
      </w:r>
      <w:r>
        <w:t xml:space="preserve"> </w:t>
      </w:r>
      <w:r>
        <w:rPr>
          <w:iCs/>
          <w:i/>
        </w:rPr>
        <w:t xml:space="preserve">Science</w:t>
      </w:r>
      <w:r>
        <w:t xml:space="preserve">,</w:t>
      </w:r>
      <w:r>
        <w:t xml:space="preserve"> </w:t>
      </w:r>
      <w:r>
        <w:rPr>
          <w:iCs/>
          <w:i/>
        </w:rPr>
        <w:t xml:space="preserve">331</w:t>
      </w:r>
      <w:r>
        <w:t xml:space="preserve">(6018), 768–772.</w:t>
      </w:r>
      <w:r>
        <w:t xml:space="preserve"> </w:t>
      </w:r>
      <w:hyperlink r:id="rId28">
        <w:r>
          <w:rPr>
            <w:rStyle w:val="Hyperlink"/>
          </w:rPr>
          <w:t xml:space="preserve">https://doi.org/10.1126/science.1198785</w:t>
        </w:r>
      </w:hyperlink>
    </w:p>
    <w:bookmarkEnd w:id="29"/>
    <w:bookmarkStart w:id="31" w:name="ref-scholl_somatic_2013"/>
    <w:p>
      <w:pPr>
        <w:pStyle w:val="Bibliography"/>
      </w:pPr>
      <w:r>
        <w:t xml:space="preserve">Scholl, U. I., Goh, G., Stölting, G., Oliveira, R. C. de, Choi, M., Overton, J. D., Fonseca, A. L., Korah, R., Starker, L. F., Kunstman, J. W., Prasad, M. L., Hartung, E. A., Mauras, N., Benson, M. R., Brady, T., Shapiro, J. R., Loring, E., Nelson-Williams, C., Libutti, S. K., … Lifton, R. P. (2013). Somatic and germline</w:t>
      </w:r>
      <w:r>
        <w:t xml:space="preserve"> </w:t>
      </w:r>
      <w:r>
        <w:t xml:space="preserve">CACNA1D</w:t>
      </w:r>
      <w:r>
        <w:t xml:space="preserve"> </w:t>
      </w:r>
      <w:r>
        <w:t xml:space="preserve">calcium channel mutations in aldosterone-producing adenomas and primary aldosteronism.</w:t>
      </w:r>
      <w:r>
        <w:t xml:space="preserve"> </w:t>
      </w:r>
      <w:r>
        <w:rPr>
          <w:iCs/>
          <w:i/>
        </w:rPr>
        <w:t xml:space="preserve">Nature Genetics</w:t>
      </w:r>
      <w:r>
        <w:t xml:space="preserve">,</w:t>
      </w:r>
      <w:r>
        <w:t xml:space="preserve"> </w:t>
      </w:r>
      <w:r>
        <w:rPr>
          <w:iCs/>
          <w:i/>
        </w:rPr>
        <w:t xml:space="preserve">45</w:t>
      </w:r>
      <w:r>
        <w:t xml:space="preserve">(9), 1050–1054.</w:t>
      </w:r>
      <w:r>
        <w:t xml:space="preserve"> </w:t>
      </w:r>
      <w:hyperlink r:id="rId30">
        <w:r>
          <w:rPr>
            <w:rStyle w:val="Hyperlink"/>
          </w:rPr>
          <w:t xml:space="preserve">https://doi.org/10.1038/ng.2695</w:t>
        </w:r>
      </w:hyperlink>
    </w:p>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38/ng.2695" TargetMode="External" /><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38/ng.2695" TargetMode="External" /><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2024-05-30T15:25:17Z</dcterms:created>
  <dcterms:modified xsi:type="dcterms:W3CDTF">2024-05-30T15:25:17Z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