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radeGothic LT Bold" w:hAnsi="TradeGothic LT Bold"/>
          <w:b/>
          <w:b/>
          <w:bCs/>
          <w:sz w:val="48"/>
          <w:szCs w:val="48"/>
        </w:rPr>
      </w:pPr>
      <w:r>
        <w:rPr>
          <w:rFonts w:ascii="TradeGothic LT Bold" w:hAnsi="TradeGothic LT Bold"/>
          <w:b/>
          <w:bCs/>
          <w:sz w:val="48"/>
          <w:szCs w:val="48"/>
        </w:rPr>
        <w:t>TO(D/C) Residential Mobility / Displacement</w:t>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b/>
          <w:bCs/>
          <w:i/>
          <w:iCs/>
        </w:rPr>
        <w:t>Authors</w:t>
      </w:r>
      <w:r>
        <w:rPr>
          <w:rFonts w:ascii="Source Serif Pro" w:hAnsi="Source Serif Pro"/>
        </w:rPr>
        <w:t>: Amir, Jeff, Karen</w:t>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b/>
          <w:bCs/>
          <w:i/>
          <w:iCs/>
        </w:rPr>
        <w:t>Acknowledgments</w:t>
      </w:r>
      <w:r>
        <w:rPr>
          <w:rFonts w:ascii="Source Serif Pro" w:hAnsi="Source Serif Pro"/>
        </w:rPr>
        <w:t>: Thanks to Emrie for collecting census data, An for initial descriptive data analysis, others? RDC folks that helped Amir? Other help from my RAs that we get for doing graphics</w:t>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rPr>
      </w:r>
    </w:p>
    <w:p>
      <w:pPr>
        <w:pStyle w:val="Normal"/>
        <w:bidi w:val="0"/>
        <w:jc w:val="left"/>
        <w:rPr>
          <w:rFonts w:ascii="TradeGothic LT Bold" w:hAnsi="TradeGothic LT Bold"/>
          <w:sz w:val="40"/>
          <w:szCs w:val="40"/>
        </w:rPr>
      </w:pPr>
      <w:r>
        <w:rPr>
          <w:rFonts w:ascii="TradeGothic LT Bold" w:hAnsi="TradeGothic LT Bold"/>
          <w:sz w:val="40"/>
          <w:szCs w:val="40"/>
        </w:rPr>
        <w:t>1. Introduction</w:t>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rPr>
        <w:t>Karen to write background/motivation text… link to key literature etc.</w:t>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rPr>
      </w:r>
    </w:p>
    <w:p>
      <w:pPr>
        <w:pStyle w:val="Normal"/>
        <w:bidi w:val="0"/>
        <w:jc w:val="left"/>
        <w:rPr>
          <w:rFonts w:ascii="Source Serif Pro" w:hAnsi="Source Serif Pro"/>
        </w:rPr>
      </w:pPr>
      <w:r>
        <w:rPr>
          <w:rFonts w:ascii="Source Serif Pro" w:hAnsi="Source Serif Pro"/>
          <w:b w:val="false"/>
          <w:bCs w:val="false"/>
        </w:rPr>
        <w:t>Analysis steps:</w:t>
      </w:r>
    </w:p>
    <w:p>
      <w:pPr>
        <w:pStyle w:val="Normal"/>
        <w:numPr>
          <w:ilvl w:val="0"/>
          <w:numId w:val="1"/>
        </w:numPr>
        <w:bidi w:val="0"/>
        <w:jc w:val="left"/>
        <w:rPr>
          <w:rFonts w:ascii="Source Serif Pro" w:hAnsi="Source Serif Pro"/>
          <w:b w:val="false"/>
          <w:b w:val="false"/>
          <w:bCs w:val="false"/>
        </w:rPr>
      </w:pPr>
      <w:r>
        <w:rPr>
          <w:rFonts w:ascii="Source Serif Pro" w:hAnsi="Source Serif Pro"/>
          <w:b w:val="false"/>
          <w:bCs w:val="false"/>
        </w:rPr>
        <w:t>Collect data on residential mobility and built environment change near major transit stations across Canada</w:t>
      </w:r>
    </w:p>
    <w:p>
      <w:pPr>
        <w:pStyle w:val="Normal"/>
        <w:numPr>
          <w:ilvl w:val="0"/>
          <w:numId w:val="1"/>
        </w:numPr>
        <w:bidi w:val="0"/>
        <w:jc w:val="left"/>
        <w:rPr>
          <w:rFonts w:ascii="Source Serif Pro" w:hAnsi="Source Serif Pro"/>
          <w:b w:val="false"/>
          <w:b w:val="false"/>
          <w:bCs w:val="false"/>
        </w:rPr>
      </w:pPr>
      <w:r>
        <w:rPr>
          <w:rFonts w:ascii="Source Serif Pro" w:hAnsi="Source Serif Pro"/>
          <w:b w:val="false"/>
          <w:bCs w:val="false"/>
        </w:rPr>
        <w:t>Join this data to summarize historically who has moved in- and out- from stations by income-level. Which station areas have been inclusive, which have not?</w:t>
      </w:r>
    </w:p>
    <w:p>
      <w:pPr>
        <w:pStyle w:val="Normal"/>
        <w:numPr>
          <w:ilvl w:val="0"/>
          <w:numId w:val="1"/>
        </w:numPr>
        <w:bidi w:val="0"/>
        <w:jc w:val="left"/>
        <w:rPr>
          <w:rFonts w:ascii="Source Serif Pro" w:hAnsi="Source Serif Pro"/>
          <w:b w:val="false"/>
          <w:b w:val="false"/>
          <w:bCs w:val="false"/>
        </w:rPr>
      </w:pPr>
      <w:r>
        <w:rPr>
          <w:rFonts w:ascii="Source Serif Pro" w:hAnsi="Source Serif Pro"/>
          <w:b w:val="false"/>
          <w:bCs w:val="false"/>
        </w:rPr>
        <w:t>Use this data to estimate individual-level models describing what is the propensity for someone to move based on demographic and socioeconomic co-variates (e.g. low-income status) as well as built environment changes (e.g. building 1-bedroom high-rise compared to more mixed use development)</w:t>
      </w:r>
    </w:p>
    <w:p>
      <w:pPr>
        <w:pStyle w:val="Normal"/>
        <w:numPr>
          <w:ilvl w:val="0"/>
          <w:numId w:val="1"/>
        </w:numPr>
        <w:bidi w:val="0"/>
        <w:jc w:val="left"/>
        <w:rPr>
          <w:rFonts w:ascii="Source Serif Pro" w:hAnsi="Source Serif Pro"/>
          <w:b w:val="false"/>
          <w:b w:val="false"/>
          <w:bCs w:val="false"/>
        </w:rPr>
      </w:pPr>
      <w:r>
        <w:rPr>
          <w:rFonts w:ascii="Source Serif Pro" w:hAnsi="Source Serif Pro"/>
          <w:b w:val="false"/>
          <w:bCs w:val="false"/>
        </w:rPr>
        <w:t>Use these models to look at our 10 scenarios (across 5 case studies) to analyze what would be the estimated total number of low-income residents who would move i.e. an estimate of how much ‘affordable’ housing should be protected</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 xml:space="preserve"> </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b/>
          <w:bCs/>
          <w:sz w:val="40"/>
          <w:szCs w:val="40"/>
        </w:rPr>
      </w:pPr>
      <w:r>
        <w:rPr>
          <w:rFonts w:ascii="TradeGothic LT Bold" w:hAnsi="TradeGothic LT Bold"/>
          <w:b/>
          <w:bCs/>
          <w:sz w:val="40"/>
          <w:szCs w:val="40"/>
        </w:rPr>
        <w:t>2. Data</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 xml:space="preserve">The first dataset we use is one that marks the location of every major rail transit station in Canada that opened between 1990 and 2016. </w:t>
      </w:r>
      <w:r>
        <w:rPr>
          <w:rFonts w:ascii="Source Serif Pro" w:hAnsi="Source Serif Pro"/>
          <w:b w:val="false"/>
          <w:bCs w:val="false"/>
        </w:rPr>
        <w:t xml:space="preserve">Cities included (i.e. that had rail transit stations that opened during this time period) are </w:t>
      </w:r>
      <w:r>
        <w:rPr>
          <w:rFonts w:ascii="Source Serif Pro" w:hAnsi="Source Serif Pro"/>
          <w:b w:val="false"/>
          <w:bCs w:val="false"/>
        </w:rPr>
        <w:t xml:space="preserve">Vancouver, Calgary, Edmonton, Toronto, and Montreal. These years were selected because of availability of tax-record data that we used to analyze residential mobility described. </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We then used historical census data to track what development, in terms of dwelling characteristics, were built before and after each of these stations opened. The census is conducted every 5 years, so for each station we picked the two census years that aligns closest with 5 years before and 5 years after the station’s opening date. We specifically looked variables on number of dwellings, bedrooms per dwelling, and dwelling type (e.g. single detached, semi/row/town, apartments less than 5 stories, and apartments greater than 5 stories). There were some variations in each census year in terms of how questions were asked and how data was made available. For example, in older censuses, number of bedrooms were only reported as an average within an area, while more recent censuses the data include number of units by dwellings by number of bedrooms (e.g. 500 one-bedroom dwellings, 400 two-bedroom dwellings, etc.). Because the goal was to track change over time, we needed consistent data, so we consolidated dwelling type categories as needed, and in the case of bedrooms, used the average due to lack of historical data.</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For tracking residential mobility of residents, we used the Longitudinal Administrative Databank (LAD) (</w:t>
      </w:r>
      <w:hyperlink r:id="rId2">
        <w:r>
          <w:rPr>
            <w:rStyle w:val="InternetLink"/>
            <w:rFonts w:ascii="Source Serif Pro" w:hAnsi="Source Serif Pro"/>
            <w:b w:val="false"/>
            <w:bCs w:val="false"/>
          </w:rPr>
          <w:t>https://www23.statcan.gc.ca/imdb/p2SV.pl?Function=getSurvey&amp;SDDS=4107</w:t>
        </w:r>
      </w:hyperlink>
      <w:r>
        <w:rPr>
          <w:rFonts w:ascii="Source Serif Pro" w:hAnsi="Source Serif Pro"/>
          <w:b w:val="false"/>
          <w:bCs w:val="false"/>
        </w:rPr>
        <w:t xml:space="preserve">). This is a 20% sample of tax filers across Canada assembled on an annual basis from 1982 to 2022. Because of privacy issues, the data are accessed at a secure Research Data Centre operated by Statistics Canada. Included in the data are variables on demographics, household composition, as well as the census tract and six-digit postal code of each person's home address on December 31st of each year.  Importantly, the data also include a variable for low-income status, the Low-Income Measure (LIM), that we use for our analysis. This is a poverty line created by Statistics Canada (LINK), defined as half of the median household income in a region, where income is adjusted by the square root of household size. This accounts for the diminishing increase of monetary needs as a household increases in size. For our analysis, we term residents under this threshold at time t as “low-income” and those above as “non-low-income”. </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The main limitations of this data is not knowing why people move, just whether or not they do. This means we cannot tell the difference between people who move because they’re forced out (e.g. displaced via eviction or cannot afford increased rents) and those who move by choice (e.g. wanting to be closer to family, to move closer to work or school, or needing more space due to increase in household size). Even more “voluntary” moves like wanting more bedrooms can still be shaped by limited options if affordable suitable housing isn’t available nearby. As a result, this data alone cannot show whether moves directly reflect displacement pressures or more routine residential changes, but it can be a signal of it, especially if moving rates are different relative to those for the overall population.</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b/>
          <w:bCs/>
          <w:sz w:val="40"/>
          <w:szCs w:val="40"/>
        </w:rPr>
      </w:pPr>
      <w:r>
        <w:rPr>
          <w:rFonts w:ascii="TradeGothic LT Bold" w:hAnsi="TradeGothic LT Bold"/>
          <w:b/>
          <w:bCs/>
          <w:sz w:val="40"/>
          <w:szCs w:val="40"/>
        </w:rPr>
        <w:t>3. Historical residential mobility analysis</w:t>
      </w:r>
    </w:p>
    <w:p>
      <w:pPr>
        <w:pStyle w:val="Normal"/>
        <w:bidi w:val="0"/>
        <w:jc w:val="left"/>
        <w:rPr>
          <w:rFonts w:ascii="Source Serif Pro" w:hAnsi="Source Serif Pro"/>
          <w:b/>
          <w:b/>
          <w:bCs/>
        </w:rPr>
      </w:pPr>
      <w:r>
        <w:rPr>
          <w:rFonts w:ascii="Source Serif Pro" w:hAnsi="Source Serif Pro"/>
          <w:b/>
          <w:bCs/>
        </w:rPr>
      </w:r>
    </w:p>
    <w:p>
      <w:pPr>
        <w:pStyle w:val="Normal"/>
        <w:bidi w:val="0"/>
        <w:jc w:val="left"/>
        <w:rPr>
          <w:rFonts w:ascii="Source Serif Pro" w:hAnsi="Source Serif Pro"/>
          <w:b w:val="false"/>
          <w:b w:val="false"/>
          <w:bCs w:val="false"/>
        </w:rPr>
      </w:pPr>
      <w:r>
        <w:rPr>
          <w:rFonts w:ascii="Source Serif Pro" w:hAnsi="Source Serif Pro"/>
          <w:b w:val="false"/>
          <w:bCs w:val="false"/>
        </w:rPr>
        <w:t>We looked at 7</w:t>
      </w:r>
      <w:r>
        <w:rPr>
          <w:rFonts w:ascii="Source Serif Pro" w:hAnsi="Source Serif Pro"/>
          <w:b w:val="false"/>
          <w:bCs w:val="false"/>
        </w:rPr>
        <w:t>6</w:t>
      </w:r>
      <w:r>
        <w:rPr>
          <w:rFonts w:ascii="Source Serif Pro" w:hAnsi="Source Serif Pro"/>
          <w:b w:val="false"/>
          <w:bCs w:val="false"/>
        </w:rPr>
        <w:t xml:space="preserve"> major rail transit stations built from 1990 to 2016 and queried the LAD to count how many in- and out-movers there were near the station (within an 800m buffer of the station area) 5 years before and after the station opened. </w:t>
      </w:r>
      <w:r>
        <w:rPr>
          <w:rFonts w:ascii="Source Serif Pro" w:hAnsi="Source Serif Pro"/>
          <w:b w:val="false"/>
          <w:bCs w:val="false"/>
        </w:rPr>
        <w:t xml:space="preserve">There were a few more stations that opened during this time, but we did not include them due to lack of data availability. </w:t>
      </w:r>
      <w:r>
        <w:rPr>
          <w:rFonts w:ascii="Source Serif Pro" w:hAnsi="Source Serif Pro"/>
          <w:b w:val="false"/>
          <w:bCs w:val="false"/>
        </w:rPr>
        <w:t>We also queried overall moving rates by Census Metropolitan Area (CMA) to make relative comparisons (e.g. are residents moving more in/out of a station area more or less relative to the residents elsewhere in the region)</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Importantly, we queried the data to breakdown by low- and non-low-income residents, to analyze whether, and if so, where:</w:t>
      </w:r>
    </w:p>
    <w:p>
      <w:pPr>
        <w:pStyle w:val="Normal"/>
        <w:numPr>
          <w:ilvl w:val="0"/>
          <w:numId w:val="2"/>
        </w:numPr>
        <w:bidi w:val="0"/>
        <w:jc w:val="left"/>
        <w:rPr>
          <w:rFonts w:ascii="Source Serif Pro" w:hAnsi="Source Serif Pro"/>
          <w:b w:val="false"/>
          <w:b w:val="false"/>
          <w:bCs w:val="false"/>
        </w:rPr>
      </w:pPr>
      <w:r>
        <w:rPr>
          <w:rFonts w:ascii="Source Serif Pro" w:hAnsi="Source Serif Pro"/>
          <w:b w:val="false"/>
          <w:bCs w:val="false"/>
        </w:rPr>
        <w:t>Where low income residents are moving out at above-average rates (i.e. signal of displacement) and below-average rates (i.e. signal of maintaining affordable housing)</w:t>
      </w:r>
    </w:p>
    <w:p>
      <w:pPr>
        <w:pStyle w:val="Normal"/>
        <w:numPr>
          <w:ilvl w:val="0"/>
          <w:numId w:val="2"/>
        </w:numPr>
        <w:bidi w:val="0"/>
        <w:jc w:val="left"/>
        <w:rPr>
          <w:rFonts w:ascii="Source Serif Pro" w:hAnsi="Source Serif Pro"/>
          <w:b w:val="false"/>
          <w:b w:val="false"/>
          <w:bCs w:val="false"/>
        </w:rPr>
      </w:pPr>
      <w:r>
        <w:rPr>
          <w:rFonts w:ascii="Source Serif Pro" w:hAnsi="Source Serif Pro"/>
          <w:b w:val="false"/>
          <w:bCs w:val="false"/>
        </w:rPr>
        <w:t>Low-income residents were moving in at below-average rates (i.e. is the station area becoming more exclusive) or above-average rates (i.e. new development is accessible for low-income residents).</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b/>
          <w:bCs/>
        </w:rPr>
      </w:pPr>
      <w:r>
        <w:rPr>
          <w:rFonts w:ascii="Source Serif Pro" w:hAnsi="Source Serif Pro"/>
          <w:b/>
          <w:bCs/>
        </w:rPr>
      </w:r>
    </w:p>
    <w:p>
      <w:pPr>
        <w:pStyle w:val="Normal"/>
        <w:bidi w:val="0"/>
        <w:jc w:val="left"/>
        <w:rPr>
          <w:rFonts w:ascii="Source Serif Pro" w:hAnsi="Source Serif Pro"/>
          <w:b/>
          <w:b/>
          <w:bCs/>
        </w:rPr>
      </w:pPr>
      <w:r>
        <w:rPr>
          <w:rFonts w:ascii="Source Serif Pro" w:hAnsi="Source Serif Pro"/>
          <w:b/>
          <w:bCs/>
        </w:rPr>
      </w:r>
    </w:p>
    <w:p>
      <w:pPr>
        <w:pStyle w:val="Normal"/>
        <w:bidi w:val="0"/>
        <w:jc w:val="left"/>
        <w:rPr>
          <w:rFonts w:ascii="Source Serif Pro" w:hAnsi="Source Serif Pro"/>
          <w:b/>
          <w:b/>
          <w:bCs/>
        </w:rPr>
      </w:pPr>
      <w:r>
        <w:rPr>
          <w:rFonts w:ascii="Source Serif Pro" w:hAnsi="Source Serif Pro"/>
          <w:b/>
          <w:bCs/>
        </w:rPr>
      </w:r>
    </w:p>
    <w:p>
      <w:pPr>
        <w:pStyle w:val="Normal"/>
        <w:bidi w:val="0"/>
        <w:jc w:val="left"/>
        <w:rPr>
          <w:rFonts w:ascii="TradeGothic LT Bold" w:hAnsi="TradeGothic LT Bold"/>
          <w:b/>
          <w:b/>
          <w:bCs/>
          <w:sz w:val="40"/>
          <w:szCs w:val="40"/>
        </w:rPr>
      </w:pPr>
      <w:r>
        <w:rPr>
          <w:rFonts w:ascii="TradeGothic LT Bold" w:hAnsi="TradeGothic LT Bold"/>
          <w:b/>
          <w:bCs/>
          <w:sz w:val="40"/>
          <w:szCs w:val="40"/>
        </w:rPr>
        <w:t>4. Residential mobility models</w:t>
      </w:r>
    </w:p>
    <w:p>
      <w:pPr>
        <w:pStyle w:val="Normal"/>
        <w:bidi w:val="0"/>
        <w:jc w:val="left"/>
        <w:rPr>
          <w:rFonts w:ascii="TradeGothic LT Bold" w:hAnsi="TradeGothic LT Bold"/>
          <w:b/>
          <w:b/>
          <w:bCs/>
          <w:sz w:val="32"/>
          <w:szCs w:val="32"/>
        </w:rPr>
      </w:pPr>
      <w:r>
        <w:rPr>
          <w:rFonts w:ascii="TradeGothic LT Bold" w:hAnsi="TradeGothic LT Bold"/>
          <w:b/>
          <w:bCs/>
          <w:sz w:val="32"/>
          <w:szCs w:val="32"/>
        </w:rPr>
      </w:r>
    </w:p>
    <w:p>
      <w:pPr>
        <w:pStyle w:val="Normal"/>
        <w:bidi w:val="0"/>
        <w:jc w:val="left"/>
        <w:rPr>
          <w:rFonts w:ascii="Source Serif Pro" w:hAnsi="Source Serif Pro"/>
          <w:b w:val="false"/>
          <w:b w:val="false"/>
          <w:bCs w:val="false"/>
          <w:sz w:val="24"/>
          <w:szCs w:val="24"/>
        </w:rPr>
      </w:pPr>
      <w:r>
        <w:rPr>
          <w:rFonts w:ascii="Source Serif Pro" w:hAnsi="Source Serif Pro"/>
          <w:b w:val="false"/>
          <w:bCs w:val="false"/>
          <w:sz w:val="24"/>
          <w:szCs w:val="24"/>
        </w:rPr>
        <w:t>Amir to write summary of the model selection and interpreting results. Also include a table of the model coefficients.</w:t>
      </w:r>
    </w:p>
    <w:p>
      <w:pPr>
        <w:pStyle w:val="Normal"/>
        <w:bidi w:val="0"/>
        <w:jc w:val="left"/>
        <w:rPr>
          <w:rFonts w:ascii="Source Serif Pro" w:hAnsi="Source Serif Pro"/>
          <w:b w:val="false"/>
          <w:b w:val="false"/>
          <w:bCs w:val="false"/>
          <w:sz w:val="24"/>
          <w:szCs w:val="24"/>
        </w:rPr>
      </w:pPr>
      <w:r>
        <w:rPr>
          <w:rFonts w:ascii="Source Serif Pro" w:hAnsi="Source Serif Pro"/>
          <w:b w:val="false"/>
          <w:bCs w:val="false"/>
          <w:sz w:val="24"/>
          <w:szCs w:val="24"/>
        </w:rPr>
      </w:r>
    </w:p>
    <w:p>
      <w:pPr>
        <w:pStyle w:val="Normal"/>
        <w:bidi w:val="0"/>
        <w:jc w:val="left"/>
        <w:rPr>
          <w:rFonts w:ascii="TradeGothic LT Bold" w:hAnsi="TradeGothic LT Bold"/>
          <w:b/>
          <w:b/>
          <w:bCs/>
          <w:sz w:val="32"/>
          <w:szCs w:val="32"/>
        </w:rPr>
      </w:pPr>
      <w:r>
        <w:rPr>
          <w:rFonts w:ascii="TradeGothic LT Bold" w:hAnsi="TradeGothic LT Bold"/>
          <w:b/>
          <w:bCs/>
          <w:sz w:val="32"/>
          <w:szCs w:val="32"/>
        </w:rPr>
      </w:r>
    </w:p>
    <w:p>
      <w:pPr>
        <w:pStyle w:val="Normal"/>
        <w:bidi w:val="0"/>
        <w:jc w:val="left"/>
        <w:rPr>
          <w:rFonts w:ascii="TradeGothic LT Bold" w:hAnsi="TradeGothic LT Bold"/>
          <w:b/>
          <w:b/>
          <w:bCs/>
          <w:sz w:val="32"/>
          <w:szCs w:val="32"/>
        </w:rPr>
      </w:pPr>
      <w:r>
        <w:rPr>
          <w:rFonts w:ascii="TradeGothic LT Bold" w:hAnsi="TradeGothic LT Bold"/>
          <w:b/>
          <w:bCs/>
          <w:sz w:val="32"/>
          <w:szCs w:val="32"/>
        </w:rPr>
      </w:r>
    </w:p>
    <w:p>
      <w:pPr>
        <w:pStyle w:val="Normal"/>
        <w:bidi w:val="0"/>
        <w:jc w:val="left"/>
        <w:rPr>
          <w:rFonts w:ascii="TradeGothic LT Bold" w:hAnsi="TradeGothic LT Bold"/>
          <w:b/>
          <w:b/>
          <w:bCs/>
          <w:sz w:val="32"/>
          <w:szCs w:val="32"/>
        </w:rPr>
      </w:pPr>
      <w:r>
        <w:rPr>
          <w:rFonts w:ascii="TradeGothic LT Bold" w:hAnsi="TradeGothic LT Bold"/>
          <w:b/>
          <w:bCs/>
          <w:sz w:val="32"/>
          <w:szCs w:val="32"/>
        </w:rPr>
      </w:r>
    </w:p>
    <w:p>
      <w:pPr>
        <w:pStyle w:val="Normal"/>
        <w:bidi w:val="0"/>
        <w:jc w:val="left"/>
        <w:rPr>
          <w:rFonts w:ascii="TradeGothic LT Bold" w:hAnsi="TradeGothic LT Bold"/>
          <w:b/>
          <w:b/>
          <w:bCs/>
          <w:sz w:val="40"/>
          <w:szCs w:val="40"/>
        </w:rPr>
      </w:pPr>
      <w:r>
        <w:rPr>
          <w:rFonts w:ascii="TradeGothic LT Bold" w:hAnsi="TradeGothic LT Bold"/>
          <w:b/>
          <w:bCs/>
          <w:sz w:val="40"/>
          <w:szCs w:val="40"/>
        </w:rPr>
        <w:t>5. Case study scenario analysis</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The Infrastructure Institute looked at 5 case study station areas and designed 2 future development scenarios for each (i.e. 10 scenarios in total). For each of these, we used the model above to estimate probability and total number of low-income residents who would move away from these station areas based on our model and scenario characteristics.</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 xml:space="preserve">We did this via a Monte Carlo simulation process, where we randomly sampled individuals, weighted by census data, and then used our residential mobility model to estimate their probability to move based on their sampled individual characteristics (age, gender, low-income status, etc.).  Data on the built environment change came from the Infrastructure Institute. The result for each simulation is an output probability (a number ranging from 0 to 1). This was probably was further used to randomly sample whether or not someone moved. For example, if the probability to move was 0.7, we used a random number generator that would return 70% of the time that that person moved, 30% they would not. The simulation was run for </w:t>
      </w:r>
      <w:r>
        <w:rPr>
          <w:rFonts w:ascii="Source Serif Pro" w:hAnsi="Source Serif Pro"/>
          <w:b w:val="false"/>
          <w:bCs w:val="false"/>
          <w:i/>
          <w:iCs/>
        </w:rPr>
        <w:t>P</w:t>
      </w:r>
      <w:r>
        <w:rPr>
          <w:rFonts w:ascii="Source Serif Pro" w:hAnsi="Source Serif Pro"/>
          <w:b w:val="false"/>
          <w:bCs w:val="false"/>
        </w:rPr>
        <w:t xml:space="preserve"> times, where </w:t>
      </w:r>
      <w:r>
        <w:rPr>
          <w:rFonts w:ascii="Source Serif Pro" w:hAnsi="Source Serif Pro"/>
          <w:b w:val="false"/>
          <w:bCs w:val="false"/>
          <w:i/>
          <w:iCs/>
        </w:rPr>
        <w:t>P</w:t>
      </w:r>
      <w:r>
        <w:rPr>
          <w:rFonts w:ascii="Source Serif Pro" w:hAnsi="Source Serif Pro"/>
          <w:b w:val="false"/>
          <w:bCs w:val="false"/>
        </w:rPr>
        <w:t xml:space="preserve"> is the population within 800m of the station in 2024. Results for each case study area are as follows.</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t>Overall, what we find is that there is little difference overall between the each scenario in each case study. The number of predicted low-income out-movers can be interpreted as the minimum amount of affordable housing … … ...</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t>5.1. Cooksville, Mississauga</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tbl>
      <w:tblPr>
        <w:tblW w:w="4987" w:type="dxa"/>
        <w:jc w:val="left"/>
        <w:tblInd w:w="28" w:type="dxa"/>
        <w:tblLayout w:type="fixed"/>
        <w:tblCellMar>
          <w:top w:w="28" w:type="dxa"/>
          <w:left w:w="28" w:type="dxa"/>
          <w:bottom w:w="28" w:type="dxa"/>
          <w:right w:w="28" w:type="dxa"/>
        </w:tblCellMar>
      </w:tblPr>
      <w:tblGrid>
        <w:gridCol w:w="3655"/>
        <w:gridCol w:w="1331"/>
      </w:tblGrid>
      <w:tr>
        <w:trPr>
          <w:trHeight w:val="311" w:hRule="atLeast"/>
        </w:trPr>
        <w:tc>
          <w:tcPr>
            <w:tcW w:w="3655" w:type="dxa"/>
            <w:tcBorders/>
            <w:vAlign w:val="bottom"/>
          </w:tcPr>
          <w:p>
            <w:pPr>
              <w:pStyle w:val="TableContents"/>
              <w:widowControl w:val="false"/>
              <w:bidi w:val="0"/>
              <w:jc w:val="left"/>
              <w:rPr/>
            </w:pPr>
            <w:r>
              <w:rPr/>
              <w:t>Current population</w:t>
            </w:r>
          </w:p>
        </w:tc>
        <w:tc>
          <w:tcPr>
            <w:tcW w:w="1331" w:type="dxa"/>
            <w:tcBorders/>
            <w:vAlign w:val="bottom"/>
          </w:tcPr>
          <w:p>
            <w:pPr>
              <w:pStyle w:val="TableContents"/>
              <w:widowControl w:val="false"/>
              <w:suppressLineNumbers/>
              <w:bidi w:val="0"/>
              <w:jc w:val="left"/>
              <w:rPr/>
            </w:pPr>
            <w:r>
              <w:rPr/>
            </w:r>
          </w:p>
        </w:tc>
      </w:tr>
      <w:tr>
        <w:trPr>
          <w:trHeight w:val="311" w:hRule="atLeast"/>
        </w:trPr>
        <w:tc>
          <w:tcPr>
            <w:tcW w:w="3655" w:type="dxa"/>
            <w:tcBorders/>
            <w:vAlign w:val="bottom"/>
          </w:tcPr>
          <w:p>
            <w:pPr>
              <w:pStyle w:val="TableContents"/>
              <w:widowControl w:val="false"/>
              <w:bidi w:val="0"/>
              <w:jc w:val="left"/>
              <w:rPr/>
            </w:pPr>
            <w:r>
              <w:rPr/>
              <w:t>Current low-income population</w:t>
            </w:r>
          </w:p>
        </w:tc>
        <w:tc>
          <w:tcPr>
            <w:tcW w:w="1331" w:type="dxa"/>
            <w:tcBorders/>
            <w:vAlign w:val="bottom"/>
          </w:tcPr>
          <w:p>
            <w:pPr>
              <w:pStyle w:val="TableContents"/>
              <w:widowControl w:val="false"/>
              <w:suppressLineNumbers/>
              <w:bidi w:val="0"/>
              <w:jc w:val="left"/>
              <w:rPr/>
            </w:pPr>
            <w:r>
              <w:rPr/>
            </w:r>
          </w:p>
        </w:tc>
      </w:tr>
      <w:tr>
        <w:trPr>
          <w:trHeight w:val="311" w:hRule="atLeast"/>
        </w:trPr>
        <w:tc>
          <w:tcPr>
            <w:tcW w:w="3655" w:type="dxa"/>
            <w:tcBorders/>
            <w:vAlign w:val="bottom"/>
          </w:tcPr>
          <w:p>
            <w:pPr>
              <w:pStyle w:val="TableContents"/>
              <w:widowControl w:val="false"/>
              <w:bidi w:val="0"/>
              <w:jc w:val="left"/>
              <w:rPr/>
            </w:pPr>
            <w:r>
              <w:rPr/>
              <w:t>Scenario A low-income out movers</w:t>
            </w:r>
          </w:p>
        </w:tc>
        <w:tc>
          <w:tcPr>
            <w:tcW w:w="1331" w:type="dxa"/>
            <w:tcBorders/>
            <w:vAlign w:val="bottom"/>
          </w:tcPr>
          <w:p>
            <w:pPr>
              <w:pStyle w:val="TableContents"/>
              <w:widowControl w:val="false"/>
              <w:suppressLineNumbers/>
              <w:bidi w:val="0"/>
              <w:jc w:val="left"/>
              <w:rPr/>
            </w:pPr>
            <w:r>
              <w:rPr/>
            </w:r>
          </w:p>
        </w:tc>
      </w:tr>
      <w:tr>
        <w:trPr>
          <w:trHeight w:val="311" w:hRule="atLeast"/>
        </w:trPr>
        <w:tc>
          <w:tcPr>
            <w:tcW w:w="3655" w:type="dxa"/>
            <w:tcBorders/>
            <w:vAlign w:val="bottom"/>
          </w:tcPr>
          <w:p>
            <w:pPr>
              <w:pStyle w:val="TableContents"/>
              <w:widowControl w:val="false"/>
              <w:bidi w:val="0"/>
              <w:jc w:val="left"/>
              <w:rPr/>
            </w:pPr>
            <w:r>
              <w:rPr/>
              <w:t>Scenario B low-Income out movers</w:t>
            </w:r>
          </w:p>
        </w:tc>
        <w:tc>
          <w:tcPr>
            <w:tcW w:w="1331" w:type="dxa"/>
            <w:tcBorders/>
            <w:vAlign w:val="bottom"/>
          </w:tcPr>
          <w:p>
            <w:pPr>
              <w:pStyle w:val="TableContents"/>
              <w:widowControl w:val="false"/>
              <w:suppressLineNumbers/>
              <w:bidi w:val="0"/>
              <w:jc w:val="left"/>
              <w:rPr/>
            </w:pPr>
            <w:r>
              <w:rPr/>
            </w:r>
          </w:p>
        </w:tc>
      </w:tr>
    </w:tbl>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t>5.2. Panama, Brossard</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t>5.3. McKernan-Belgravia, Edmonton</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t>5.4. Arbutus, Vancouver</w:t>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Source Serif Pro" w:hAnsi="Source Serif Pro"/>
          <w:b w:val="false"/>
          <w:b w:val="false"/>
          <w:bCs w:val="false"/>
        </w:rPr>
      </w:pPr>
      <w:r>
        <w:rPr>
          <w:rFonts w:ascii="Source Serif Pro" w:hAnsi="Source Serif Pro"/>
          <w:b w:val="false"/>
          <w:bCs w:val="false"/>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t>5.5. Northfield, Waterloo</w:t>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r>
    </w:p>
    <w:p>
      <w:pPr>
        <w:pStyle w:val="Normal"/>
        <w:bidi w:val="0"/>
        <w:jc w:val="left"/>
        <w:rPr>
          <w:rFonts w:ascii="TradeGothic LT Bold" w:hAnsi="TradeGothic LT Bold"/>
          <w:b w:val="false"/>
          <w:b w:val="false"/>
          <w:bCs w:val="false"/>
          <w:sz w:val="32"/>
          <w:szCs w:val="32"/>
        </w:rPr>
      </w:pPr>
      <w:r>
        <w:rPr>
          <w:rFonts w:ascii="TradeGothic LT Bold" w:hAnsi="TradeGothic LT Bold"/>
          <w:b w:val="false"/>
          <w:bCs w:val="false"/>
          <w:sz w:val="32"/>
          <w:szCs w:val="32"/>
        </w:rPr>
      </w:r>
    </w:p>
    <w:p>
      <w:pPr>
        <w:pStyle w:val="Normal"/>
        <w:bidi w:val="0"/>
        <w:jc w:val="left"/>
        <w:rPr>
          <w:rFonts w:ascii="TradeGothic LT Bold" w:hAnsi="TradeGothic LT Bold"/>
          <w:b w:val="false"/>
          <w:b w:val="false"/>
          <w:bCs w:val="false"/>
          <w:sz w:val="32"/>
          <w:szCs w:val="32"/>
        </w:rPr>
      </w:pPr>
      <w:r>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radeGothic LT Bold">
    <w:charset w:val="01"/>
    <w:family w:val="roman"/>
    <w:pitch w:val="variable"/>
  </w:font>
  <w:font w:name="Source Serif Pro">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NumberingSymbols">
    <w:name w:val="Numbering Symbols"/>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23.statcan.gc.ca/imdb/p2SV.pl?Function=getSurvey&amp;SDDS=410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85</TotalTime>
  <Application>LibreOffice/7.3.7.2$Linux_X86_64 LibreOffice_project/30$Build-2</Application>
  <AppVersion>15.0000</AppVersion>
  <Pages>5</Pages>
  <Words>1202</Words>
  <Characters>6390</Characters>
  <CharactersWithSpaces>7556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2025-10-30T12:01:01Z</dcterms:created>
  <dc:creator>Jeff Allen</dc:creator>
  <dc:description/>
  <dc:language>en-US</dc:language>
  <cp:lastModifiedBy>Jeff Allen</cp:lastModifiedBy>
  <dcterms:modified xsi:type="dcterms:W3CDTF">2025-10-30T16:28:17Z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