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radeGothic LT Bold" w:hAnsi="TradeGothic LT Bold"/>
          <w:b/>
          <w:b/>
          <w:bCs/>
          <w:sz w:val="48"/>
          <w:szCs w:val="48"/>
        </w:rPr>
      </w:pPr>
      <w:r>
        <w:rPr/>
      </w:r>
    </w:p>
    <w:p>
      <w:pPr>
        <w:pStyle w:val="Normal"/>
        <w:rPr>
          <w:rFonts w:ascii="TradeGothic LT Bold" w:hAnsi="TradeGothic LT Bold"/>
          <w:b/>
          <w:b/>
          <w:bCs/>
          <w:sz w:val="48"/>
          <w:szCs w:val="48"/>
        </w:rPr>
      </w:pPr>
      <w:r>
        <w:rPr/>
      </w:r>
    </w:p>
    <w:p>
      <w:pPr>
        <w:pStyle w:val="Normal"/>
        <w:rPr>
          <w:rFonts w:ascii="TradeGothic LT Bold" w:hAnsi="TradeGothic LT Bold"/>
          <w:b/>
          <w:b/>
          <w:bCs/>
          <w:sz w:val="48"/>
          <w:szCs w:val="48"/>
        </w:rPr>
      </w:pPr>
      <w:commentRangeStart w:id="0"/>
      <w:r>
        <w:rPr>
          <w:rFonts w:ascii="TradeGothic LT Bold" w:hAnsi="TradeGothic LT Bold"/>
          <w:b/>
          <w:bCs/>
          <w:sz w:val="48"/>
          <w:szCs w:val="48"/>
        </w:rPr>
        <w:t>When transit comes, who moves out and who moves in? Historical analysis and scenario modelling of Canadian cities.</w:t>
      </w:r>
      <w:commentRangeEnd w:id="0"/>
      <w:r>
        <w:commentReference w:id="0"/>
      </w:r>
      <w:r>
        <w:rPr>
          <w:rFonts w:ascii="TradeGothic LT Bold" w:hAnsi="TradeGothic LT Bold"/>
          <w:b/>
          <w:bCs/>
          <w:sz w:val="48"/>
          <w:szCs w:val="48"/>
        </w:rPr>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b/>
          <w:bCs/>
          <w:i/>
          <w:iCs/>
        </w:rPr>
        <w:t>Authors</w:t>
      </w:r>
      <w:r>
        <w:rPr>
          <w:rFonts w:ascii="Source Serif Pro" w:hAnsi="Source Serif Pro"/>
        </w:rPr>
        <w:t>: Jeff Allen, Karen Chapple, Amir Forouhar</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b/>
          <w:bCs/>
          <w:i/>
          <w:iCs/>
        </w:rPr>
        <w:t>Acknowledgments</w:t>
      </w:r>
      <w:r>
        <w:rPr>
          <w:rFonts w:ascii="Source Serif Pro" w:hAnsi="Source Serif Pro"/>
        </w:rPr>
        <w:t>: Thanks to Emrie for collecting census data, An for initial descriptive data analysis, others? RDC folks that helped Amir? Other help from my RAs that we get for doing graphics</w:t>
      </w:r>
    </w:p>
    <w:p>
      <w:pPr>
        <w:pStyle w:val="Normal"/>
        <w:rPr>
          <w:rFonts w:ascii="Source Serif Pro" w:hAnsi="Source Serif Pro"/>
        </w:rPr>
      </w:pPr>
      <w:r>
        <w:rPr>
          <w:rFonts w:ascii="Source Serif Pro" w:hAnsi="Source Serif Pro"/>
        </w:rPr>
      </w:r>
    </w:p>
    <w:p>
      <w:pPr>
        <w:pStyle w:val="Normal"/>
        <w:rPr>
          <w:rFonts w:ascii="TradeGothic LT Bold" w:hAnsi="TradeGothic LT Bold"/>
          <w:sz w:val="40"/>
          <w:szCs w:val="40"/>
        </w:rPr>
      </w:pPr>
      <w:r>
        <w:rPr>
          <w:rFonts w:ascii="TradeGothic LT Bold" w:hAnsi="TradeGothic LT Bold"/>
          <w:sz w:val="40"/>
          <w:szCs w:val="40"/>
        </w:rPr>
        <w:t>Abstract</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Nice concise abstract here :)</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Key results</w:t>
      </w:r>
    </w:p>
    <w:p>
      <w:pPr>
        <w:pStyle w:val="Normal"/>
        <w:rPr>
          <w:rFonts w:ascii="Source Serif Pro" w:hAnsi="Source Serif Pro"/>
        </w:rPr>
      </w:pPr>
      <w:r>
        <w:rPr>
          <w:rFonts w:ascii="Source Serif Pro" w:hAnsi="Source Serif Pro"/>
        </w:rPr>
        <w:t>- low income residents historically move away from new transit at relatively higher rates (indicator of displacement)</w:t>
      </w:r>
    </w:p>
    <w:p>
      <w:pPr>
        <w:pStyle w:val="Normal"/>
        <w:rPr>
          <w:rFonts w:ascii="Source Serif Pro" w:hAnsi="Source Serif Pro"/>
        </w:rPr>
      </w:pPr>
      <w:r>
        <w:rPr>
          <w:rFonts w:ascii="Source Serif Pro" w:hAnsi="Source Serif Pro"/>
        </w:rPr>
        <w:t>- also significantly fewer low-inc residents have moved into station areas relative to overall moving rates of low-inc residents (indicator of exclusion)</w:t>
      </w:r>
    </w:p>
    <w:p>
      <w:pPr>
        <w:pStyle w:val="Normal"/>
        <w:rPr>
          <w:rFonts w:ascii="Source Serif Pro" w:hAnsi="Source Serif Pro"/>
        </w:rPr>
      </w:pPr>
      <w:r>
        <w:rPr>
          <w:rFonts w:ascii="Source Serif Pro" w:hAnsi="Source Serif Pro"/>
        </w:rPr>
        <w:t xml:space="preserve">- model results show type of housing built near transit can play </w:t>
      </w:r>
      <w:commentRangeStart w:id="1"/>
      <w:r>
        <w:rPr>
          <w:rFonts w:ascii="Source Serif Pro" w:hAnsi="Source Serif Pro"/>
        </w:rPr>
        <w:t>impact ___, ___,</w:t>
      </w:r>
      <w:commentRangeEnd w:id="1"/>
      <w:r>
        <w:commentReference w:id="1"/>
      </w:r>
      <w:r>
        <w:rPr>
          <w:rFonts w:ascii="Source Serif Pro" w:hAnsi="Source Serif Pro"/>
        </w:rPr>
      </w:r>
    </w:p>
    <w:p>
      <w:pPr>
        <w:pStyle w:val="Normal"/>
        <w:rPr>
          <w:rFonts w:ascii="Source Serif Pro" w:hAnsi="Source Serif Pro"/>
        </w:rPr>
      </w:pPr>
      <w:r>
        <w:rPr>
          <w:rFonts w:ascii="Source Serif Pro" w:hAnsi="Source Serif Pro"/>
        </w:rPr>
        <w:t>- how models can be used for scenario analysis</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TradeGothic LT Bold" w:hAnsi="TradeGothic LT Bold"/>
          <w:sz w:val="40"/>
          <w:szCs w:val="40"/>
        </w:rPr>
      </w:pPr>
      <w:r>
        <w:rPr>
          <w:rFonts w:ascii="TradeGothic LT Bold" w:hAnsi="TradeGothic LT Bold"/>
          <w:sz w:val="40"/>
          <w:szCs w:val="40"/>
        </w:rPr>
        <w:t>1. Introduction</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 xml:space="preserve">Canada’s cities and regions </w:t>
      </w:r>
      <w:r>
        <w:rPr>
          <w:rFonts w:ascii="Source Serif Pro" w:hAnsi="Source Serif Pro"/>
        </w:rPr>
        <w:t>have built and</w:t>
      </w:r>
      <w:r>
        <w:rPr>
          <w:rFonts w:ascii="Source Serif Pro" w:hAnsi="Source Serif Pro"/>
        </w:rPr>
        <w:t xml:space="preserve"> are building new transit systems or expanding existing ones to accommodate mobility and accessibility while also </w:t>
      </w:r>
      <w:r>
        <w:rPr>
          <w:rFonts w:ascii="Source Serif Pro" w:hAnsi="Source Serif Pro"/>
        </w:rPr>
        <w:t>aiming to</w:t>
      </w:r>
      <w:r>
        <w:rPr>
          <w:rFonts w:ascii="Source Serif Pro" w:hAnsi="Source Serif Pro"/>
        </w:rPr>
        <w:t xml:space="preserve"> reduc</w:t>
      </w:r>
      <w:r>
        <w:rPr>
          <w:rFonts w:ascii="Source Serif Pro" w:hAnsi="Source Serif Pro"/>
        </w:rPr>
        <w:t>e</w:t>
      </w:r>
      <w:r>
        <w:rPr>
          <w:rFonts w:ascii="Source Serif Pro" w:hAnsi="Source Serif Pro"/>
        </w:rPr>
        <w:t xml:space="preserve"> greenhouse gas emissions. Simultaneously, most </w:t>
      </w:r>
      <w:r>
        <w:rPr>
          <w:rFonts w:ascii="Source Serif Pro" w:hAnsi="Source Serif Pro"/>
        </w:rPr>
        <w:t>regions</w:t>
      </w:r>
      <w:r>
        <w:rPr>
          <w:rFonts w:ascii="Source Serif Pro" w:hAnsi="Source Serif Pro"/>
        </w:rPr>
        <w:t xml:space="preserve"> are using tools, investment, and incentives to encourage the intensification of land uses in transit-oriented communities (TOCs) around </w:t>
      </w:r>
      <w:r>
        <w:rPr>
          <w:rFonts w:ascii="Source Serif Pro" w:hAnsi="Source Serif Pro"/>
        </w:rPr>
        <w:t>major transit</w:t>
      </w:r>
      <w:r>
        <w:rPr>
          <w:rFonts w:ascii="Source Serif Pro" w:hAnsi="Source Serif Pro"/>
        </w:rPr>
        <w:t xml:space="preserve"> stations in order to enable more people to take advantage of transit and the access to opportunity it provides. Yet, due in part to the relatively low cost of land acquisition, many new transit stations lie in disadvantaged neighbourhoods, with concentrations of low-income residents and communities of colour (Chapple &amp; Loukaitou-Sideris, 2019). This raises the question of unintended consequences: by increasing accessibility and thus leading to increases in housing values and rents, might these transportation improvements also force the most vulnerable neighbourhood residents to leave and spur more exclusion? </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 xml:space="preserve">Studies of the relationship between transit and neighbourhood change have generally found that new transit stations have very little impact on residential composition – but caution that researchers have struggled to find appropriate data and methods to analyze residential mobility in particular (Delmelle, 2021; Padeiro et al. </w:t>
      </w:r>
      <w:r>
        <w:rPr>
          <w:rFonts w:ascii="Source Serif Pro" w:hAnsi="Source Serif Pro"/>
        </w:rPr>
        <w:t>2019</w:t>
      </w:r>
      <w:r>
        <w:rPr>
          <w:rFonts w:ascii="Source Serif Pro" w:hAnsi="Source Serif Pro"/>
        </w:rPr>
        <w:t xml:space="preserve">). New transit is associated with increases in housing prices and rents, but impacts vary across and within metropolitan areas, depending on local context (Chapple &amp; Loukaitou-Sideris, 2019; Delmelle, 2021 Padeiro et al. </w:t>
      </w:r>
      <w:r>
        <w:rPr>
          <w:rFonts w:ascii="Source Serif Pro" w:hAnsi="Source Serif Pro"/>
        </w:rPr>
        <w:t>2019</w:t>
      </w:r>
      <w:r>
        <w:rPr>
          <w:rFonts w:ascii="Source Serif Pro" w:hAnsi="Source Serif Pro"/>
        </w:rPr>
        <w:t xml:space="preserve">). In some neighborhoods, change is slow and may take generations to appear, while in others, the proximity to new transit stations has clearly disrupted lives and businesses. In Canada in particular, transit station areas in Toronto and Montreal have been more likely to experience gentrification than those in Vancouver (Grube-Cavers and Patterson 2015). </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 xml:space="preserve">Only a few studies examine transit impacts on residential mobility, or displacement. This is largely due to the lack of readily available data on individual household moves, even aggregated by census tract. Most censuses and even surveys do not collect data on move-outs, and data on move-ins is also sparse. Researchers have attempted to compensate for this gap by assessing overall changes in neighbourhood income </w:t>
      </w:r>
      <w:r>
        <w:rPr>
          <w:rFonts w:ascii="Source Serif Pro" w:hAnsi="Source Serif Pro"/>
        </w:rPr>
        <w:t>or demographic</w:t>
      </w:r>
      <w:r>
        <w:rPr>
          <w:rFonts w:ascii="Source Serif Pro" w:hAnsi="Source Serif Pro"/>
        </w:rPr>
        <w:t xml:space="preserve"> composition, but validation studies have shown that this measurement is not able to account accurately for mobility (Carlson, 2021). </w:t>
      </w:r>
      <w:r>
        <w:rPr>
          <w:rFonts w:ascii="Source Serif Pro" w:hAnsi="Source Serif Pro"/>
        </w:rPr>
        <w:t>For example, if a neighbourhood near a new transit station sees an above-average increase in income, it is difficult to parse out whether that is due to low-income residents moving out, higher-income households moving in, those that stay increasing their income, or some combination of the above.</w:t>
      </w:r>
    </w:p>
    <w:p>
      <w:pPr>
        <w:pStyle w:val="Normal"/>
        <w:rPr>
          <w:rFonts w:ascii="Source Serif Pro" w:hAnsi="Source Serif Pro"/>
        </w:rPr>
      </w:pPr>
      <w:r>
        <w:rPr/>
      </w:r>
    </w:p>
    <w:p>
      <w:pPr>
        <w:pStyle w:val="Normal"/>
        <w:rPr>
          <w:rFonts w:ascii="Source Serif Pro" w:hAnsi="Source Serif Pro"/>
        </w:rPr>
      </w:pPr>
      <w:r>
        <w:rPr>
          <w:rFonts w:ascii="Source Serif Pro" w:hAnsi="Source Serif Pro"/>
        </w:rPr>
        <w:t>When household-level data is available, multi-city studies in the U.S. have shown that lower-income residents in new transit neighbourhoods were not more likely to leave or to be evicted (Delmelle &amp; Nilsson, 2020; Delmelle et al., 2020). However, studies of rail transit station openings in Los Angeles suggest that low-income residents experience slightly elevated move-out rates along some lines, with move-in rates elevated slightly as well (Chapple et al., 2021; Rodnyansky et al., 2022).</w:t>
      </w:r>
      <w:r>
        <w:rPr>
          <w:rFonts w:ascii="Source Serif Pro" w:hAnsi="Source Serif Pro"/>
        </w:rPr>
        <w:t xml:space="preserve"> </w:t>
      </w:r>
      <w:r>
        <w:rPr>
          <w:rFonts w:ascii="Source Serif Pro" w:hAnsi="Source Serif Pro"/>
        </w:rPr>
        <w:t xml:space="preserve">In Canada, research by Allen et al. (2023) used household-level data has found in Toronto low-income residents do not decrease their level of transit accessibility when they move as much as higher-income residents. However, </w:t>
      </w:r>
      <w:r>
        <w:rPr>
          <w:rFonts w:ascii="Source Serif Pro" w:hAnsi="Source Serif Pro"/>
        </w:rPr>
        <w:t>their</w:t>
      </w:r>
      <w:r>
        <w:rPr>
          <w:rFonts w:ascii="Source Serif Pro" w:hAnsi="Source Serif Pro"/>
        </w:rPr>
        <w:t xml:space="preserve"> research did not look at moves around new transit stations around when they were built.</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 xml:space="preserve">Methodological challenges complicate the study of transit-induced displacement as well (Delmelle, 2021). Identifying appropriate control neighbourhoods can be complicated, not just because the areas receiving new transit may be quite unique, but also because of the decades-long uncertainty around where new transit is likely to be built, which can impact potential controls. Second, transit station areas typically receive many different types of investments, from open space to new businesses, that can act as confounding factors. Third, the reliance on </w:t>
      </w:r>
      <w:r>
        <w:rPr>
          <w:rFonts w:ascii="Source Serif Pro" w:hAnsi="Source Serif Pro"/>
        </w:rPr>
        <w:t>neighbourhood units like</w:t>
      </w:r>
      <w:r>
        <w:rPr>
          <w:rFonts w:ascii="Source Serif Pro" w:hAnsi="Source Serif Pro"/>
        </w:rPr>
        <w:t xml:space="preserve"> census tracts as the scale of analysis may obfuscate changes taking place at a micro (block </w:t>
      </w:r>
      <w:r>
        <w:rPr>
          <w:rFonts w:ascii="Source Serif Pro" w:hAnsi="Source Serif Pro"/>
        </w:rPr>
        <w:t>or parcel</w:t>
      </w:r>
      <w:r>
        <w:rPr>
          <w:rFonts w:ascii="Source Serif Pro" w:hAnsi="Source Serif Pro"/>
        </w:rPr>
        <w:t xml:space="preserve">) scale. Finally, researchers have been unable to capture effectively the indirect impacts of the new station areas, including the loss of a sense of place and social networks, and the reduced transit costs which may make it feasible for lower-income residents to stay in place (Rayle, 2015) </w:t>
      </w:r>
      <w:r>
        <w:rPr>
          <w:rFonts w:ascii="Source Serif Pro" w:hAnsi="Source Serif Pro"/>
        </w:rPr>
        <w:t>and potentially increase their income by providing better access to employment opportunities (SOURCE?)</w:t>
      </w:r>
      <w:r>
        <w:rPr>
          <w:rFonts w:ascii="Source Serif Pro" w:hAnsi="Source Serif Pro"/>
        </w:rPr>
        <w:t xml:space="preserve">. </w:t>
      </w:r>
    </w:p>
    <w:p>
      <w:pPr>
        <w:pStyle w:val="Normal"/>
        <w:rPr>
          <w:rFonts w:ascii="Source Serif Pro" w:hAnsi="Source Serif Pro"/>
        </w:rPr>
      </w:pPr>
      <w:r>
        <w:rPr>
          <w:rFonts w:ascii="Source Serif Pro" w:hAnsi="Source Serif Pro"/>
        </w:rPr>
      </w:r>
    </w:p>
    <w:p>
      <w:pPr>
        <w:pStyle w:val="Normal"/>
        <w:rPr>
          <w:rFonts w:ascii="Source Serif Pro" w:hAnsi="Source Serif Pro"/>
        </w:rPr>
      </w:pPr>
      <w:commentRangeStart w:id="2"/>
      <w:r>
        <w:rPr>
          <w:rFonts w:ascii="Source Serif Pro" w:hAnsi="Source Serif Pro"/>
        </w:rPr>
        <w:t>TOD-&gt;Mobility</w:t>
      </w:r>
      <w:commentRangeEnd w:id="2"/>
      <w:r>
        <w:commentReference w:id="2"/>
      </w:r>
      <w:r>
        <w:rPr>
          <w:rFonts w:ascii="Source Serif Pro" w:hAnsi="Source Serif Pro"/>
        </w:rPr>
      </w:r>
    </w:p>
    <w:p>
      <w:pPr>
        <w:pStyle w:val="Normal"/>
        <w:rPr>
          <w:rFonts w:ascii="Source Serif Pro" w:hAnsi="Source Serif Pro"/>
        </w:rPr>
      </w:pPr>
      <w:r>
        <w:rPr>
          <w:rFonts w:ascii="Source Serif Pro" w:hAnsi="Source Serif Pro"/>
        </w:rPr>
        <w:t xml:space="preserve">Of note, most previous studies have analyzed the impacts of transit improvements in the aggregate, not looking in depth at mobility impacts at the individual station level, and rarely examining the role of </w:t>
      </w:r>
      <w:r>
        <w:rPr>
          <w:rFonts w:ascii="Source Serif Pro" w:hAnsi="Source Serif Pro"/>
        </w:rPr>
        <w:t>types of in</w:t>
      </w:r>
      <w:r>
        <w:rPr>
          <w:rFonts w:ascii="Source Serif Pro" w:hAnsi="Source Serif Pro"/>
        </w:rPr>
        <w:t xml:space="preserve"> infill housing development. </w:t>
      </w:r>
      <w:r>
        <w:rPr>
          <w:rFonts w:ascii="Source Serif Pro" w:hAnsi="Source Serif Pro"/>
        </w:rPr>
        <w:t>There has been recent r</w:t>
      </w:r>
      <w:r>
        <w:rPr>
          <w:rFonts w:ascii="Source Serif Pro" w:hAnsi="Source Serif Pro"/>
        </w:rPr>
        <w:t xml:space="preserve">esearch in Zurich using administrative data found that densification near transit led to a reduction in the percent of low-income (Lutz et al 2023). </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 xml:space="preserve">In general, we define residential displacement as a situation in which incumbent residents have fewer options within or are forced out of neighbourhoods. In some cases, this may be direct displacement (as new transit construction results in the demolition of housing), but for the most part it will be indirect, caused by increasing property prices and rents in the absence of policy protections. We also examine the extent to which residents are unable to move into neighbourhoods, or exclusionary displacement, due also to </w:t>
      </w:r>
      <w:r>
        <w:rPr>
          <w:rFonts w:ascii="Source Serif Pro" w:hAnsi="Source Serif Pro"/>
        </w:rPr>
        <w:t xml:space="preserve">lack of appropriate housing stock and </w:t>
      </w:r>
      <w:r>
        <w:rPr>
          <w:rFonts w:ascii="Source Serif Pro" w:hAnsi="Source Serif Pro"/>
        </w:rPr>
        <w:t>price increases (Marcuse, 1986). Although transit-induced displacement may also be nonphysical -- such as a sense of loss of place and belonging, erosion of cultural cohesion, loss of community supports, and/or diminution of political power – we do not include this in the analysis. We also do not examine commercial and retail displacement herein.</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 xml:space="preserve">This study begins by collecting data on the changes in the built environment near  major transit stations across Canada that have been built in the past 35 years. Measurement of the built environment is limited to what is provided in the Canadian census, i.e., data on changes in the housing stock. Using individual household mobility data, we then examine who has moved in and out of these station areas within a 10 year window from when they open. The analysis consists of three parts. </w:t>
      </w:r>
    </w:p>
    <w:p>
      <w:pPr>
        <w:pStyle w:val="Normal"/>
        <w:rPr>
          <w:rFonts w:ascii="Source Serif Pro" w:hAnsi="Source Serif Pro"/>
        </w:rPr>
      </w:pPr>
      <w:r>
        <w:rPr/>
      </w:r>
    </w:p>
    <w:p>
      <w:pPr>
        <w:pStyle w:val="Normal"/>
        <w:rPr>
          <w:rFonts w:ascii="Source Serif Pro" w:hAnsi="Source Serif Pro"/>
        </w:rPr>
      </w:pPr>
      <w:r>
        <w:rPr>
          <w:rFonts w:ascii="Source Serif Pro" w:hAnsi="Source Serif Pro"/>
        </w:rPr>
        <w:t>1) W</w:t>
      </w:r>
      <w:r>
        <w:rPr>
          <w:rFonts w:ascii="Source Serif Pro" w:hAnsi="Source Serif Pro"/>
        </w:rPr>
        <w:t xml:space="preserve">e join </w:t>
      </w:r>
      <w:r>
        <w:rPr>
          <w:rFonts w:ascii="Source Serif Pro" w:hAnsi="Source Serif Pro"/>
        </w:rPr>
        <w:t xml:space="preserve">transit station, </w:t>
      </w:r>
      <w:r>
        <w:rPr>
          <w:rFonts w:ascii="Source Serif Pro" w:hAnsi="Source Serif Pro"/>
        </w:rPr>
        <w:t xml:space="preserve">census, and </w:t>
      </w:r>
      <w:r>
        <w:rPr>
          <w:rFonts w:ascii="Source Serif Pro" w:hAnsi="Source Serif Pro"/>
        </w:rPr>
        <w:t xml:space="preserve">residential </w:t>
      </w:r>
      <w:r>
        <w:rPr>
          <w:rFonts w:ascii="Source Serif Pro" w:hAnsi="Source Serif Pro"/>
        </w:rPr>
        <w:t xml:space="preserve">mobility data to summarize historically who has moved in- and out- from stations by income-level. </w:t>
      </w:r>
      <w:r>
        <w:rPr>
          <w:rFonts w:ascii="Source Serif Pro" w:hAnsi="Source Serif Pro"/>
        </w:rPr>
        <w:t>Asking historically, in Canada, when new transit has been built since 1990, are there signs of displacement and exclusion.</w:t>
      </w:r>
    </w:p>
    <w:p>
      <w:pPr>
        <w:pStyle w:val="Normal"/>
        <w:rPr>
          <w:rFonts w:ascii="Source Serif Pro" w:hAnsi="Source Serif Pro"/>
        </w:rPr>
      </w:pPr>
      <w:r>
        <w:rPr/>
      </w:r>
    </w:p>
    <w:p>
      <w:pPr>
        <w:pStyle w:val="Normal"/>
        <w:rPr>
          <w:rFonts w:ascii="Source Serif Pro" w:hAnsi="Source Serif Pro"/>
        </w:rPr>
      </w:pPr>
      <w:r>
        <w:rPr>
          <w:rFonts w:ascii="Source Serif Pro" w:hAnsi="Source Serif Pro"/>
        </w:rPr>
        <w:t>2) W</w:t>
      </w:r>
      <w:r>
        <w:rPr>
          <w:rFonts w:ascii="Source Serif Pro" w:hAnsi="Source Serif Pro"/>
        </w:rPr>
        <w:t xml:space="preserve">e </w:t>
      </w:r>
      <w:r>
        <w:rPr>
          <w:rFonts w:ascii="Source Serif Pro" w:hAnsi="Source Serif Pro"/>
        </w:rPr>
        <w:t>use this</w:t>
      </w:r>
      <w:r>
        <w:rPr>
          <w:rFonts w:ascii="Source Serif Pro" w:hAnsi="Source Serif Pro"/>
        </w:rPr>
        <w:t xml:space="preserve"> data to estimate individual-level models describing what is the propensity for someone to move away from a transit station area based on demographic and socioeconomic co-variates (e.g. low-income status) as well as built environment changes (e.g. building one-bedroom high-rise buildings compared to more mixed use development). </w:t>
      </w:r>
      <w:r>
        <w:rPr>
          <w:rFonts w:ascii="Source Serif Pro" w:hAnsi="Source Serif Pro"/>
        </w:rPr>
        <w:t>We are specifically interested in the built environment changes that relate to low-income residential mobility near new transit</w:t>
      </w:r>
    </w:p>
    <w:p>
      <w:pPr>
        <w:pStyle w:val="Normal"/>
        <w:rPr>
          <w:rFonts w:ascii="Source Serif Pro" w:hAnsi="Source Serif Pro"/>
        </w:rPr>
      </w:pPr>
      <w:r>
        <w:rPr/>
      </w:r>
    </w:p>
    <w:p>
      <w:pPr>
        <w:pStyle w:val="Normal"/>
        <w:rPr>
          <w:rFonts w:ascii="Source Serif Pro" w:hAnsi="Source Serif Pro"/>
        </w:rPr>
      </w:pPr>
      <w:r>
        <w:rPr>
          <w:rFonts w:ascii="Source Serif Pro" w:hAnsi="Source Serif Pro"/>
        </w:rPr>
        <w:t>3) W</w:t>
      </w:r>
      <w:r>
        <w:rPr>
          <w:rFonts w:ascii="Source Serif Pro" w:hAnsi="Source Serif Pro"/>
        </w:rPr>
        <w:t xml:space="preserve">e use these models to analyze the impacts of 10 </w:t>
      </w:r>
      <w:r>
        <w:rPr>
          <w:rFonts w:ascii="Source Serif Pro" w:hAnsi="Source Serif Pro"/>
        </w:rPr>
        <w:t xml:space="preserve">hypothetical </w:t>
      </w:r>
      <w:r>
        <w:rPr>
          <w:rFonts w:ascii="Source Serif Pro" w:hAnsi="Source Serif Pro"/>
        </w:rPr>
        <w:t>scenarios (across 5 case studies) to show what would be the estimated total number of low-income residents who would move, beyond the normal neighbourhood churn. This then provides an estimate of how much ‘affordable’ housing should be constructed or preserved in the transit station area.</w:t>
      </w:r>
    </w:p>
    <w:p>
      <w:pPr>
        <w:pStyle w:val="Normal"/>
        <w:rPr>
          <w:rFonts w:ascii="Source Serif Pro" w:hAnsi="Source Serif Pro"/>
        </w:rPr>
      </w:pPr>
      <w:r>
        <w:rPr/>
      </w:r>
    </w:p>
    <w:p>
      <w:pPr>
        <w:pStyle w:val="Normal"/>
        <w:rPr>
          <w:rFonts w:ascii="Source Serif Pro" w:hAnsi="Source Serif Pro"/>
        </w:rPr>
      </w:pPr>
      <w:r>
        <w:rPr/>
      </w:r>
    </w:p>
    <w:p>
      <w:pPr>
        <w:pStyle w:val="Normal"/>
        <w:rPr>
          <w:rFonts w:ascii="Source Serif Pro" w:hAnsi="Source Serif Pro"/>
        </w:rPr>
      </w:pPr>
      <w:r>
        <w:rPr>
          <w:rFonts w:ascii="Source Serif Pro" w:hAnsi="Source Serif Pro"/>
        </w:rPr>
      </w:r>
    </w:p>
    <w:p>
      <w:pPr>
        <w:pStyle w:val="Normal"/>
        <w:rPr>
          <w:rFonts w:ascii="TradeGothic LT Bold" w:hAnsi="TradeGothic LT Bold"/>
          <w:b/>
          <w:b/>
          <w:bCs/>
          <w:sz w:val="40"/>
          <w:szCs w:val="40"/>
        </w:rPr>
      </w:pPr>
      <w:r>
        <w:rPr>
          <w:rFonts w:ascii="TradeGothic LT Bold" w:hAnsi="TradeGothic LT Bold"/>
          <w:b/>
          <w:bCs/>
          <w:sz w:val="40"/>
          <w:szCs w:val="40"/>
        </w:rPr>
        <w:t>2. Data</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The first dataset we use is one that marks the location of every major rail transit station in Canada that opened between 1990 and 2016. Th</w:t>
      </w:r>
      <w:r>
        <w:rPr>
          <w:rFonts w:ascii="Source Serif Pro" w:hAnsi="Source Serif Pro"/>
        </w:rPr>
        <w:t>is time period was</w:t>
      </w:r>
      <w:r>
        <w:rPr>
          <w:rFonts w:ascii="Source Serif Pro" w:hAnsi="Source Serif Pro"/>
        </w:rPr>
        <w:t xml:space="preserve"> selected because of availability of </w:t>
      </w:r>
      <w:r>
        <w:rPr>
          <w:rFonts w:ascii="Source Serif Pro" w:hAnsi="Source Serif Pro"/>
        </w:rPr>
        <w:t xml:space="preserve">census and </w:t>
      </w:r>
      <w:r>
        <w:rPr>
          <w:rFonts w:ascii="Source Serif Pro" w:hAnsi="Source Serif Pro"/>
        </w:rPr>
        <w:t xml:space="preserve">tax-record data that we used to analyze </w:t>
      </w:r>
      <w:r>
        <w:rPr>
          <w:rFonts w:ascii="Source Serif Pro" w:hAnsi="Source Serif Pro"/>
        </w:rPr>
        <w:t xml:space="preserve">built environment change and </w:t>
      </w:r>
      <w:r>
        <w:rPr>
          <w:rFonts w:ascii="Source Serif Pro" w:hAnsi="Source Serif Pro"/>
        </w:rPr>
        <w:t xml:space="preserve">residential mobility </w:t>
      </w:r>
      <w:r>
        <w:rPr>
          <w:rFonts w:ascii="Source Serif Pro" w:hAnsi="Source Serif Pro"/>
        </w:rPr>
        <w:t>relative to station areas</w:t>
      </w:r>
      <w:r>
        <w:rPr>
          <w:rFonts w:ascii="Source Serif Pro" w:hAnsi="Source Serif Pro"/>
        </w:rPr>
        <w:t xml:space="preserve">. </w:t>
      </w:r>
      <w:r>
        <w:rPr>
          <w:rFonts w:ascii="Source Serif Pro" w:hAnsi="Source Serif Pro"/>
        </w:rPr>
        <w:t xml:space="preserve">Rail stations include metro/subway station, Light Rail Transit (LRT) stations, and regional rail stations (e.g. GO Train stations in the Greater Toronto Area). </w:t>
      </w:r>
      <w:r>
        <w:rPr>
          <w:rFonts w:ascii="Source Serif Pro" w:hAnsi="Source Serif Pro"/>
        </w:rPr>
        <w:t xml:space="preserve">Cities included (i.e. that had rail transit stations that opened during this time period) are Vancouver, Calgary, Edmonton, Toronto, and Montreal. </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 xml:space="preserve">We then used historical </w:t>
      </w:r>
      <w:r>
        <w:rPr>
          <w:rFonts w:ascii="Source Serif Pro" w:hAnsi="Source Serif Pro"/>
        </w:rPr>
        <w:t>neighbourhood</w:t>
      </w:r>
      <w:r>
        <w:rPr>
          <w:rFonts w:ascii="Source Serif Pro" w:hAnsi="Source Serif Pro"/>
        </w:rPr>
        <w:t xml:space="preserve"> census data to track what development, in terms of dwelling characteristics, were built before and after each of these stations opened. The census is conducted every 5 years, so for each station we picked the two census years that aligns closest with 5 years before and 5 years after the station’s opening date. We specifically looked variables on number of dwellings, bedrooms per dwelling, and dwelling type (e.g. single detached, semi/row/town, apartments less than 5 stories, and apartments greater than 5 stories). There were some variations in each census year in terms of how questions were asked and how data was made available. For example, in older censuses, number of bedrooms were only reported as an average within an area, while more recent censuses the data include number of units by dwellings by number of bedrooms (e.g. 500 one-bedroom dwellings, 400 two-bedroom dwellings, etc.). Because the goal was to track change over time, we needed consistent data, so we consolidated dwelling type categories as needed, and in the case of bedrooms, used the average due to lack of historical data. </w:t>
      </w:r>
      <w:r>
        <w:rPr>
          <w:rFonts w:ascii="Source Serif Pro" w:hAnsi="Source Serif Pro"/>
        </w:rPr>
        <w:t>Census data were joined to station area data via aerial interpolation.</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For tracking residential mobility of residents, we used the Longitudinal Administrative Databank (LAD) (</w:t>
      </w:r>
      <w:hyperlink r:id="rId2">
        <w:r>
          <w:rPr>
            <w:rStyle w:val="InternetLink"/>
            <w:rFonts w:ascii="Source Serif Pro" w:hAnsi="Source Serif Pro"/>
          </w:rPr>
          <w:t>https://www23.statcan.gc.ca/imdb/p2SV.pl?Function=getSurvey&amp;SDDS=4107</w:t>
        </w:r>
      </w:hyperlink>
      <w:r>
        <w:rPr>
          <w:rFonts w:ascii="Source Serif Pro" w:hAnsi="Source Serif Pro"/>
        </w:rPr>
        <w:t xml:space="preserve">). This is a 20% sample of tax filers across Canada assembled on an annual basis </w:t>
      </w:r>
      <w:r>
        <w:rPr>
          <w:rFonts w:ascii="Source Serif Pro" w:hAnsi="Source Serif Pro"/>
        </w:rPr>
        <w:t>since</w:t>
      </w:r>
      <w:r>
        <w:rPr>
          <w:rFonts w:ascii="Source Serif Pro" w:hAnsi="Source Serif Pro"/>
        </w:rPr>
        <w:t xml:space="preserve"> 1982.. </w:t>
      </w:r>
      <w:r>
        <w:rPr>
          <w:rFonts w:ascii="Source Serif Pro" w:hAnsi="Source Serif Pro"/>
        </w:rPr>
        <w:t>(At the time of writing, 2022 was the most recent data available).</w:t>
      </w:r>
      <w:r>
        <w:rPr>
          <w:rFonts w:ascii="Source Serif Pro" w:hAnsi="Source Serif Pro"/>
        </w:rPr>
        <w:t xml:space="preserve"> Because of privacy issues, the data are accessed at a secure Research Data Centre </w:t>
      </w:r>
      <w:r>
        <w:rPr>
          <w:rFonts w:ascii="Source Serif Pro" w:hAnsi="Source Serif Pro"/>
        </w:rPr>
        <w:t>(RDC)</w:t>
      </w:r>
      <w:r>
        <w:rPr>
          <w:rFonts w:ascii="Source Serif Pro" w:hAnsi="Source Serif Pro"/>
        </w:rPr>
        <w:t xml:space="preserve"> operated by Statistics Canada. </w:t>
      </w:r>
      <w:r>
        <w:rPr>
          <w:rFonts w:ascii="Source Serif Pro" w:hAnsi="Source Serif Pro"/>
        </w:rPr>
        <w:t>The RDC has a restriction of not being able to export data for any statistic with a n of less than ___</w:t>
      </w:r>
      <w:r>
        <w:rPr>
          <w:rFonts w:ascii="Source Serif Pro" w:hAnsi="Source Serif Pro"/>
        </w:rPr>
        <w:commentReference w:id="3"/>
      </w:r>
    </w:p>
    <w:p>
      <w:pPr>
        <w:pStyle w:val="Normal"/>
        <w:rPr>
          <w:rFonts w:ascii="Source Serif Pro" w:hAnsi="Source Serif Pro"/>
        </w:rPr>
      </w:pPr>
      <w:r>
        <w:rPr/>
      </w:r>
    </w:p>
    <w:p>
      <w:pPr>
        <w:pStyle w:val="Normal"/>
        <w:rPr>
          <w:rFonts w:ascii="Source Serif Pro" w:hAnsi="Source Serif Pro"/>
        </w:rPr>
      </w:pPr>
      <w:r>
        <w:rPr>
          <w:rFonts w:ascii="Source Serif Pro" w:hAnsi="Source Serif Pro"/>
        </w:rPr>
        <w:t xml:space="preserve">Included in the data are variables on demographics, household composition. </w:t>
      </w:r>
      <w:r>
        <w:rPr>
          <w:rFonts w:ascii="Source Serif Pro" w:hAnsi="Source Serif Pro"/>
        </w:rPr>
        <w:t>The data</w:t>
      </w:r>
      <w:r>
        <w:rPr>
          <w:rFonts w:ascii="Source Serif Pro" w:hAnsi="Source Serif Pro"/>
        </w:rPr>
        <w:t xml:space="preserve"> include a variable for low-income status, the Low-Income Measure (https://www12.statcan.gc.ca/census-recensement/2021/ref/dict/az/Definition-eng.cfm?ID=fam021), that we use for our analysis. This is a poverty line created by Statistics Canada defined as half of the median household income in a region, where income is adjusted by the square root of household size. This accounts for the diminishing increase of monetary needs as a household increases in size. For our analysis, we term residents under this threshold at time t as “low-income” and those above as “non-low-income”. </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The LAD includes denotes the census tract and six-digit postal code of each person's home address on December 31st of each year. Six-digit postal codes are typically consist of a city block or smaller (sometimes just a single apartment building). We spatially linked this geographic information to 800m buffers of transit station areas to denote whether a resident near transit or not. And in our analysis, we presume that someone moves if their postal code changes. However, t</w:t>
      </w:r>
      <w:r>
        <w:rPr>
          <w:rFonts w:ascii="Source Serif Pro" w:hAnsi="Source Serif Pro"/>
        </w:rPr>
        <w:t xml:space="preserve">he main limitations of this data is not knowing why people move, just whether or not they do. This means we cannot tell the difference between people who move because they’re forced out (e.g. displaced via eviction or cannot afford increased rents) and those who move by choice (e.g. wanting to be closer to family, to move closer to work or school, or needing more space due to increase in household size). Even more “voluntary” moves like wanting more bedrooms can still be shaped by limited options if affordable suitable housing isn’t available nearby </w:t>
      </w:r>
      <w:r>
        <w:rPr>
          <w:rFonts w:ascii="Source Serif Pro" w:hAnsi="Source Serif Pro"/>
        </w:rPr>
        <w:t>(SOURCE)</w:t>
      </w:r>
      <w:r>
        <w:rPr>
          <w:rFonts w:ascii="Source Serif Pro" w:hAnsi="Source Serif Pro"/>
        </w:rPr>
        <w:t>. As a result, this data alone cannot show whether moves directly reflect displacement pressures or more routine residential changes, but it can be a signal of it, especially if moving rates are different relative to those for the overall population.</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TradeGothic LT Bold" w:hAnsi="TradeGothic LT Bold"/>
          <w:b/>
          <w:b/>
          <w:bCs/>
          <w:sz w:val="40"/>
          <w:szCs w:val="40"/>
        </w:rPr>
      </w:pPr>
      <w:r>
        <w:rPr>
          <w:rFonts w:ascii="TradeGothic LT Bold" w:hAnsi="TradeGothic LT Bold"/>
          <w:b/>
          <w:bCs/>
          <w:sz w:val="40"/>
          <w:szCs w:val="40"/>
        </w:rPr>
        <w:t>3. Historical residential mobility analysis</w:t>
      </w:r>
    </w:p>
    <w:p>
      <w:pPr>
        <w:pStyle w:val="Normal"/>
        <w:rPr>
          <w:rFonts w:ascii="Source Serif Pro" w:hAnsi="Source Serif Pro"/>
          <w:b/>
          <w:b/>
          <w:bCs/>
        </w:rPr>
      </w:pPr>
      <w:r>
        <w:rPr>
          <w:rFonts w:ascii="Source Serif Pro" w:hAnsi="Source Serif Pro"/>
          <w:b/>
          <w:bCs/>
        </w:rPr>
      </w:r>
    </w:p>
    <w:p>
      <w:pPr>
        <w:pStyle w:val="Normal"/>
        <w:rPr>
          <w:rFonts w:ascii="Source Serif Pro" w:hAnsi="Source Serif Pro"/>
        </w:rPr>
      </w:pPr>
      <w:r>
        <w:rPr>
          <w:rFonts w:ascii="Source Serif Pro" w:hAnsi="Source Serif Pro"/>
        </w:rPr>
        <w:t xml:space="preserve">We looked at </w:t>
      </w:r>
      <w:r>
        <w:rPr>
          <w:rFonts w:ascii="Source Serif Pro" w:hAnsi="Source Serif Pro"/>
        </w:rPr>
        <w:t>70</w:t>
      </w:r>
      <w:r>
        <w:rPr>
          <w:rFonts w:ascii="Source Serif Pro" w:hAnsi="Source Serif Pro"/>
        </w:rPr>
        <w:t xml:space="preserve"> major rail transit stations built from 1990 to 2016 and queried the LAD to count how many in- and out-movers there were near the station (within an 800m buffer of the station area) </w:t>
      </w:r>
      <w:r>
        <w:rPr>
          <w:rFonts w:ascii="Source Serif Pro" w:hAnsi="Source Serif Pro"/>
        </w:rPr>
        <w:t xml:space="preserve">approximately </w:t>
      </w:r>
      <w:r>
        <w:rPr>
          <w:rFonts w:ascii="Source Serif Pro" w:hAnsi="Source Serif Pro"/>
        </w:rPr>
        <w:t xml:space="preserve">5 years before and after the station opened. There were a few more stations that opened during this time, but we did not include them due to lack of data availability. We also queried overall moving rates by Census Metropolitan Area (CMA) to make relative comparisons </w:t>
      </w:r>
      <w:r>
        <w:rPr>
          <w:rFonts w:ascii="Source Serif Pro" w:hAnsi="Source Serif Pro"/>
        </w:rPr>
        <w:t>for the same time periods. This allows us to see w</w:t>
      </w:r>
      <w:r>
        <w:rPr>
          <w:rFonts w:ascii="Source Serif Pro" w:hAnsi="Source Serif Pro"/>
        </w:rPr>
        <w:t>h</w:t>
      </w:r>
      <w:r>
        <w:rPr>
          <w:rFonts w:ascii="Source Serif Pro" w:hAnsi="Source Serif Pro"/>
        </w:rPr>
        <w:t xml:space="preserve">ether </w:t>
      </w:r>
      <w:r>
        <w:rPr>
          <w:rFonts w:ascii="Source Serif Pro" w:hAnsi="Source Serif Pro"/>
        </w:rPr>
        <w:t xml:space="preserve">are residents moving more in/out of a station area more or less relative to the residents </w:t>
      </w:r>
      <w:r>
        <w:rPr>
          <w:rFonts w:ascii="Source Serif Pro" w:hAnsi="Source Serif Pro"/>
        </w:rPr>
        <w:t xml:space="preserve">moving </w:t>
      </w:r>
      <w:r>
        <w:rPr>
          <w:rFonts w:ascii="Source Serif Pro" w:hAnsi="Source Serif Pro"/>
        </w:rPr>
        <w:t>elsewhere in the region.</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We specifically</w:t>
      </w:r>
      <w:r>
        <w:rPr>
          <w:rFonts w:ascii="Source Serif Pro" w:hAnsi="Source Serif Pro"/>
        </w:rPr>
        <w:t xml:space="preserve"> queried the data to breakdown by low- and non-low-income residents, to analyze whether, and if so, where:</w:t>
      </w:r>
    </w:p>
    <w:p>
      <w:pPr>
        <w:pStyle w:val="Normal"/>
        <w:numPr>
          <w:ilvl w:val="0"/>
          <w:numId w:val="1"/>
        </w:numPr>
        <w:rPr>
          <w:rFonts w:ascii="Source Serif Pro" w:hAnsi="Source Serif Pro"/>
        </w:rPr>
      </w:pPr>
      <w:r>
        <w:rPr>
          <w:rFonts w:ascii="Source Serif Pro" w:hAnsi="Source Serif Pro"/>
        </w:rPr>
        <w:t>Where low income residents are moving out at above-average rates (i.e. signal of displacement) and below-average rates (i.e. signal of maintaining affordable housing)</w:t>
      </w:r>
    </w:p>
    <w:p>
      <w:pPr>
        <w:pStyle w:val="Normal"/>
        <w:numPr>
          <w:ilvl w:val="0"/>
          <w:numId w:val="1"/>
        </w:numPr>
        <w:rPr>
          <w:rFonts w:ascii="Source Serif Pro" w:hAnsi="Source Serif Pro"/>
        </w:rPr>
      </w:pPr>
      <w:r>
        <w:rPr>
          <w:rFonts w:ascii="Source Serif Pro" w:hAnsi="Source Serif Pro"/>
        </w:rPr>
        <w:t>Low-income residents were moving in at below-average rates (i.e. is the station area becoming more exclusive) or above-average rates (i.e. new development is accessible for low-income residents).</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 xml:space="preserve">First </w:t>
      </w:r>
      <w:r>
        <w:rPr>
          <w:rFonts w:ascii="Source Serif Pro" w:hAnsi="Source Serif Pro"/>
        </w:rPr>
        <w:t xml:space="preserve">we present results (Table 1) for out-movers from station areas, specifically what percent of low-income residents move away from station areas relative to overall moving rates of low-income residents during the same time period.  </w:t>
      </w:r>
      <w:r>
        <w:rPr>
          <w:rFonts w:ascii="Source Serif Pro" w:hAnsi="Source Serif Pro"/>
        </w:rPr>
        <w:t xml:space="preserve">This is shown for 54 of the </w:t>
      </w:r>
      <w:r>
        <w:rPr>
          <w:rFonts w:ascii="Source Serif Pro" w:hAnsi="Source Serif Pro"/>
        </w:rPr>
        <w:t>71</w:t>
      </w:r>
      <w:r>
        <w:rPr>
          <w:rFonts w:ascii="Source Serif Pro" w:hAnsi="Source Serif Pro"/>
        </w:rPr>
        <w:t xml:space="preserve"> stations that we analyzed, since 22 of the stations were built in areas with very low population prior to the station opening (e.g. in greenfield or commercial or industrial areas) and didn’t have a large enough sample to export results from the RDC. </w:t>
      </w:r>
      <w:r>
        <w:rPr>
          <w:rFonts w:ascii="Source Serif Pro" w:hAnsi="Source Serif Pro"/>
        </w:rPr>
        <w:t>A full table of results for every station is in the Appendix.</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Overall, we find that historically across Canada low-income residents are more likely to move away from areas when a transit station opens (71% over a 10 year period) compared to low-income residents across th</w:t>
      </w:r>
      <w:r>
        <w:rPr>
          <w:rFonts w:ascii="Source Serif Pro" w:hAnsi="Source Serif Pro"/>
        </w:rPr>
        <w:t>e</w:t>
      </w:r>
      <w:r>
        <w:rPr>
          <w:rFonts w:ascii="Source Serif Pro" w:hAnsi="Source Serif Pro"/>
        </w:rPr>
        <w:t xml:space="preserve"> region </w:t>
      </w:r>
      <w:r>
        <w:rPr>
          <w:rFonts w:ascii="Source Serif Pro" w:hAnsi="Source Serif Pro"/>
        </w:rPr>
        <w:t xml:space="preserve">(64% move over a 10 year period). In other words, low income residents are moving out at above-average rates, a signal of displacement. There are some difference by time period, technology, and geography.  </w:t>
      </w:r>
      <w:r>
        <w:rPr>
          <w:rFonts w:ascii="Source Serif Pro" w:hAnsi="Source Serif Pro"/>
        </w:rPr>
        <w:t>Montreal is the only city where low-income residents are less likely to move away from new transit stations. The trends are also less pronounced overall for subway and LRT compared to commuter rail.</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 xml:space="preserve">Table 1 - Percent of low-income residents move away from station areas </w:t>
      </w:r>
      <w:r>
        <w:rPr>
          <w:rFonts w:ascii="Source Serif Pro" w:hAnsi="Source Serif Pro"/>
        </w:rPr>
        <w:t xml:space="preserve">(10 year window) </w:t>
      </w:r>
      <w:r>
        <w:rPr>
          <w:rFonts w:ascii="Source Serif Pro" w:hAnsi="Source Serif Pro"/>
        </w:rPr>
        <w:t>relative to CMA moving rates</w:t>
      </w:r>
    </w:p>
    <w:p>
      <w:pPr>
        <w:pStyle w:val="Normal"/>
        <w:rPr>
          <w:rFonts w:ascii="Source Serif Pro" w:hAnsi="Source Serif Pro"/>
          <w:b w:val="false"/>
          <w:b w:val="false"/>
          <w:bCs w:val="false"/>
        </w:rPr>
      </w:pPr>
      <w:r>
        <w:rPr>
          <w:rFonts w:ascii="Source Serif Pro" w:hAnsi="Source Serif Pro"/>
          <w:b w:val="false"/>
          <w:bCs w:val="false"/>
        </w:rPr>
      </w:r>
    </w:p>
    <w:tbl>
      <w:tblPr>
        <w:tblW w:w="5000" w:type="pct"/>
        <w:jc w:val="left"/>
        <w:tblInd w:w="55" w:type="dxa"/>
        <w:tblLayout w:type="fixed"/>
        <w:tblCellMar>
          <w:top w:w="55" w:type="dxa"/>
          <w:left w:w="55" w:type="dxa"/>
          <w:bottom w:w="55" w:type="dxa"/>
          <w:right w:w="55" w:type="dxa"/>
        </w:tblCellMar>
      </w:tblPr>
      <w:tblGrid>
        <w:gridCol w:w="2493"/>
        <w:gridCol w:w="2493"/>
        <w:gridCol w:w="2492"/>
        <w:gridCol w:w="2494"/>
      </w:tblGrid>
      <w:tr>
        <w:trPr/>
        <w:tc>
          <w:tcPr>
            <w:tcW w:w="2493" w:type="dxa"/>
            <w:tcBorders>
              <w:top w:val="single" w:sz="4" w:space="0" w:color="000000"/>
              <w:bottom w:val="single" w:sz="4" w:space="0" w:color="000000"/>
            </w:tcBorders>
          </w:tcPr>
          <w:p>
            <w:pPr>
              <w:pStyle w:val="TableContents"/>
              <w:rPr>
                <w:rFonts w:ascii="Source Serif Pro" w:hAnsi="Source Serif Pro"/>
                <w:b/>
                <w:b/>
                <w:bCs/>
              </w:rPr>
            </w:pPr>
            <w:r>
              <w:rPr>
                <w:rFonts w:ascii="Source Serif Pro" w:hAnsi="Source Serif Pro"/>
                <w:b/>
                <w:bCs/>
              </w:rPr>
              <w:t>City</w:t>
            </w:r>
          </w:p>
        </w:tc>
        <w:tc>
          <w:tcPr>
            <w:tcW w:w="2493" w:type="dxa"/>
            <w:tcBorders>
              <w:top w:val="single" w:sz="4" w:space="0" w:color="000000"/>
              <w:bottom w:val="single" w:sz="4" w:space="0" w:color="000000"/>
            </w:tcBorders>
          </w:tcPr>
          <w:p>
            <w:pPr>
              <w:pStyle w:val="TableContents"/>
              <w:rPr>
                <w:rFonts w:ascii="Source Serif Pro" w:hAnsi="Source Serif Pro"/>
                <w:b/>
                <w:b/>
                <w:bCs/>
              </w:rPr>
            </w:pPr>
            <w:r>
              <w:rPr>
                <w:rFonts w:ascii="Source Serif Pro" w:hAnsi="Source Serif Pro"/>
                <w:b/>
                <w:bCs/>
              </w:rPr>
              <w:t>n stations</w:t>
            </w:r>
          </w:p>
        </w:tc>
        <w:tc>
          <w:tcPr>
            <w:tcW w:w="2492" w:type="dxa"/>
            <w:tcBorders>
              <w:top w:val="single" w:sz="4" w:space="0" w:color="000000"/>
              <w:bottom w:val="single" w:sz="4" w:space="0" w:color="000000"/>
            </w:tcBorders>
          </w:tcPr>
          <w:p>
            <w:pPr>
              <w:pStyle w:val="TableContents"/>
              <w:rPr>
                <w:rFonts w:ascii="Source Serif Pro" w:hAnsi="Source Serif Pro"/>
                <w:b/>
                <w:b/>
                <w:bCs/>
              </w:rPr>
            </w:pPr>
            <w:r>
              <w:rPr>
                <w:rFonts w:ascii="Source Serif Pro" w:hAnsi="Source Serif Pro"/>
                <w:b/>
                <w:bCs/>
              </w:rPr>
              <w:t xml:space="preserve">Average </w:t>
            </w:r>
            <w:r>
              <w:rPr>
                <w:rFonts w:ascii="Source Serif Pro" w:hAnsi="Source Serif Pro"/>
                <w:b/>
                <w:bCs/>
              </w:rPr>
              <w:t xml:space="preserve">% </w:t>
            </w:r>
            <w:r>
              <w:rPr>
                <w:rFonts w:ascii="Source Serif Pro" w:hAnsi="Source Serif Pro"/>
                <w:b/>
                <w:bCs/>
              </w:rPr>
              <w:t xml:space="preserve">of </w:t>
            </w:r>
            <w:r>
              <w:rPr>
                <w:rFonts w:ascii="Source Serif Pro" w:hAnsi="Source Serif Pro"/>
                <w:b/>
                <w:bCs/>
              </w:rPr>
              <w:t>low-income residents that move away from station areas*</w:t>
            </w:r>
          </w:p>
        </w:tc>
        <w:tc>
          <w:tcPr>
            <w:tcW w:w="2494" w:type="dxa"/>
            <w:tcBorders>
              <w:top w:val="single" w:sz="4" w:space="0" w:color="000000"/>
              <w:bottom w:val="single" w:sz="4" w:space="0" w:color="000000"/>
            </w:tcBorders>
          </w:tcPr>
          <w:p>
            <w:pPr>
              <w:pStyle w:val="TableContents"/>
              <w:rPr>
                <w:rFonts w:ascii="Source Serif Pro" w:hAnsi="Source Serif Pro"/>
                <w:b/>
                <w:b/>
                <w:bCs/>
              </w:rPr>
            </w:pPr>
            <w:r>
              <w:rPr>
                <w:rFonts w:ascii="Source Serif Pro" w:hAnsi="Source Serif Pro"/>
                <w:b/>
                <w:bCs/>
              </w:rPr>
              <w:t xml:space="preserve">Average </w:t>
            </w:r>
            <w:r>
              <w:rPr>
                <w:rFonts w:ascii="Source Serif Pro" w:hAnsi="Source Serif Pro"/>
                <w:b/>
                <w:bCs/>
              </w:rPr>
              <w:t xml:space="preserve">% </w:t>
            </w:r>
            <w:r>
              <w:rPr>
                <w:rFonts w:ascii="Source Serif Pro" w:hAnsi="Source Serif Pro"/>
                <w:b/>
                <w:bCs/>
              </w:rPr>
              <w:t>low-income moving rates in the CMA*</w:t>
            </w:r>
          </w:p>
        </w:tc>
      </w:tr>
      <w:tr>
        <w:trPr/>
        <w:tc>
          <w:tcPr>
            <w:tcW w:w="2493" w:type="dxa"/>
            <w:tcBorders>
              <w:top w:val="single" w:sz="4" w:space="0" w:color="000000"/>
              <w:bottom w:val="single" w:sz="4" w:space="0" w:color="000000"/>
            </w:tcBorders>
          </w:tcPr>
          <w:p>
            <w:pPr>
              <w:pStyle w:val="TableContents"/>
              <w:rPr>
                <w:rFonts w:ascii="Source Serif Pro" w:hAnsi="Source Serif Pro"/>
                <w:b/>
                <w:b/>
                <w:bCs/>
              </w:rPr>
            </w:pPr>
            <w:r>
              <w:rPr>
                <w:rFonts w:ascii="Source Serif Pro" w:hAnsi="Source Serif Pro"/>
                <w:b/>
                <w:bCs/>
              </w:rPr>
              <w:t>‍</w:t>
            </w:r>
            <w:r>
              <w:rPr>
                <w:rFonts w:ascii="Source Serif Pro" w:hAnsi="Source Serif Pro"/>
                <w:b/>
                <w:bCs/>
              </w:rPr>
              <w:t xml:space="preserve">Total </w:t>
            </w:r>
          </w:p>
        </w:tc>
        <w:tc>
          <w:tcPr>
            <w:tcW w:w="2493" w:type="dxa"/>
            <w:tcBorders>
              <w:top w:val="single" w:sz="4" w:space="0" w:color="000000"/>
              <w:bottom w:val="single" w:sz="4" w:space="0" w:color="000000"/>
            </w:tcBorders>
          </w:tcPr>
          <w:p>
            <w:pPr>
              <w:pStyle w:val="TableContents"/>
              <w:jc w:val="center"/>
              <w:rPr>
                <w:b/>
                <w:b/>
                <w:bCs/>
              </w:rPr>
            </w:pPr>
            <w:r>
              <w:rPr>
                <w:b/>
                <w:bCs/>
              </w:rPr>
              <w:t>52</w:t>
            </w:r>
          </w:p>
        </w:tc>
        <w:tc>
          <w:tcPr>
            <w:tcW w:w="2492" w:type="dxa"/>
            <w:tcBorders>
              <w:top w:val="single" w:sz="4" w:space="0" w:color="000000"/>
              <w:bottom w:val="single" w:sz="4" w:space="0" w:color="000000"/>
            </w:tcBorders>
          </w:tcPr>
          <w:p>
            <w:pPr>
              <w:pStyle w:val="TableContents"/>
              <w:jc w:val="center"/>
              <w:rPr>
                <w:b/>
                <w:b/>
                <w:bCs/>
              </w:rPr>
            </w:pPr>
            <w:r>
              <w:rPr>
                <w:b/>
                <w:bCs/>
              </w:rPr>
              <w:t>71.</w:t>
            </w:r>
            <w:r>
              <w:rPr>
                <w:b/>
                <w:bCs/>
              </w:rPr>
              <w:t>0%</w:t>
            </w:r>
          </w:p>
        </w:tc>
        <w:tc>
          <w:tcPr>
            <w:tcW w:w="2494" w:type="dxa"/>
            <w:tcBorders>
              <w:top w:val="single" w:sz="4" w:space="0" w:color="000000"/>
              <w:bottom w:val="single" w:sz="4" w:space="0" w:color="000000"/>
            </w:tcBorders>
          </w:tcPr>
          <w:p>
            <w:pPr>
              <w:pStyle w:val="TableContents"/>
              <w:jc w:val="center"/>
              <w:rPr>
                <w:b/>
                <w:b/>
                <w:bCs/>
              </w:rPr>
            </w:pPr>
            <w:r>
              <w:rPr>
                <w:b/>
                <w:bCs/>
              </w:rPr>
              <w:t>64.3</w:t>
            </w:r>
            <w:r>
              <w:rPr>
                <w:b/>
                <w:bCs/>
              </w:rPr>
              <w:t>%</w:t>
            </w:r>
          </w:p>
        </w:tc>
      </w:tr>
      <w:tr>
        <w:trPr/>
        <w:tc>
          <w:tcPr>
            <w:tcW w:w="2493" w:type="dxa"/>
            <w:tcBorders/>
          </w:tcPr>
          <w:p>
            <w:pPr>
              <w:pStyle w:val="TableContents"/>
              <w:rPr>
                <w:rFonts w:ascii="Source Serif Pro" w:hAnsi="Source Serif Pro"/>
              </w:rPr>
            </w:pPr>
            <w:r>
              <w:rPr>
                <w:rFonts w:ascii="Source Serif Pro" w:hAnsi="Source Serif Pro"/>
              </w:rPr>
              <w:t>Opened 1990-1999</w:t>
            </w:r>
          </w:p>
        </w:tc>
        <w:tc>
          <w:tcPr>
            <w:tcW w:w="2493" w:type="dxa"/>
            <w:tcBorders/>
          </w:tcPr>
          <w:p>
            <w:pPr>
              <w:pStyle w:val="TableContents"/>
              <w:jc w:val="center"/>
              <w:rPr/>
            </w:pPr>
            <w:r>
              <w:rPr/>
              <w:t>4</w:t>
            </w:r>
          </w:p>
        </w:tc>
        <w:tc>
          <w:tcPr>
            <w:tcW w:w="2492" w:type="dxa"/>
            <w:tcBorders/>
          </w:tcPr>
          <w:p>
            <w:pPr>
              <w:pStyle w:val="TableContents"/>
              <w:jc w:val="center"/>
              <w:rPr/>
            </w:pPr>
            <w:r>
              <w:rPr/>
              <w:t>69.4</w:t>
            </w:r>
            <w:r>
              <w:rPr/>
              <w:t>%</w:t>
            </w:r>
          </w:p>
        </w:tc>
        <w:tc>
          <w:tcPr>
            <w:tcW w:w="2494" w:type="dxa"/>
            <w:tcBorders/>
          </w:tcPr>
          <w:p>
            <w:pPr>
              <w:pStyle w:val="TableContents"/>
              <w:jc w:val="center"/>
              <w:rPr/>
            </w:pPr>
            <w:r>
              <w:rPr/>
              <w:t>69.3</w:t>
            </w:r>
            <w:r>
              <w:rPr/>
              <w:t>%</w:t>
            </w:r>
          </w:p>
        </w:tc>
      </w:tr>
      <w:tr>
        <w:trPr/>
        <w:tc>
          <w:tcPr>
            <w:tcW w:w="2493" w:type="dxa"/>
            <w:tcBorders/>
          </w:tcPr>
          <w:p>
            <w:pPr>
              <w:pStyle w:val="TableContents"/>
              <w:rPr>
                <w:rFonts w:ascii="Source Serif Pro" w:hAnsi="Source Serif Pro"/>
              </w:rPr>
            </w:pPr>
            <w:r>
              <w:rPr>
                <w:rFonts w:ascii="Source Serif Pro" w:hAnsi="Source Serif Pro"/>
              </w:rPr>
              <w:t>Opened 2000-2004</w:t>
            </w:r>
          </w:p>
        </w:tc>
        <w:tc>
          <w:tcPr>
            <w:tcW w:w="2493" w:type="dxa"/>
            <w:tcBorders/>
          </w:tcPr>
          <w:p>
            <w:pPr>
              <w:pStyle w:val="TableContents"/>
              <w:jc w:val="center"/>
              <w:rPr/>
            </w:pPr>
            <w:r>
              <w:rPr/>
              <w:t>21</w:t>
            </w:r>
          </w:p>
        </w:tc>
        <w:tc>
          <w:tcPr>
            <w:tcW w:w="2492" w:type="dxa"/>
            <w:tcBorders/>
          </w:tcPr>
          <w:p>
            <w:pPr>
              <w:pStyle w:val="TableContents"/>
              <w:jc w:val="center"/>
              <w:rPr/>
            </w:pPr>
            <w:r>
              <w:rPr/>
              <w:t>79.2</w:t>
            </w:r>
            <w:r>
              <w:rPr/>
              <w:t>%</w:t>
            </w:r>
          </w:p>
        </w:tc>
        <w:tc>
          <w:tcPr>
            <w:tcW w:w="2494" w:type="dxa"/>
            <w:tcBorders/>
          </w:tcPr>
          <w:p>
            <w:pPr>
              <w:pStyle w:val="TableContents"/>
              <w:jc w:val="center"/>
              <w:rPr/>
            </w:pPr>
            <w:r>
              <w:rPr/>
              <w:t>65.9</w:t>
            </w:r>
            <w:r>
              <w:rPr/>
              <w:t>%</w:t>
            </w:r>
          </w:p>
        </w:tc>
      </w:tr>
      <w:tr>
        <w:trPr/>
        <w:tc>
          <w:tcPr>
            <w:tcW w:w="2493" w:type="dxa"/>
            <w:tcBorders/>
          </w:tcPr>
          <w:p>
            <w:pPr>
              <w:pStyle w:val="TableContents"/>
              <w:rPr>
                <w:rFonts w:ascii="Source Serif Pro" w:hAnsi="Source Serif Pro"/>
              </w:rPr>
            </w:pPr>
            <w:r>
              <w:rPr>
                <w:rFonts w:ascii="Source Serif Pro" w:hAnsi="Source Serif Pro"/>
              </w:rPr>
              <w:t>Opened 200</w:t>
            </w:r>
            <w:r>
              <w:rPr>
                <w:rFonts w:ascii="Source Serif Pro" w:hAnsi="Source Serif Pro"/>
              </w:rPr>
              <w:t>5</w:t>
            </w:r>
            <w:r>
              <w:rPr>
                <w:rFonts w:ascii="Source Serif Pro" w:hAnsi="Source Serif Pro"/>
              </w:rPr>
              <w:t>-2009</w:t>
            </w:r>
          </w:p>
        </w:tc>
        <w:tc>
          <w:tcPr>
            <w:tcW w:w="2493" w:type="dxa"/>
            <w:tcBorders/>
          </w:tcPr>
          <w:p>
            <w:pPr>
              <w:pStyle w:val="TableContents"/>
              <w:jc w:val="center"/>
              <w:rPr/>
            </w:pPr>
            <w:r>
              <w:rPr/>
              <w:t>18</w:t>
            </w:r>
          </w:p>
        </w:tc>
        <w:tc>
          <w:tcPr>
            <w:tcW w:w="2492" w:type="dxa"/>
            <w:tcBorders/>
          </w:tcPr>
          <w:p>
            <w:pPr>
              <w:pStyle w:val="TableContents"/>
              <w:jc w:val="center"/>
              <w:rPr/>
            </w:pPr>
            <w:r>
              <w:rPr/>
              <w:t>60.2</w:t>
            </w:r>
            <w:r>
              <w:rPr/>
              <w:t>%</w:t>
            </w:r>
          </w:p>
        </w:tc>
        <w:tc>
          <w:tcPr>
            <w:tcW w:w="2494" w:type="dxa"/>
            <w:tcBorders/>
          </w:tcPr>
          <w:p>
            <w:pPr>
              <w:pStyle w:val="TableContents"/>
              <w:jc w:val="center"/>
              <w:rPr/>
            </w:pPr>
            <w:r>
              <w:rPr/>
              <w:t>61.5</w:t>
            </w:r>
            <w:r>
              <w:rPr/>
              <w:t>%</w:t>
            </w:r>
          </w:p>
        </w:tc>
      </w:tr>
      <w:tr>
        <w:trPr/>
        <w:tc>
          <w:tcPr>
            <w:tcW w:w="2493" w:type="dxa"/>
            <w:tcBorders/>
          </w:tcPr>
          <w:p>
            <w:pPr>
              <w:pStyle w:val="TableContents"/>
              <w:rPr>
                <w:rFonts w:ascii="Source Serif Pro" w:hAnsi="Source Serif Pro"/>
              </w:rPr>
            </w:pPr>
            <w:r>
              <w:rPr>
                <w:rFonts w:ascii="Source Serif Pro" w:hAnsi="Source Serif Pro"/>
              </w:rPr>
              <w:t>Opened 2010-2016</w:t>
            </w:r>
          </w:p>
        </w:tc>
        <w:tc>
          <w:tcPr>
            <w:tcW w:w="2493" w:type="dxa"/>
            <w:tcBorders/>
          </w:tcPr>
          <w:p>
            <w:pPr>
              <w:pStyle w:val="TableContents"/>
              <w:jc w:val="center"/>
              <w:rPr/>
            </w:pPr>
            <w:r>
              <w:rPr/>
              <w:t>9</w:t>
            </w:r>
          </w:p>
        </w:tc>
        <w:tc>
          <w:tcPr>
            <w:tcW w:w="2492" w:type="dxa"/>
            <w:tcBorders/>
          </w:tcPr>
          <w:p>
            <w:pPr>
              <w:pStyle w:val="TableContents"/>
              <w:jc w:val="center"/>
              <w:rPr/>
            </w:pPr>
            <w:r>
              <w:rPr/>
              <w:t>73.6</w:t>
            </w:r>
            <w:r>
              <w:rPr/>
              <w:t>%</w:t>
            </w:r>
          </w:p>
        </w:tc>
        <w:tc>
          <w:tcPr>
            <w:tcW w:w="2494" w:type="dxa"/>
            <w:tcBorders/>
          </w:tcPr>
          <w:p>
            <w:pPr>
              <w:pStyle w:val="TableContents"/>
              <w:jc w:val="center"/>
              <w:rPr/>
            </w:pPr>
            <w:r>
              <w:rPr/>
              <w:t>64.2</w:t>
            </w:r>
            <w:r>
              <w:rPr/>
              <w:t>%</w:t>
            </w:r>
          </w:p>
        </w:tc>
      </w:tr>
      <w:tr>
        <w:trPr/>
        <w:tc>
          <w:tcPr>
            <w:tcW w:w="2493" w:type="dxa"/>
            <w:tcBorders>
              <w:top w:val="single" w:sz="4" w:space="0" w:color="000000"/>
            </w:tcBorders>
          </w:tcPr>
          <w:p>
            <w:pPr>
              <w:pStyle w:val="TableContents"/>
              <w:rPr>
                <w:rFonts w:ascii="Source Serif Pro" w:hAnsi="Source Serif Pro"/>
              </w:rPr>
            </w:pPr>
            <w:r>
              <w:rPr>
                <w:rFonts w:ascii="Source Serif Pro" w:hAnsi="Source Serif Pro"/>
              </w:rPr>
              <w:t>‍</w:t>
            </w:r>
            <w:r>
              <w:rPr>
                <w:rFonts w:ascii="Source Serif Pro" w:hAnsi="Source Serif Pro"/>
              </w:rPr>
              <w:t>Subway/Metro</w:t>
            </w:r>
          </w:p>
        </w:tc>
        <w:tc>
          <w:tcPr>
            <w:tcW w:w="2493" w:type="dxa"/>
            <w:tcBorders>
              <w:top w:val="single" w:sz="4" w:space="0" w:color="000000"/>
            </w:tcBorders>
          </w:tcPr>
          <w:p>
            <w:pPr>
              <w:pStyle w:val="TableContents"/>
              <w:jc w:val="center"/>
              <w:rPr/>
            </w:pPr>
            <w:r>
              <w:rPr/>
              <w:t>6</w:t>
            </w:r>
          </w:p>
        </w:tc>
        <w:tc>
          <w:tcPr>
            <w:tcW w:w="2492" w:type="dxa"/>
            <w:tcBorders>
              <w:top w:val="single" w:sz="4" w:space="0" w:color="000000"/>
            </w:tcBorders>
          </w:tcPr>
          <w:p>
            <w:pPr>
              <w:pStyle w:val="TableContents"/>
              <w:jc w:val="center"/>
              <w:rPr/>
            </w:pPr>
            <w:r>
              <w:rPr/>
              <w:t>66.3</w:t>
            </w:r>
            <w:r>
              <w:rPr/>
              <w:t>%</w:t>
            </w:r>
          </w:p>
        </w:tc>
        <w:tc>
          <w:tcPr>
            <w:tcW w:w="2494" w:type="dxa"/>
            <w:tcBorders>
              <w:top w:val="single" w:sz="4" w:space="0" w:color="000000"/>
            </w:tcBorders>
          </w:tcPr>
          <w:p>
            <w:pPr>
              <w:pStyle w:val="TableContents"/>
              <w:jc w:val="center"/>
              <w:rPr/>
            </w:pPr>
            <w:r>
              <w:rPr/>
              <w:t>62.7</w:t>
            </w:r>
            <w:r>
              <w:rPr/>
              <w:t>%</w:t>
            </w:r>
          </w:p>
        </w:tc>
      </w:tr>
      <w:tr>
        <w:trPr/>
        <w:tc>
          <w:tcPr>
            <w:tcW w:w="2493" w:type="dxa"/>
            <w:tcBorders/>
          </w:tcPr>
          <w:p>
            <w:pPr>
              <w:pStyle w:val="TableContents"/>
              <w:rPr>
                <w:rFonts w:ascii="Source Serif Pro" w:hAnsi="Source Serif Pro"/>
              </w:rPr>
            </w:pPr>
            <w:r>
              <w:rPr>
                <w:rFonts w:ascii="Source Serif Pro" w:hAnsi="Source Serif Pro"/>
              </w:rPr>
              <w:t>‍</w:t>
            </w:r>
            <w:r>
              <w:rPr>
                <w:rFonts w:ascii="Source Serif Pro" w:hAnsi="Source Serif Pro"/>
              </w:rPr>
              <w:t>Light Rail Transit (LRT)</w:t>
            </w:r>
          </w:p>
        </w:tc>
        <w:tc>
          <w:tcPr>
            <w:tcW w:w="2493" w:type="dxa"/>
            <w:tcBorders/>
          </w:tcPr>
          <w:p>
            <w:pPr>
              <w:pStyle w:val="TableContents"/>
              <w:jc w:val="center"/>
              <w:rPr/>
            </w:pPr>
            <w:r>
              <w:rPr/>
              <w:t>16</w:t>
            </w:r>
          </w:p>
        </w:tc>
        <w:tc>
          <w:tcPr>
            <w:tcW w:w="2492" w:type="dxa"/>
            <w:tcBorders/>
          </w:tcPr>
          <w:p>
            <w:pPr>
              <w:pStyle w:val="TableContents"/>
              <w:jc w:val="center"/>
              <w:rPr/>
            </w:pPr>
            <w:r>
              <w:rPr/>
              <w:t>72.4</w:t>
            </w:r>
            <w:r>
              <w:rPr/>
              <w:t>%</w:t>
            </w:r>
          </w:p>
        </w:tc>
        <w:tc>
          <w:tcPr>
            <w:tcW w:w="2494" w:type="dxa"/>
            <w:tcBorders/>
          </w:tcPr>
          <w:p>
            <w:pPr>
              <w:pStyle w:val="TableContents"/>
              <w:jc w:val="center"/>
              <w:rPr/>
            </w:pPr>
            <w:r>
              <w:rPr/>
              <w:t>68.4</w:t>
            </w:r>
            <w:r>
              <w:rPr/>
              <w:t>%</w:t>
            </w:r>
          </w:p>
        </w:tc>
      </w:tr>
      <w:tr>
        <w:trPr/>
        <w:tc>
          <w:tcPr>
            <w:tcW w:w="2493" w:type="dxa"/>
            <w:tcBorders/>
          </w:tcPr>
          <w:p>
            <w:pPr>
              <w:pStyle w:val="TableContents"/>
              <w:rPr>
                <w:rFonts w:ascii="Source Serif Pro" w:hAnsi="Source Serif Pro"/>
              </w:rPr>
            </w:pPr>
            <w:r>
              <w:rPr>
                <w:rFonts w:ascii="Source Serif Pro" w:hAnsi="Source Serif Pro"/>
              </w:rPr>
              <w:t>Commuter/Regional Rail</w:t>
            </w:r>
          </w:p>
        </w:tc>
        <w:tc>
          <w:tcPr>
            <w:tcW w:w="2493" w:type="dxa"/>
            <w:tcBorders/>
          </w:tcPr>
          <w:p>
            <w:pPr>
              <w:pStyle w:val="TableContents"/>
              <w:jc w:val="center"/>
              <w:rPr/>
            </w:pPr>
            <w:r>
              <w:rPr/>
              <w:t>30</w:t>
            </w:r>
          </w:p>
        </w:tc>
        <w:tc>
          <w:tcPr>
            <w:tcW w:w="2492" w:type="dxa"/>
            <w:tcBorders/>
          </w:tcPr>
          <w:p>
            <w:pPr>
              <w:pStyle w:val="TableContents"/>
              <w:jc w:val="center"/>
              <w:rPr/>
            </w:pPr>
            <w:r>
              <w:rPr/>
              <w:t>71.1</w:t>
            </w:r>
            <w:r>
              <w:rPr/>
              <w:t>%</w:t>
            </w:r>
          </w:p>
        </w:tc>
        <w:tc>
          <w:tcPr>
            <w:tcW w:w="2494" w:type="dxa"/>
            <w:tcBorders/>
          </w:tcPr>
          <w:p>
            <w:pPr>
              <w:pStyle w:val="TableContents"/>
              <w:jc w:val="center"/>
              <w:rPr/>
            </w:pPr>
            <w:r>
              <w:rPr/>
              <w:t>62.5</w:t>
            </w:r>
            <w:r>
              <w:rPr/>
              <w:t>%</w:t>
            </w:r>
          </w:p>
        </w:tc>
      </w:tr>
      <w:tr>
        <w:trPr/>
        <w:tc>
          <w:tcPr>
            <w:tcW w:w="2493" w:type="dxa"/>
            <w:tcBorders>
              <w:top w:val="single" w:sz="4" w:space="0" w:color="000000"/>
            </w:tcBorders>
          </w:tcPr>
          <w:p>
            <w:pPr>
              <w:pStyle w:val="TableContents"/>
              <w:rPr>
                <w:rFonts w:ascii="Source Serif Pro" w:hAnsi="Source Serif Pro"/>
              </w:rPr>
            </w:pPr>
            <w:r>
              <w:rPr>
                <w:rFonts w:ascii="Source Serif Pro" w:hAnsi="Source Serif Pro"/>
              </w:rPr>
              <w:t>Calgary</w:t>
            </w:r>
          </w:p>
        </w:tc>
        <w:tc>
          <w:tcPr>
            <w:tcW w:w="2493" w:type="dxa"/>
            <w:tcBorders>
              <w:top w:val="single" w:sz="4" w:space="0" w:color="000000"/>
            </w:tcBorders>
          </w:tcPr>
          <w:p>
            <w:pPr>
              <w:pStyle w:val="TableContents"/>
              <w:jc w:val="center"/>
              <w:rPr/>
            </w:pPr>
            <w:r>
              <w:rPr/>
              <w:t>15</w:t>
            </w:r>
          </w:p>
        </w:tc>
        <w:tc>
          <w:tcPr>
            <w:tcW w:w="2492" w:type="dxa"/>
            <w:tcBorders>
              <w:top w:val="single" w:sz="4" w:space="0" w:color="000000"/>
            </w:tcBorders>
          </w:tcPr>
          <w:p>
            <w:pPr>
              <w:pStyle w:val="TableContents"/>
              <w:jc w:val="center"/>
              <w:rPr/>
            </w:pPr>
            <w:r>
              <w:rPr/>
              <w:t>71.2</w:t>
            </w:r>
            <w:r>
              <w:rPr/>
              <w:t>%</w:t>
            </w:r>
          </w:p>
        </w:tc>
        <w:tc>
          <w:tcPr>
            <w:tcW w:w="2494" w:type="dxa"/>
            <w:tcBorders>
              <w:top w:val="single" w:sz="4" w:space="0" w:color="000000"/>
            </w:tcBorders>
          </w:tcPr>
          <w:p>
            <w:pPr>
              <w:pStyle w:val="TableContents"/>
              <w:jc w:val="center"/>
              <w:rPr/>
            </w:pPr>
            <w:r>
              <w:rPr/>
              <w:t>68.6</w:t>
            </w:r>
            <w:r>
              <w:rPr/>
              <w:t>%</w:t>
            </w:r>
          </w:p>
        </w:tc>
      </w:tr>
      <w:tr>
        <w:trPr/>
        <w:tc>
          <w:tcPr>
            <w:tcW w:w="2493" w:type="dxa"/>
            <w:tcBorders/>
          </w:tcPr>
          <w:p>
            <w:pPr>
              <w:pStyle w:val="TableContents"/>
              <w:rPr>
                <w:rFonts w:ascii="Source Serif Pro" w:hAnsi="Source Serif Pro"/>
              </w:rPr>
            </w:pPr>
            <w:r>
              <w:rPr>
                <w:rFonts w:ascii="Source Serif Pro" w:hAnsi="Source Serif Pro"/>
              </w:rPr>
              <w:t>Edmonton</w:t>
            </w:r>
          </w:p>
        </w:tc>
        <w:tc>
          <w:tcPr>
            <w:tcW w:w="2493" w:type="dxa"/>
            <w:tcBorders/>
          </w:tcPr>
          <w:p>
            <w:pPr>
              <w:pStyle w:val="TableContents"/>
              <w:jc w:val="center"/>
              <w:rPr/>
            </w:pPr>
            <w:r>
              <w:rPr/>
              <w:t>1</w:t>
            </w:r>
          </w:p>
        </w:tc>
        <w:tc>
          <w:tcPr>
            <w:tcW w:w="2492" w:type="dxa"/>
            <w:tcBorders/>
          </w:tcPr>
          <w:p>
            <w:pPr>
              <w:pStyle w:val="TableContents"/>
              <w:jc w:val="center"/>
              <w:rPr/>
            </w:pPr>
            <w:r>
              <w:rPr/>
              <w:t>80.2</w:t>
            </w:r>
            <w:r>
              <w:rPr/>
              <w:t>%</w:t>
            </w:r>
          </w:p>
        </w:tc>
        <w:tc>
          <w:tcPr>
            <w:tcW w:w="2494" w:type="dxa"/>
            <w:tcBorders/>
          </w:tcPr>
          <w:p>
            <w:pPr>
              <w:pStyle w:val="TableContents"/>
              <w:jc w:val="center"/>
              <w:rPr/>
            </w:pPr>
            <w:r>
              <w:rPr/>
              <w:t>65.4</w:t>
            </w:r>
            <w:r>
              <w:rPr/>
              <w:t>%</w:t>
            </w:r>
          </w:p>
        </w:tc>
      </w:tr>
      <w:tr>
        <w:trPr/>
        <w:tc>
          <w:tcPr>
            <w:tcW w:w="2493" w:type="dxa"/>
            <w:tcBorders/>
          </w:tcPr>
          <w:p>
            <w:pPr>
              <w:pStyle w:val="TableContents"/>
              <w:rPr>
                <w:rFonts w:ascii="Source Serif Pro" w:hAnsi="Source Serif Pro"/>
              </w:rPr>
            </w:pPr>
            <w:r>
              <w:rPr>
                <w:rFonts w:ascii="Source Serif Pro" w:hAnsi="Source Serif Pro"/>
              </w:rPr>
              <w:t>Montreal</w:t>
            </w:r>
          </w:p>
        </w:tc>
        <w:tc>
          <w:tcPr>
            <w:tcW w:w="2493" w:type="dxa"/>
            <w:tcBorders/>
          </w:tcPr>
          <w:p>
            <w:pPr>
              <w:pStyle w:val="TableContents"/>
              <w:jc w:val="center"/>
              <w:rPr/>
            </w:pPr>
            <w:r>
              <w:rPr/>
              <w:t>2</w:t>
            </w:r>
          </w:p>
        </w:tc>
        <w:tc>
          <w:tcPr>
            <w:tcW w:w="2492" w:type="dxa"/>
            <w:tcBorders/>
          </w:tcPr>
          <w:p>
            <w:pPr>
              <w:pStyle w:val="TableContents"/>
              <w:jc w:val="center"/>
              <w:rPr/>
            </w:pPr>
            <w:r>
              <w:rPr/>
              <w:t>49.7</w:t>
            </w:r>
            <w:r>
              <w:rPr/>
              <w:t>%</w:t>
            </w:r>
          </w:p>
        </w:tc>
        <w:tc>
          <w:tcPr>
            <w:tcW w:w="2494" w:type="dxa"/>
            <w:tcBorders/>
          </w:tcPr>
          <w:p>
            <w:pPr>
              <w:pStyle w:val="TableContents"/>
              <w:jc w:val="center"/>
              <w:rPr/>
            </w:pPr>
            <w:r>
              <w:rPr/>
              <w:t>54.5</w:t>
            </w:r>
            <w:r>
              <w:rPr/>
              <w:t>%</w:t>
            </w:r>
          </w:p>
        </w:tc>
      </w:tr>
      <w:tr>
        <w:trPr/>
        <w:tc>
          <w:tcPr>
            <w:tcW w:w="2493" w:type="dxa"/>
            <w:tcBorders/>
          </w:tcPr>
          <w:p>
            <w:pPr>
              <w:pStyle w:val="TableContents"/>
              <w:rPr>
                <w:rFonts w:ascii="Source Serif Pro" w:hAnsi="Source Serif Pro"/>
              </w:rPr>
            </w:pPr>
            <w:r>
              <w:rPr>
                <w:rFonts w:ascii="Source Serif Pro" w:hAnsi="Source Serif Pro"/>
              </w:rPr>
              <w:t>Toronto</w:t>
            </w:r>
          </w:p>
        </w:tc>
        <w:tc>
          <w:tcPr>
            <w:tcW w:w="2493" w:type="dxa"/>
            <w:tcBorders/>
          </w:tcPr>
          <w:p>
            <w:pPr>
              <w:pStyle w:val="TableContents"/>
              <w:jc w:val="center"/>
              <w:rPr/>
            </w:pPr>
            <w:r>
              <w:rPr/>
              <w:t>8</w:t>
            </w:r>
          </w:p>
        </w:tc>
        <w:tc>
          <w:tcPr>
            <w:tcW w:w="2492" w:type="dxa"/>
            <w:tcBorders/>
          </w:tcPr>
          <w:p>
            <w:pPr>
              <w:pStyle w:val="TableContents"/>
              <w:jc w:val="center"/>
              <w:rPr/>
            </w:pPr>
            <w:r>
              <w:rPr/>
              <w:t>74.4</w:t>
            </w:r>
            <w:r>
              <w:rPr/>
              <w:t>%</w:t>
            </w:r>
          </w:p>
        </w:tc>
        <w:tc>
          <w:tcPr>
            <w:tcW w:w="2494" w:type="dxa"/>
            <w:tcBorders/>
          </w:tcPr>
          <w:p>
            <w:pPr>
              <w:pStyle w:val="TableContents"/>
              <w:jc w:val="center"/>
              <w:rPr/>
            </w:pPr>
            <w:r>
              <w:rPr/>
              <w:t>61.4</w:t>
            </w:r>
            <w:r>
              <w:rPr/>
              <w:t>%</w:t>
            </w:r>
          </w:p>
        </w:tc>
      </w:tr>
      <w:tr>
        <w:trPr/>
        <w:tc>
          <w:tcPr>
            <w:tcW w:w="2493" w:type="dxa"/>
            <w:tcBorders>
              <w:bottom w:val="single" w:sz="4" w:space="0" w:color="000000"/>
            </w:tcBorders>
          </w:tcPr>
          <w:p>
            <w:pPr>
              <w:pStyle w:val="TableContents"/>
              <w:rPr>
                <w:rFonts w:ascii="Source Serif Pro" w:hAnsi="Source Serif Pro"/>
              </w:rPr>
            </w:pPr>
            <w:r>
              <w:rPr>
                <w:rFonts w:ascii="Source Serif Pro" w:hAnsi="Source Serif Pro"/>
              </w:rPr>
              <w:t>Vancouver</w:t>
            </w:r>
          </w:p>
        </w:tc>
        <w:tc>
          <w:tcPr>
            <w:tcW w:w="2493" w:type="dxa"/>
            <w:tcBorders>
              <w:bottom w:val="single" w:sz="4" w:space="0" w:color="000000"/>
            </w:tcBorders>
          </w:tcPr>
          <w:p>
            <w:pPr>
              <w:pStyle w:val="TableContents"/>
              <w:jc w:val="center"/>
              <w:rPr/>
            </w:pPr>
            <w:r>
              <w:rPr/>
              <w:t>26</w:t>
            </w:r>
          </w:p>
        </w:tc>
        <w:tc>
          <w:tcPr>
            <w:tcW w:w="2492" w:type="dxa"/>
            <w:tcBorders>
              <w:bottom w:val="single" w:sz="4" w:space="0" w:color="000000"/>
            </w:tcBorders>
          </w:tcPr>
          <w:p>
            <w:pPr>
              <w:pStyle w:val="TableContents"/>
              <w:jc w:val="center"/>
              <w:rPr/>
            </w:pPr>
            <w:r>
              <w:rPr/>
              <w:t>70.4</w:t>
            </w:r>
            <w:r>
              <w:rPr/>
              <w:t>%</w:t>
            </w:r>
          </w:p>
        </w:tc>
        <w:tc>
          <w:tcPr>
            <w:tcW w:w="2494" w:type="dxa"/>
            <w:tcBorders>
              <w:bottom w:val="single" w:sz="4" w:space="0" w:color="000000"/>
            </w:tcBorders>
          </w:tcPr>
          <w:p>
            <w:pPr>
              <w:pStyle w:val="TableContents"/>
              <w:jc w:val="center"/>
              <w:rPr/>
            </w:pPr>
            <w:r>
              <w:rPr/>
              <w:t>63.5</w:t>
            </w:r>
            <w:r>
              <w:rPr/>
              <w:t>%</w:t>
            </w:r>
          </w:p>
        </w:tc>
      </w:tr>
    </w:tbl>
    <w:p>
      <w:pPr>
        <w:pStyle w:val="Normal"/>
        <w:rPr>
          <w:rFonts w:ascii="Source Serif Pro" w:hAnsi="Source Serif Pro"/>
          <w:b w:val="false"/>
          <w:b w:val="false"/>
          <w:bCs w:val="false"/>
        </w:rPr>
      </w:pPr>
      <w:r>
        <w:rPr>
          <w:rFonts w:ascii="Source Serif Pro" w:hAnsi="Source Serif Pro"/>
          <w:b w:val="false"/>
          <w:bCs w:val="false"/>
        </w:rPr>
        <w:t>*</w:t>
      </w:r>
      <w:r>
        <w:rPr>
          <w:rFonts w:ascii="Source Serif Pro" w:hAnsi="Source Serif Pro"/>
          <w:b w:val="false"/>
          <w:bCs w:val="false"/>
        </w:rPr>
        <w:t>Margins of error for all %s range from 0.1% to 1%</w:t>
      </w:r>
    </w:p>
    <w:p>
      <w:pPr>
        <w:pStyle w:val="Normal"/>
        <w:rPr>
          <w:rFonts w:ascii="Source Serif Pro" w:hAnsi="Source Serif Pro"/>
        </w:rPr>
      </w:pPr>
      <w:r>
        <w:rPr>
          <w:rFonts w:ascii="Source Serif Pro" w:hAnsi="Source Serif Pro"/>
        </w:rPr>
      </w:r>
    </w:p>
    <w:p>
      <w:pPr>
        <w:pStyle w:val="Normal"/>
        <w:rPr>
          <w:rFonts w:ascii="Source Serif Pro" w:hAnsi="Source Serif Pro"/>
          <w:b/>
          <w:b/>
          <w:bCs/>
        </w:rPr>
      </w:pPr>
      <w:r>
        <w:rPr>
          <w:rFonts w:ascii="Source Serif Pro" w:hAnsi="Source Serif Pro"/>
          <w:b/>
          <w:bCs/>
        </w:rPr>
      </w:r>
    </w:p>
    <w:p>
      <w:pPr>
        <w:pStyle w:val="Normal"/>
        <w:rPr>
          <w:rFonts w:ascii="Source Serif Pro" w:hAnsi="Source Serif Pro"/>
          <w:b w:val="false"/>
          <w:b w:val="false"/>
          <w:bCs w:val="false"/>
        </w:rPr>
      </w:pPr>
      <w:r>
        <w:rPr>
          <w:rFonts w:ascii="Source Serif Pro" w:hAnsi="Source Serif Pro"/>
          <w:b w:val="false"/>
          <w:bCs w:val="false"/>
        </w:rPr>
        <w:t xml:space="preserve">The next table </w:t>
      </w:r>
      <w:r>
        <w:rPr>
          <w:rFonts w:ascii="Source Serif Pro" w:hAnsi="Source Serif Pro"/>
          <w:b w:val="false"/>
          <w:bCs w:val="false"/>
        </w:rPr>
        <w:t xml:space="preserve">(Table 2) </w:t>
      </w:r>
      <w:r>
        <w:rPr>
          <w:rFonts w:ascii="Source Serif Pro" w:hAnsi="Source Serif Pro"/>
          <w:b w:val="false"/>
          <w:bCs w:val="false"/>
        </w:rPr>
        <w:t xml:space="preserve">examines in-movers to transit stations, grouped by </w:t>
      </w:r>
      <w:r>
        <w:rPr>
          <w:rFonts w:ascii="Source Serif Pro" w:hAnsi="Source Serif Pro"/>
          <w:b w:val="false"/>
          <w:bCs w:val="false"/>
        </w:rPr>
        <w:t xml:space="preserve">geography, specifically looking at the percent of in-movers that are low-income. </w:t>
      </w:r>
      <w:r>
        <w:rPr>
          <w:rFonts w:ascii="Source Serif Pro" w:hAnsi="Source Serif Pro"/>
          <w:b w:val="false"/>
          <w:bCs w:val="false"/>
        </w:rPr>
        <w:t xml:space="preserve">When new transit stations have opened, people moving into those areas are generally less likely to be low-income </w:t>
      </w:r>
      <w:r>
        <w:rPr>
          <w:rFonts w:ascii="Source Serif Pro" w:hAnsi="Source Serif Pro"/>
          <w:b w:val="false"/>
          <w:bCs w:val="false"/>
        </w:rPr>
        <w:t>(31.</w:t>
      </w:r>
      <w:r>
        <w:rPr>
          <w:rFonts w:ascii="Source Serif Pro" w:hAnsi="Source Serif Pro"/>
          <w:b w:val="false"/>
          <w:bCs w:val="false"/>
        </w:rPr>
        <w:t>4</w:t>
      </w:r>
      <w:r>
        <w:rPr>
          <w:rFonts w:ascii="Source Serif Pro" w:hAnsi="Source Serif Pro"/>
          <w:b w:val="false"/>
          <w:bCs w:val="false"/>
        </w:rPr>
        <w:t xml:space="preserve">%) </w:t>
      </w:r>
      <w:r>
        <w:rPr>
          <w:rFonts w:ascii="Source Serif Pro" w:hAnsi="Source Serif Pro"/>
          <w:b w:val="false"/>
          <w:bCs w:val="false"/>
        </w:rPr>
        <w:t xml:space="preserve">than in-movers elsewhere in the CMA </w:t>
      </w:r>
      <w:r>
        <w:rPr>
          <w:rFonts w:ascii="Source Serif Pro" w:hAnsi="Source Serif Pro"/>
          <w:b w:val="false"/>
          <w:bCs w:val="false"/>
        </w:rPr>
        <w:t>(3</w:t>
      </w:r>
      <w:r>
        <w:rPr>
          <w:rFonts w:ascii="Source Serif Pro" w:hAnsi="Source Serif Pro"/>
          <w:b w:val="false"/>
          <w:bCs w:val="false"/>
        </w:rPr>
        <w:t>7.0</w:t>
      </w:r>
      <w:r>
        <w:rPr>
          <w:rFonts w:ascii="Source Serif Pro" w:hAnsi="Source Serif Pro"/>
          <w:b w:val="false"/>
          <w:bCs w:val="false"/>
        </w:rPr>
        <w:t>%)</w:t>
      </w:r>
      <w:r>
        <w:rPr>
          <w:rFonts w:ascii="Source Serif Pro" w:hAnsi="Source Serif Pro"/>
          <w:b w:val="false"/>
          <w:bCs w:val="false"/>
        </w:rPr>
        <w:t xml:space="preserve">, </w:t>
      </w:r>
      <w:r>
        <w:rPr>
          <w:rFonts w:ascii="Source Serif Pro" w:hAnsi="Source Serif Pro"/>
          <w:b w:val="false"/>
          <w:bCs w:val="false"/>
        </w:rPr>
        <w:t>indicating that new transit station areas have been much more exclusive than other neighbourhoods in the same CMAs.</w:t>
      </w:r>
    </w:p>
    <w:p>
      <w:pPr>
        <w:pStyle w:val="Normal"/>
        <w:rPr>
          <w:rFonts w:ascii="Source Serif Pro" w:hAnsi="Source Serif Pro"/>
          <w:b w:val="false"/>
          <w:b w:val="false"/>
          <w:bCs w:val="false"/>
        </w:rPr>
      </w:pPr>
      <w:r>
        <w:rPr>
          <w:rFonts w:ascii="Source Serif Pro" w:hAnsi="Source Serif Pro"/>
          <w:b w:val="false"/>
          <w:bCs w:val="false"/>
        </w:rPr>
      </w:r>
    </w:p>
    <w:p>
      <w:pPr>
        <w:pStyle w:val="Normal"/>
        <w:rPr>
          <w:rFonts w:ascii="Source Serif Pro" w:hAnsi="Source Serif Pro"/>
          <w:b w:val="false"/>
          <w:b w:val="false"/>
          <w:bCs w:val="false"/>
        </w:rPr>
      </w:pPr>
      <w:r>
        <w:rPr>
          <w:rFonts w:ascii="Source Serif Pro" w:hAnsi="Source Serif Pro"/>
          <w:b w:val="false"/>
          <w:bCs w:val="false"/>
        </w:rPr>
        <w:t>There are some notable regional differences. In Alberta, Edmonton and Calgary show contrasting patterns: Calgary shows little difference between station-area movers and the broader CMA, while in Edmonton, though only three stations are in the sample, movers into station areas are more likely to be low-income.  The opposite pattern appears in Montreal, Toronto, and Vancouver. In these cities, station-area movers are much less likely to be low-income compared with the broader CMA. This aligns with housing affordability trends in these cities since the early 2000s, where much of the development near transit stations has been in the form of owner-occupied condominiums that are out of reach for low-income households, even as market-rate rental options have expanded.</w:t>
      </w:r>
    </w:p>
    <w:p>
      <w:pPr>
        <w:pStyle w:val="Normal"/>
        <w:rPr>
          <w:rFonts w:ascii="Source Serif Pro" w:hAnsi="Source Serif Pro"/>
          <w:b w:val="false"/>
          <w:b w:val="false"/>
          <w:bCs w:val="false"/>
        </w:rPr>
      </w:pPr>
      <w:r>
        <w:rPr>
          <w:rFonts w:ascii="Source Serif Pro" w:hAnsi="Source Serif Pro"/>
          <w:b w:val="false"/>
          <w:bCs w:val="false"/>
        </w:rPr>
      </w:r>
    </w:p>
    <w:p>
      <w:pPr>
        <w:pStyle w:val="Normal"/>
        <w:rPr>
          <w:rFonts w:ascii="Source Serif Pro" w:hAnsi="Source Serif Pro"/>
          <w:b w:val="false"/>
          <w:b w:val="false"/>
          <w:bCs w:val="false"/>
        </w:rPr>
      </w:pPr>
      <w:r>
        <w:rPr>
          <w:rFonts w:ascii="Source Serif Pro" w:hAnsi="Source Serif Pro"/>
          <w:b w:val="false"/>
          <w:bCs w:val="false"/>
        </w:rPr>
      </w:r>
    </w:p>
    <w:p>
      <w:pPr>
        <w:pStyle w:val="Normal"/>
        <w:rPr>
          <w:rFonts w:ascii="Source Serif Pro" w:hAnsi="Source Serif Pro"/>
          <w:b w:val="false"/>
          <w:b w:val="false"/>
          <w:bCs w:val="false"/>
        </w:rPr>
      </w:pPr>
      <w:r>
        <w:rPr>
          <w:rFonts w:ascii="Source Serif Pro" w:hAnsi="Source Serif Pro"/>
          <w:b w:val="false"/>
          <w:bCs w:val="false"/>
        </w:rPr>
        <w:t xml:space="preserve">Table 2 – Percentage of in-movers to transit station areas </w:t>
      </w:r>
      <w:r>
        <w:rPr>
          <w:rFonts w:ascii="Source Serif Pro" w:hAnsi="Source Serif Pro"/>
          <w:b w:val="false"/>
          <w:bCs w:val="false"/>
        </w:rPr>
        <w:t>(10 year window)</w:t>
      </w:r>
      <w:r>
        <w:rPr>
          <w:rFonts w:ascii="Source Serif Pro" w:hAnsi="Source Serif Pro"/>
          <w:b w:val="false"/>
          <w:bCs w:val="false"/>
        </w:rPr>
        <w:t xml:space="preserve"> that are low-income relative to CMA totals.</w:t>
      </w:r>
    </w:p>
    <w:p>
      <w:pPr>
        <w:pStyle w:val="Normal"/>
        <w:rPr>
          <w:rFonts w:ascii="Source Serif Pro" w:hAnsi="Source Serif Pro"/>
          <w:b w:val="false"/>
          <w:b w:val="false"/>
          <w:bCs w:val="false"/>
        </w:rPr>
      </w:pPr>
      <w:r>
        <w:rPr>
          <w:rFonts w:ascii="Source Serif Pro" w:hAnsi="Source Serif Pro"/>
          <w:b w:val="false"/>
          <w:bCs w:val="false"/>
        </w:rPr>
      </w:r>
    </w:p>
    <w:tbl>
      <w:tblPr>
        <w:tblW w:w="5000" w:type="pct"/>
        <w:jc w:val="left"/>
        <w:tblInd w:w="55" w:type="dxa"/>
        <w:tblLayout w:type="fixed"/>
        <w:tblCellMar>
          <w:top w:w="55" w:type="dxa"/>
          <w:left w:w="55" w:type="dxa"/>
          <w:bottom w:w="55" w:type="dxa"/>
          <w:right w:w="55" w:type="dxa"/>
        </w:tblCellMar>
      </w:tblPr>
      <w:tblGrid>
        <w:gridCol w:w="2493"/>
        <w:gridCol w:w="2493"/>
        <w:gridCol w:w="2492"/>
        <w:gridCol w:w="2494"/>
      </w:tblGrid>
      <w:tr>
        <w:trPr/>
        <w:tc>
          <w:tcPr>
            <w:tcW w:w="2493" w:type="dxa"/>
            <w:tcBorders>
              <w:top w:val="single" w:sz="4" w:space="0" w:color="000000"/>
              <w:bottom w:val="single" w:sz="4" w:space="0" w:color="000000"/>
            </w:tcBorders>
          </w:tcPr>
          <w:p>
            <w:pPr>
              <w:pStyle w:val="TableContents"/>
              <w:rPr>
                <w:rFonts w:ascii="Source Serif Pro" w:hAnsi="Source Serif Pro"/>
                <w:b/>
                <w:b/>
                <w:bCs/>
              </w:rPr>
            </w:pPr>
            <w:r>
              <w:rPr>
                <w:rFonts w:ascii="Source Serif Pro" w:hAnsi="Source Serif Pro"/>
                <w:b/>
                <w:bCs/>
              </w:rPr>
              <w:t>City</w:t>
            </w:r>
          </w:p>
        </w:tc>
        <w:tc>
          <w:tcPr>
            <w:tcW w:w="2493" w:type="dxa"/>
            <w:tcBorders>
              <w:top w:val="single" w:sz="4" w:space="0" w:color="000000"/>
              <w:bottom w:val="single" w:sz="4" w:space="0" w:color="000000"/>
            </w:tcBorders>
          </w:tcPr>
          <w:p>
            <w:pPr>
              <w:pStyle w:val="TableContents"/>
              <w:rPr>
                <w:rFonts w:ascii="Source Serif Pro" w:hAnsi="Source Serif Pro"/>
                <w:b/>
                <w:b/>
                <w:bCs/>
              </w:rPr>
            </w:pPr>
            <w:r>
              <w:rPr>
                <w:rFonts w:ascii="Source Serif Pro" w:hAnsi="Source Serif Pro"/>
                <w:b/>
                <w:bCs/>
              </w:rPr>
              <w:t>n stations</w:t>
            </w:r>
          </w:p>
        </w:tc>
        <w:tc>
          <w:tcPr>
            <w:tcW w:w="2492" w:type="dxa"/>
            <w:tcBorders>
              <w:top w:val="single" w:sz="4" w:space="0" w:color="000000"/>
              <w:bottom w:val="single" w:sz="4" w:space="0" w:color="000000"/>
            </w:tcBorders>
          </w:tcPr>
          <w:p>
            <w:pPr>
              <w:pStyle w:val="TableContents"/>
              <w:rPr>
                <w:rFonts w:ascii="Source Serif Pro" w:hAnsi="Source Serif Pro"/>
                <w:b/>
                <w:b/>
                <w:bCs/>
              </w:rPr>
            </w:pPr>
            <w:r>
              <w:rPr>
                <w:rFonts w:ascii="Source Serif Pro" w:hAnsi="Source Serif Pro"/>
                <w:b/>
                <w:bCs/>
              </w:rPr>
              <w:t xml:space="preserve">Average </w:t>
            </w:r>
            <w:r>
              <w:rPr>
                <w:rFonts w:ascii="Source Serif Pro" w:hAnsi="Source Serif Pro"/>
                <w:b/>
                <w:bCs/>
              </w:rPr>
              <w:t xml:space="preserve">% </w:t>
            </w:r>
            <w:r>
              <w:rPr>
                <w:rFonts w:ascii="Source Serif Pro" w:hAnsi="Source Serif Pro"/>
                <w:b/>
                <w:bCs/>
              </w:rPr>
              <w:t>of in-movers to station areas that are low-income residents*</w:t>
            </w:r>
          </w:p>
        </w:tc>
        <w:tc>
          <w:tcPr>
            <w:tcW w:w="2494" w:type="dxa"/>
            <w:tcBorders>
              <w:top w:val="single" w:sz="4" w:space="0" w:color="000000"/>
              <w:bottom w:val="single" w:sz="4" w:space="0" w:color="000000"/>
            </w:tcBorders>
          </w:tcPr>
          <w:p>
            <w:pPr>
              <w:pStyle w:val="TableContents"/>
              <w:rPr>
                <w:rFonts w:ascii="Source Serif Pro" w:hAnsi="Source Serif Pro"/>
                <w:b/>
                <w:b/>
                <w:bCs/>
              </w:rPr>
            </w:pPr>
            <w:r>
              <w:rPr>
                <w:rFonts w:ascii="Source Serif Pro" w:hAnsi="Source Serif Pro"/>
                <w:b/>
                <w:bCs/>
              </w:rPr>
              <w:t xml:space="preserve">Average </w:t>
            </w:r>
            <w:r>
              <w:rPr>
                <w:rFonts w:ascii="Source Serif Pro" w:hAnsi="Source Serif Pro"/>
                <w:b/>
                <w:bCs/>
              </w:rPr>
              <w:t xml:space="preserve">% </w:t>
            </w:r>
            <w:r>
              <w:rPr>
                <w:rFonts w:ascii="Source Serif Pro" w:hAnsi="Source Serif Pro"/>
                <w:b/>
                <w:bCs/>
              </w:rPr>
              <w:t>of all in-moves in the CMA that are low-income residents*</w:t>
            </w:r>
          </w:p>
        </w:tc>
      </w:tr>
      <w:tr>
        <w:trPr/>
        <w:tc>
          <w:tcPr>
            <w:tcW w:w="2493" w:type="dxa"/>
            <w:tcBorders>
              <w:top w:val="single" w:sz="4" w:space="0" w:color="000000"/>
              <w:bottom w:val="single" w:sz="4" w:space="0" w:color="000000"/>
            </w:tcBorders>
          </w:tcPr>
          <w:p>
            <w:pPr>
              <w:pStyle w:val="TableContents"/>
              <w:rPr>
                <w:rFonts w:ascii="Source Serif Pro" w:hAnsi="Source Serif Pro"/>
                <w:b/>
                <w:b/>
                <w:bCs/>
              </w:rPr>
            </w:pPr>
            <w:r>
              <w:rPr>
                <w:rFonts w:ascii="Source Serif Pro" w:hAnsi="Source Serif Pro"/>
                <w:b/>
                <w:bCs/>
              </w:rPr>
              <w:t>‍</w:t>
            </w:r>
            <w:r>
              <w:rPr>
                <w:rFonts w:ascii="Source Serif Pro" w:hAnsi="Source Serif Pro"/>
                <w:b/>
                <w:bCs/>
              </w:rPr>
              <w:t xml:space="preserve">Total </w:t>
            </w:r>
          </w:p>
        </w:tc>
        <w:tc>
          <w:tcPr>
            <w:tcW w:w="2493" w:type="dxa"/>
            <w:tcBorders>
              <w:top w:val="single" w:sz="4" w:space="0" w:color="000000"/>
              <w:bottom w:val="single" w:sz="4" w:space="0" w:color="000000"/>
            </w:tcBorders>
          </w:tcPr>
          <w:p>
            <w:pPr>
              <w:pStyle w:val="TableContents"/>
              <w:jc w:val="center"/>
              <w:rPr>
                <w:b/>
                <w:b/>
                <w:bCs/>
              </w:rPr>
            </w:pPr>
            <w:r>
              <w:rPr>
                <w:b/>
                <w:bCs/>
              </w:rPr>
              <w:t>70</w:t>
            </w:r>
          </w:p>
        </w:tc>
        <w:tc>
          <w:tcPr>
            <w:tcW w:w="2492" w:type="dxa"/>
            <w:tcBorders>
              <w:top w:val="single" w:sz="4" w:space="0" w:color="000000"/>
              <w:bottom w:val="single" w:sz="4" w:space="0" w:color="000000"/>
            </w:tcBorders>
          </w:tcPr>
          <w:p>
            <w:pPr>
              <w:pStyle w:val="TableContents"/>
              <w:jc w:val="center"/>
              <w:rPr>
                <w:b/>
                <w:b/>
                <w:bCs/>
              </w:rPr>
            </w:pPr>
            <w:r>
              <w:rPr>
                <w:b/>
                <w:bCs/>
              </w:rPr>
              <w:t>31.4%</w:t>
            </w:r>
          </w:p>
        </w:tc>
        <w:tc>
          <w:tcPr>
            <w:tcW w:w="2494" w:type="dxa"/>
            <w:tcBorders>
              <w:top w:val="single" w:sz="4" w:space="0" w:color="000000"/>
              <w:bottom w:val="single" w:sz="4" w:space="0" w:color="000000"/>
            </w:tcBorders>
          </w:tcPr>
          <w:p>
            <w:pPr>
              <w:pStyle w:val="TableContents"/>
              <w:jc w:val="center"/>
              <w:rPr>
                <w:b/>
                <w:b/>
                <w:bCs/>
              </w:rPr>
            </w:pPr>
            <w:r>
              <w:rPr>
                <w:b/>
                <w:bCs/>
              </w:rPr>
              <w:t>3</w:t>
            </w:r>
            <w:r>
              <w:rPr>
                <w:b/>
                <w:bCs/>
              </w:rPr>
              <w:t>7</w:t>
            </w:r>
            <w:r>
              <w:rPr>
                <w:b/>
                <w:bCs/>
              </w:rPr>
              <w:t>.</w:t>
            </w:r>
            <w:r>
              <w:rPr>
                <w:b/>
                <w:bCs/>
              </w:rPr>
              <w:t>0</w:t>
            </w:r>
            <w:r>
              <w:rPr>
                <w:b/>
                <w:bCs/>
              </w:rPr>
              <w:t>%</w:t>
            </w:r>
          </w:p>
        </w:tc>
      </w:tr>
      <w:tr>
        <w:trPr/>
        <w:tc>
          <w:tcPr>
            <w:tcW w:w="2493" w:type="dxa"/>
            <w:tcBorders/>
          </w:tcPr>
          <w:p>
            <w:pPr>
              <w:pStyle w:val="TableContents"/>
              <w:rPr>
                <w:rFonts w:ascii="Source Serif Pro" w:hAnsi="Source Serif Pro"/>
              </w:rPr>
            </w:pPr>
            <w:r>
              <w:rPr>
                <w:rFonts w:ascii="Source Serif Pro" w:hAnsi="Source Serif Pro"/>
              </w:rPr>
              <w:t>Opened 1990-1999</w:t>
            </w:r>
          </w:p>
        </w:tc>
        <w:tc>
          <w:tcPr>
            <w:tcW w:w="2493" w:type="dxa"/>
            <w:tcBorders/>
          </w:tcPr>
          <w:p>
            <w:pPr>
              <w:pStyle w:val="TableContents"/>
              <w:jc w:val="center"/>
              <w:rPr/>
            </w:pPr>
            <w:r>
              <w:rPr/>
              <w:t>7</w:t>
            </w:r>
          </w:p>
        </w:tc>
        <w:tc>
          <w:tcPr>
            <w:tcW w:w="2492" w:type="dxa"/>
            <w:tcBorders/>
          </w:tcPr>
          <w:p>
            <w:pPr>
              <w:pStyle w:val="TableContents"/>
              <w:jc w:val="center"/>
              <w:rPr>
                <w:b w:val="false"/>
                <w:b w:val="false"/>
                <w:bCs w:val="false"/>
              </w:rPr>
            </w:pPr>
            <w:r>
              <w:rPr>
                <w:b w:val="false"/>
                <w:bCs w:val="false"/>
              </w:rPr>
              <w:t>27.5%</w:t>
            </w:r>
          </w:p>
        </w:tc>
        <w:tc>
          <w:tcPr>
            <w:tcW w:w="2494" w:type="dxa"/>
            <w:tcBorders/>
          </w:tcPr>
          <w:p>
            <w:pPr>
              <w:pStyle w:val="TableContents"/>
              <w:jc w:val="center"/>
              <w:rPr>
                <w:b w:val="false"/>
                <w:b w:val="false"/>
                <w:bCs w:val="false"/>
              </w:rPr>
            </w:pPr>
            <w:r>
              <w:rPr>
                <w:b w:val="false"/>
                <w:bCs w:val="false"/>
              </w:rPr>
              <w:t>37.4%</w:t>
            </w:r>
          </w:p>
        </w:tc>
      </w:tr>
      <w:tr>
        <w:trPr/>
        <w:tc>
          <w:tcPr>
            <w:tcW w:w="2493" w:type="dxa"/>
            <w:tcBorders/>
          </w:tcPr>
          <w:p>
            <w:pPr>
              <w:pStyle w:val="TableContents"/>
              <w:rPr>
                <w:rFonts w:ascii="Source Serif Pro" w:hAnsi="Source Serif Pro"/>
              </w:rPr>
            </w:pPr>
            <w:r>
              <w:rPr>
                <w:rFonts w:ascii="Source Serif Pro" w:hAnsi="Source Serif Pro"/>
              </w:rPr>
              <w:t>Opened 2000-2004</w:t>
            </w:r>
          </w:p>
        </w:tc>
        <w:tc>
          <w:tcPr>
            <w:tcW w:w="2493" w:type="dxa"/>
            <w:tcBorders/>
          </w:tcPr>
          <w:p>
            <w:pPr>
              <w:pStyle w:val="TableContents"/>
              <w:jc w:val="center"/>
              <w:rPr/>
            </w:pPr>
            <w:r>
              <w:rPr/>
              <w:t>23</w:t>
            </w:r>
          </w:p>
        </w:tc>
        <w:tc>
          <w:tcPr>
            <w:tcW w:w="2492" w:type="dxa"/>
            <w:tcBorders/>
          </w:tcPr>
          <w:p>
            <w:pPr>
              <w:pStyle w:val="TableContents"/>
              <w:jc w:val="center"/>
              <w:rPr>
                <w:b w:val="false"/>
                <w:b w:val="false"/>
                <w:bCs w:val="false"/>
              </w:rPr>
            </w:pPr>
            <w:r>
              <w:rPr>
                <w:b w:val="false"/>
                <w:bCs w:val="false"/>
              </w:rPr>
              <w:t>31.5%</w:t>
            </w:r>
          </w:p>
        </w:tc>
        <w:tc>
          <w:tcPr>
            <w:tcW w:w="2494" w:type="dxa"/>
            <w:tcBorders/>
          </w:tcPr>
          <w:p>
            <w:pPr>
              <w:pStyle w:val="TableContents"/>
              <w:jc w:val="center"/>
              <w:rPr>
                <w:b w:val="false"/>
                <w:b w:val="false"/>
                <w:bCs w:val="false"/>
              </w:rPr>
            </w:pPr>
            <w:r>
              <w:rPr>
                <w:b w:val="false"/>
                <w:bCs w:val="false"/>
              </w:rPr>
              <w:t>37.3%</w:t>
            </w:r>
          </w:p>
        </w:tc>
      </w:tr>
      <w:tr>
        <w:trPr/>
        <w:tc>
          <w:tcPr>
            <w:tcW w:w="2493" w:type="dxa"/>
            <w:tcBorders/>
          </w:tcPr>
          <w:p>
            <w:pPr>
              <w:pStyle w:val="TableContents"/>
              <w:rPr>
                <w:rFonts w:ascii="Source Serif Pro" w:hAnsi="Source Serif Pro"/>
              </w:rPr>
            </w:pPr>
            <w:r>
              <w:rPr>
                <w:rFonts w:ascii="Source Serif Pro" w:hAnsi="Source Serif Pro"/>
              </w:rPr>
              <w:t>Opened 200</w:t>
            </w:r>
            <w:r>
              <w:rPr>
                <w:rFonts w:ascii="Source Serif Pro" w:hAnsi="Source Serif Pro"/>
              </w:rPr>
              <w:t>5</w:t>
            </w:r>
            <w:r>
              <w:rPr>
                <w:rFonts w:ascii="Source Serif Pro" w:hAnsi="Source Serif Pro"/>
              </w:rPr>
              <w:t>-2009</w:t>
            </w:r>
          </w:p>
        </w:tc>
        <w:tc>
          <w:tcPr>
            <w:tcW w:w="2493" w:type="dxa"/>
            <w:tcBorders/>
          </w:tcPr>
          <w:p>
            <w:pPr>
              <w:pStyle w:val="TableContents"/>
              <w:jc w:val="center"/>
              <w:rPr/>
            </w:pPr>
            <w:r>
              <w:rPr/>
              <w:t>24</w:t>
            </w:r>
          </w:p>
        </w:tc>
        <w:tc>
          <w:tcPr>
            <w:tcW w:w="2492" w:type="dxa"/>
            <w:tcBorders/>
          </w:tcPr>
          <w:p>
            <w:pPr>
              <w:pStyle w:val="TableContents"/>
              <w:jc w:val="center"/>
              <w:rPr>
                <w:b w:val="false"/>
                <w:b w:val="false"/>
                <w:bCs w:val="false"/>
              </w:rPr>
            </w:pPr>
            <w:r>
              <w:rPr>
                <w:b w:val="false"/>
                <w:bCs w:val="false"/>
              </w:rPr>
              <w:t>31.9%</w:t>
            </w:r>
          </w:p>
        </w:tc>
        <w:tc>
          <w:tcPr>
            <w:tcW w:w="2494" w:type="dxa"/>
            <w:tcBorders/>
          </w:tcPr>
          <w:p>
            <w:pPr>
              <w:pStyle w:val="TableContents"/>
              <w:jc w:val="center"/>
              <w:rPr>
                <w:b w:val="false"/>
                <w:b w:val="false"/>
                <w:bCs w:val="false"/>
              </w:rPr>
            </w:pPr>
            <w:r>
              <w:rPr>
                <w:b w:val="false"/>
                <w:bCs w:val="false"/>
              </w:rPr>
              <w:t>40.2%</w:t>
            </w:r>
          </w:p>
        </w:tc>
      </w:tr>
      <w:tr>
        <w:trPr/>
        <w:tc>
          <w:tcPr>
            <w:tcW w:w="2493" w:type="dxa"/>
            <w:tcBorders/>
          </w:tcPr>
          <w:p>
            <w:pPr>
              <w:pStyle w:val="TableContents"/>
              <w:rPr>
                <w:rFonts w:ascii="Source Serif Pro" w:hAnsi="Source Serif Pro"/>
              </w:rPr>
            </w:pPr>
            <w:r>
              <w:rPr>
                <w:rFonts w:ascii="Source Serif Pro" w:hAnsi="Source Serif Pro"/>
              </w:rPr>
              <w:t>Opened 2010-2016</w:t>
            </w:r>
          </w:p>
        </w:tc>
        <w:tc>
          <w:tcPr>
            <w:tcW w:w="2493" w:type="dxa"/>
            <w:tcBorders/>
          </w:tcPr>
          <w:p>
            <w:pPr>
              <w:pStyle w:val="TableContents"/>
              <w:jc w:val="center"/>
              <w:rPr/>
            </w:pPr>
            <w:r>
              <w:rPr/>
              <w:t>16</w:t>
            </w:r>
          </w:p>
        </w:tc>
        <w:tc>
          <w:tcPr>
            <w:tcW w:w="2492" w:type="dxa"/>
            <w:tcBorders/>
          </w:tcPr>
          <w:p>
            <w:pPr>
              <w:pStyle w:val="TableContents"/>
              <w:jc w:val="center"/>
              <w:rPr>
                <w:b w:val="false"/>
                <w:b w:val="false"/>
                <w:bCs w:val="false"/>
              </w:rPr>
            </w:pPr>
            <w:r>
              <w:rPr>
                <w:b w:val="false"/>
                <w:bCs w:val="false"/>
              </w:rPr>
              <w:t>31.4%</w:t>
            </w:r>
          </w:p>
        </w:tc>
        <w:tc>
          <w:tcPr>
            <w:tcW w:w="2494" w:type="dxa"/>
            <w:tcBorders/>
          </w:tcPr>
          <w:p>
            <w:pPr>
              <w:pStyle w:val="TableContents"/>
              <w:jc w:val="center"/>
              <w:rPr>
                <w:b w:val="false"/>
                <w:b w:val="false"/>
                <w:bCs w:val="false"/>
              </w:rPr>
            </w:pPr>
            <w:r>
              <w:rPr>
                <w:b w:val="false"/>
                <w:bCs w:val="false"/>
              </w:rPr>
              <w:t>31.6%</w:t>
            </w:r>
          </w:p>
        </w:tc>
      </w:tr>
      <w:tr>
        <w:trPr/>
        <w:tc>
          <w:tcPr>
            <w:tcW w:w="2493" w:type="dxa"/>
            <w:tcBorders>
              <w:top w:val="single" w:sz="4" w:space="0" w:color="000000"/>
            </w:tcBorders>
          </w:tcPr>
          <w:p>
            <w:pPr>
              <w:pStyle w:val="TableContents"/>
              <w:rPr>
                <w:rFonts w:ascii="Source Serif Pro" w:hAnsi="Source Serif Pro"/>
              </w:rPr>
            </w:pPr>
            <w:r>
              <w:rPr>
                <w:rFonts w:ascii="Source Serif Pro" w:hAnsi="Source Serif Pro"/>
              </w:rPr>
              <w:t>‍</w:t>
            </w:r>
            <w:r>
              <w:rPr>
                <w:rFonts w:ascii="Source Serif Pro" w:hAnsi="Source Serif Pro"/>
              </w:rPr>
              <w:t>Subway/Metro</w:t>
            </w:r>
          </w:p>
        </w:tc>
        <w:tc>
          <w:tcPr>
            <w:tcW w:w="2493" w:type="dxa"/>
            <w:tcBorders>
              <w:top w:val="single" w:sz="4" w:space="0" w:color="000000"/>
            </w:tcBorders>
          </w:tcPr>
          <w:p>
            <w:pPr>
              <w:pStyle w:val="TableContents"/>
              <w:jc w:val="center"/>
              <w:rPr/>
            </w:pPr>
            <w:r>
              <w:rPr/>
              <w:t>16</w:t>
            </w:r>
          </w:p>
        </w:tc>
        <w:tc>
          <w:tcPr>
            <w:tcW w:w="2492" w:type="dxa"/>
            <w:tcBorders>
              <w:top w:val="single" w:sz="4" w:space="0" w:color="000000"/>
            </w:tcBorders>
          </w:tcPr>
          <w:p>
            <w:pPr>
              <w:pStyle w:val="TableContents"/>
              <w:jc w:val="center"/>
              <w:rPr>
                <w:b w:val="false"/>
                <w:b w:val="false"/>
                <w:bCs w:val="false"/>
              </w:rPr>
            </w:pPr>
            <w:r>
              <w:rPr>
                <w:b w:val="false"/>
                <w:bCs w:val="false"/>
              </w:rPr>
              <w:t>30.1%</w:t>
            </w:r>
          </w:p>
        </w:tc>
        <w:tc>
          <w:tcPr>
            <w:tcW w:w="2494" w:type="dxa"/>
            <w:tcBorders>
              <w:top w:val="single" w:sz="4" w:space="0" w:color="000000"/>
            </w:tcBorders>
          </w:tcPr>
          <w:p>
            <w:pPr>
              <w:pStyle w:val="TableContents"/>
              <w:jc w:val="center"/>
              <w:rPr>
                <w:b w:val="false"/>
                <w:b w:val="false"/>
                <w:bCs w:val="false"/>
              </w:rPr>
            </w:pPr>
            <w:r>
              <w:rPr>
                <w:b w:val="false"/>
                <w:bCs w:val="false"/>
              </w:rPr>
              <w:t>40.9%</w:t>
            </w:r>
          </w:p>
        </w:tc>
      </w:tr>
      <w:tr>
        <w:trPr/>
        <w:tc>
          <w:tcPr>
            <w:tcW w:w="2493" w:type="dxa"/>
            <w:tcBorders/>
          </w:tcPr>
          <w:p>
            <w:pPr>
              <w:pStyle w:val="TableContents"/>
              <w:rPr>
                <w:rFonts w:ascii="Source Serif Pro" w:hAnsi="Source Serif Pro"/>
              </w:rPr>
            </w:pPr>
            <w:r>
              <w:rPr>
                <w:rFonts w:ascii="Source Serif Pro" w:hAnsi="Source Serif Pro"/>
              </w:rPr>
              <w:t>‍</w:t>
            </w:r>
            <w:r>
              <w:rPr>
                <w:rFonts w:ascii="Source Serif Pro" w:hAnsi="Source Serif Pro"/>
              </w:rPr>
              <w:t>Light Rail Transit (LRT)</w:t>
            </w:r>
          </w:p>
        </w:tc>
        <w:tc>
          <w:tcPr>
            <w:tcW w:w="2493" w:type="dxa"/>
            <w:tcBorders/>
          </w:tcPr>
          <w:p>
            <w:pPr>
              <w:pStyle w:val="TableContents"/>
              <w:jc w:val="center"/>
              <w:rPr/>
            </w:pPr>
            <w:r>
              <w:rPr/>
              <w:t>23</w:t>
            </w:r>
          </w:p>
        </w:tc>
        <w:tc>
          <w:tcPr>
            <w:tcW w:w="2492" w:type="dxa"/>
            <w:tcBorders/>
          </w:tcPr>
          <w:p>
            <w:pPr>
              <w:pStyle w:val="TableContents"/>
              <w:jc w:val="center"/>
              <w:rPr>
                <w:b w:val="false"/>
                <w:b w:val="false"/>
                <w:bCs w:val="false"/>
              </w:rPr>
            </w:pPr>
            <w:r>
              <w:rPr>
                <w:b w:val="false"/>
                <w:bCs w:val="false"/>
              </w:rPr>
              <w:t>29.7%</w:t>
            </w:r>
          </w:p>
        </w:tc>
        <w:tc>
          <w:tcPr>
            <w:tcW w:w="2494" w:type="dxa"/>
            <w:tcBorders/>
          </w:tcPr>
          <w:p>
            <w:pPr>
              <w:pStyle w:val="TableContents"/>
              <w:jc w:val="center"/>
              <w:rPr>
                <w:b w:val="false"/>
                <w:b w:val="false"/>
                <w:bCs w:val="false"/>
              </w:rPr>
            </w:pPr>
            <w:r>
              <w:rPr>
                <w:b w:val="false"/>
                <w:bCs w:val="false"/>
              </w:rPr>
              <w:t>27.6%</w:t>
            </w:r>
          </w:p>
        </w:tc>
      </w:tr>
      <w:tr>
        <w:trPr/>
        <w:tc>
          <w:tcPr>
            <w:tcW w:w="2493" w:type="dxa"/>
            <w:tcBorders/>
          </w:tcPr>
          <w:p>
            <w:pPr>
              <w:pStyle w:val="TableContents"/>
              <w:rPr>
                <w:rFonts w:ascii="Source Serif Pro" w:hAnsi="Source Serif Pro"/>
              </w:rPr>
            </w:pPr>
            <w:r>
              <w:rPr>
                <w:rFonts w:ascii="Source Serif Pro" w:hAnsi="Source Serif Pro"/>
              </w:rPr>
              <w:t>Commuter/Regional Rail</w:t>
            </w:r>
          </w:p>
        </w:tc>
        <w:tc>
          <w:tcPr>
            <w:tcW w:w="2493" w:type="dxa"/>
            <w:tcBorders/>
          </w:tcPr>
          <w:p>
            <w:pPr>
              <w:pStyle w:val="TableContents"/>
              <w:jc w:val="center"/>
              <w:rPr/>
            </w:pPr>
            <w:r>
              <w:rPr/>
              <w:t>31</w:t>
            </w:r>
          </w:p>
        </w:tc>
        <w:tc>
          <w:tcPr>
            <w:tcW w:w="2492" w:type="dxa"/>
            <w:tcBorders/>
          </w:tcPr>
          <w:p>
            <w:pPr>
              <w:pStyle w:val="TableContents"/>
              <w:jc w:val="center"/>
              <w:rPr>
                <w:b w:val="false"/>
                <w:b w:val="false"/>
                <w:bCs w:val="false"/>
              </w:rPr>
            </w:pPr>
            <w:r>
              <w:rPr>
                <w:b w:val="false"/>
                <w:bCs w:val="false"/>
              </w:rPr>
              <w:t>32.5%</w:t>
            </w:r>
          </w:p>
        </w:tc>
        <w:tc>
          <w:tcPr>
            <w:tcW w:w="2494" w:type="dxa"/>
            <w:tcBorders/>
          </w:tcPr>
          <w:p>
            <w:pPr>
              <w:pStyle w:val="TableContents"/>
              <w:jc w:val="center"/>
              <w:rPr>
                <w:b w:val="false"/>
                <w:b w:val="false"/>
                <w:bCs w:val="false"/>
              </w:rPr>
            </w:pPr>
            <w:r>
              <w:rPr>
                <w:b w:val="false"/>
                <w:bCs w:val="false"/>
              </w:rPr>
              <w:t>42.1%</w:t>
            </w:r>
          </w:p>
        </w:tc>
      </w:tr>
      <w:tr>
        <w:trPr/>
        <w:tc>
          <w:tcPr>
            <w:tcW w:w="2493" w:type="dxa"/>
            <w:tcBorders>
              <w:top w:val="single" w:sz="4" w:space="0" w:color="000000"/>
            </w:tcBorders>
          </w:tcPr>
          <w:p>
            <w:pPr>
              <w:pStyle w:val="TableContents"/>
              <w:rPr>
                <w:rFonts w:ascii="Source Serif Pro" w:hAnsi="Source Serif Pro"/>
              </w:rPr>
            </w:pPr>
            <w:r>
              <w:rPr>
                <w:rFonts w:ascii="Source Serif Pro" w:hAnsi="Source Serif Pro"/>
              </w:rPr>
              <w:t>Calgary</w:t>
            </w:r>
          </w:p>
        </w:tc>
        <w:tc>
          <w:tcPr>
            <w:tcW w:w="2493" w:type="dxa"/>
            <w:tcBorders>
              <w:top w:val="single" w:sz="4" w:space="0" w:color="000000"/>
            </w:tcBorders>
          </w:tcPr>
          <w:p>
            <w:pPr>
              <w:pStyle w:val="TableContents"/>
              <w:jc w:val="center"/>
              <w:rPr/>
            </w:pPr>
            <w:r>
              <w:rPr/>
              <w:t>20</w:t>
            </w:r>
          </w:p>
        </w:tc>
        <w:tc>
          <w:tcPr>
            <w:tcW w:w="2492" w:type="dxa"/>
            <w:tcBorders>
              <w:top w:val="single" w:sz="4" w:space="0" w:color="000000"/>
            </w:tcBorders>
          </w:tcPr>
          <w:p>
            <w:pPr>
              <w:pStyle w:val="TableContents"/>
              <w:jc w:val="center"/>
              <w:rPr>
                <w:b w:val="false"/>
                <w:b w:val="false"/>
                <w:bCs w:val="false"/>
              </w:rPr>
            </w:pPr>
            <w:r>
              <w:rPr>
                <w:b w:val="false"/>
                <w:bCs w:val="false"/>
              </w:rPr>
              <w:t>27.5%</w:t>
            </w:r>
          </w:p>
        </w:tc>
        <w:tc>
          <w:tcPr>
            <w:tcW w:w="2494" w:type="dxa"/>
            <w:tcBorders>
              <w:top w:val="single" w:sz="4" w:space="0" w:color="000000"/>
            </w:tcBorders>
          </w:tcPr>
          <w:p>
            <w:pPr>
              <w:pStyle w:val="TableContents"/>
              <w:jc w:val="center"/>
              <w:rPr>
                <w:b w:val="false"/>
                <w:b w:val="false"/>
                <w:bCs w:val="false"/>
              </w:rPr>
            </w:pPr>
            <w:r>
              <w:rPr>
                <w:b w:val="false"/>
                <w:bCs w:val="false"/>
              </w:rPr>
              <w:t>27.4%</w:t>
            </w:r>
          </w:p>
        </w:tc>
      </w:tr>
      <w:tr>
        <w:trPr/>
        <w:tc>
          <w:tcPr>
            <w:tcW w:w="2493" w:type="dxa"/>
            <w:tcBorders/>
          </w:tcPr>
          <w:p>
            <w:pPr>
              <w:pStyle w:val="TableContents"/>
              <w:rPr>
                <w:rFonts w:ascii="Source Serif Pro" w:hAnsi="Source Serif Pro"/>
              </w:rPr>
            </w:pPr>
            <w:r>
              <w:rPr>
                <w:rFonts w:ascii="Source Serif Pro" w:hAnsi="Source Serif Pro"/>
              </w:rPr>
              <w:t>Edmonton</w:t>
            </w:r>
          </w:p>
        </w:tc>
        <w:tc>
          <w:tcPr>
            <w:tcW w:w="2493" w:type="dxa"/>
            <w:tcBorders/>
          </w:tcPr>
          <w:p>
            <w:pPr>
              <w:pStyle w:val="TableContents"/>
              <w:jc w:val="center"/>
              <w:rPr/>
            </w:pPr>
            <w:r>
              <w:rPr/>
              <w:t>3</w:t>
            </w:r>
          </w:p>
        </w:tc>
        <w:tc>
          <w:tcPr>
            <w:tcW w:w="2492" w:type="dxa"/>
            <w:tcBorders/>
          </w:tcPr>
          <w:p>
            <w:pPr>
              <w:pStyle w:val="TableContents"/>
              <w:jc w:val="center"/>
              <w:rPr>
                <w:b w:val="false"/>
                <w:b w:val="false"/>
                <w:bCs w:val="false"/>
              </w:rPr>
            </w:pPr>
            <w:r>
              <w:rPr>
                <w:b w:val="false"/>
                <w:bCs w:val="false"/>
              </w:rPr>
              <w:t>37.4%</w:t>
            </w:r>
          </w:p>
        </w:tc>
        <w:tc>
          <w:tcPr>
            <w:tcW w:w="2494" w:type="dxa"/>
            <w:tcBorders/>
          </w:tcPr>
          <w:p>
            <w:pPr>
              <w:pStyle w:val="TableContents"/>
              <w:jc w:val="center"/>
              <w:rPr>
                <w:b w:val="false"/>
                <w:b w:val="false"/>
                <w:bCs w:val="false"/>
              </w:rPr>
            </w:pPr>
            <w:r>
              <w:rPr>
                <w:b w:val="false"/>
                <w:bCs w:val="false"/>
              </w:rPr>
              <w:t>29.</w:t>
            </w:r>
            <w:r>
              <w:rPr>
                <w:b w:val="false"/>
                <w:bCs w:val="false"/>
              </w:rPr>
              <w:t>0%</w:t>
            </w:r>
          </w:p>
        </w:tc>
      </w:tr>
      <w:tr>
        <w:trPr/>
        <w:tc>
          <w:tcPr>
            <w:tcW w:w="2493" w:type="dxa"/>
            <w:tcBorders/>
          </w:tcPr>
          <w:p>
            <w:pPr>
              <w:pStyle w:val="TableContents"/>
              <w:rPr>
                <w:rFonts w:ascii="Source Serif Pro" w:hAnsi="Source Serif Pro"/>
              </w:rPr>
            </w:pPr>
            <w:r>
              <w:rPr>
                <w:rFonts w:ascii="Source Serif Pro" w:hAnsi="Source Serif Pro"/>
              </w:rPr>
              <w:t>Montreal</w:t>
            </w:r>
          </w:p>
        </w:tc>
        <w:tc>
          <w:tcPr>
            <w:tcW w:w="2493" w:type="dxa"/>
            <w:tcBorders/>
          </w:tcPr>
          <w:p>
            <w:pPr>
              <w:pStyle w:val="TableContents"/>
              <w:jc w:val="center"/>
              <w:rPr/>
            </w:pPr>
            <w:r>
              <w:rPr/>
              <w:t>3</w:t>
            </w:r>
          </w:p>
        </w:tc>
        <w:tc>
          <w:tcPr>
            <w:tcW w:w="2492" w:type="dxa"/>
            <w:tcBorders/>
          </w:tcPr>
          <w:p>
            <w:pPr>
              <w:pStyle w:val="TableContents"/>
              <w:jc w:val="center"/>
              <w:rPr>
                <w:b w:val="false"/>
                <w:b w:val="false"/>
                <w:bCs w:val="false"/>
              </w:rPr>
            </w:pPr>
            <w:r>
              <w:rPr>
                <w:b w:val="false"/>
                <w:bCs w:val="false"/>
              </w:rPr>
              <w:t>31.5%</w:t>
            </w:r>
          </w:p>
        </w:tc>
        <w:tc>
          <w:tcPr>
            <w:tcW w:w="2494" w:type="dxa"/>
            <w:tcBorders/>
          </w:tcPr>
          <w:p>
            <w:pPr>
              <w:pStyle w:val="TableContents"/>
              <w:jc w:val="center"/>
              <w:rPr>
                <w:b w:val="false"/>
                <w:b w:val="false"/>
                <w:bCs w:val="false"/>
              </w:rPr>
            </w:pPr>
            <w:r>
              <w:rPr>
                <w:b w:val="false"/>
                <w:bCs w:val="false"/>
              </w:rPr>
              <w:t>42.7%</w:t>
            </w:r>
          </w:p>
        </w:tc>
      </w:tr>
      <w:tr>
        <w:trPr/>
        <w:tc>
          <w:tcPr>
            <w:tcW w:w="2493" w:type="dxa"/>
            <w:tcBorders/>
          </w:tcPr>
          <w:p>
            <w:pPr>
              <w:pStyle w:val="TableContents"/>
              <w:rPr>
                <w:rFonts w:ascii="Source Serif Pro" w:hAnsi="Source Serif Pro"/>
              </w:rPr>
            </w:pPr>
            <w:r>
              <w:rPr>
                <w:rFonts w:ascii="Source Serif Pro" w:hAnsi="Source Serif Pro"/>
              </w:rPr>
              <w:t>Toronto</w:t>
            </w:r>
          </w:p>
        </w:tc>
        <w:tc>
          <w:tcPr>
            <w:tcW w:w="2493" w:type="dxa"/>
            <w:tcBorders/>
          </w:tcPr>
          <w:p>
            <w:pPr>
              <w:pStyle w:val="TableContents"/>
              <w:jc w:val="center"/>
              <w:rPr/>
            </w:pPr>
            <w:r>
              <w:rPr/>
              <w:t>15</w:t>
            </w:r>
          </w:p>
        </w:tc>
        <w:tc>
          <w:tcPr>
            <w:tcW w:w="2492" w:type="dxa"/>
            <w:tcBorders/>
          </w:tcPr>
          <w:p>
            <w:pPr>
              <w:pStyle w:val="TableContents"/>
              <w:jc w:val="center"/>
              <w:rPr>
                <w:b w:val="false"/>
                <w:b w:val="false"/>
                <w:bCs w:val="false"/>
              </w:rPr>
            </w:pPr>
            <w:r>
              <w:rPr>
                <w:b w:val="false"/>
                <w:bCs w:val="false"/>
              </w:rPr>
              <w:t>34.2%</w:t>
            </w:r>
          </w:p>
        </w:tc>
        <w:tc>
          <w:tcPr>
            <w:tcW w:w="2494" w:type="dxa"/>
            <w:tcBorders/>
          </w:tcPr>
          <w:p>
            <w:pPr>
              <w:pStyle w:val="TableContents"/>
              <w:jc w:val="center"/>
              <w:rPr>
                <w:b w:val="false"/>
                <w:b w:val="false"/>
                <w:bCs w:val="false"/>
              </w:rPr>
            </w:pPr>
            <w:r>
              <w:rPr>
                <w:b w:val="false"/>
                <w:bCs w:val="false"/>
              </w:rPr>
              <w:t>40.2%</w:t>
            </w:r>
          </w:p>
        </w:tc>
      </w:tr>
      <w:tr>
        <w:trPr/>
        <w:tc>
          <w:tcPr>
            <w:tcW w:w="2493" w:type="dxa"/>
            <w:tcBorders>
              <w:bottom w:val="single" w:sz="4" w:space="0" w:color="000000"/>
            </w:tcBorders>
          </w:tcPr>
          <w:p>
            <w:pPr>
              <w:pStyle w:val="TableContents"/>
              <w:rPr>
                <w:rFonts w:ascii="Source Serif Pro" w:hAnsi="Source Serif Pro"/>
              </w:rPr>
            </w:pPr>
            <w:r>
              <w:rPr>
                <w:rFonts w:ascii="Source Serif Pro" w:hAnsi="Source Serif Pro"/>
              </w:rPr>
              <w:t>Vancouver</w:t>
            </w:r>
          </w:p>
        </w:tc>
        <w:tc>
          <w:tcPr>
            <w:tcW w:w="2493" w:type="dxa"/>
            <w:tcBorders>
              <w:bottom w:val="single" w:sz="4" w:space="0" w:color="000000"/>
            </w:tcBorders>
          </w:tcPr>
          <w:p>
            <w:pPr>
              <w:pStyle w:val="TableContents"/>
              <w:jc w:val="center"/>
              <w:rPr/>
            </w:pPr>
            <w:r>
              <w:rPr/>
              <w:t>29</w:t>
            </w:r>
          </w:p>
        </w:tc>
        <w:tc>
          <w:tcPr>
            <w:tcW w:w="2492" w:type="dxa"/>
            <w:tcBorders>
              <w:bottom w:val="single" w:sz="4" w:space="0" w:color="000000"/>
            </w:tcBorders>
          </w:tcPr>
          <w:p>
            <w:pPr>
              <w:pStyle w:val="TableContents"/>
              <w:jc w:val="center"/>
              <w:rPr>
                <w:b w:val="false"/>
                <w:b w:val="false"/>
                <w:bCs w:val="false"/>
              </w:rPr>
            </w:pPr>
            <w:r>
              <w:rPr>
                <w:b w:val="false"/>
                <w:bCs w:val="false"/>
              </w:rPr>
              <w:t>31.4%</w:t>
            </w:r>
          </w:p>
        </w:tc>
        <w:tc>
          <w:tcPr>
            <w:tcW w:w="2494" w:type="dxa"/>
            <w:tcBorders>
              <w:bottom w:val="single" w:sz="4" w:space="0" w:color="000000"/>
            </w:tcBorders>
          </w:tcPr>
          <w:p>
            <w:pPr>
              <w:pStyle w:val="TableContents"/>
              <w:jc w:val="center"/>
              <w:rPr>
                <w:b w:val="false"/>
                <w:b w:val="false"/>
                <w:bCs w:val="false"/>
              </w:rPr>
            </w:pPr>
            <w:r>
              <w:rPr>
                <w:b w:val="false"/>
                <w:bCs w:val="false"/>
              </w:rPr>
              <w:t>42.3%</w:t>
            </w:r>
          </w:p>
        </w:tc>
      </w:tr>
    </w:tbl>
    <w:p>
      <w:pPr>
        <w:pStyle w:val="Normal"/>
        <w:rPr>
          <w:rFonts w:ascii="Source Serif Pro" w:hAnsi="Source Serif Pro"/>
          <w:b w:val="false"/>
          <w:b w:val="false"/>
          <w:bCs w:val="false"/>
        </w:rPr>
      </w:pPr>
      <w:r>
        <w:rPr>
          <w:rFonts w:ascii="Source Serif Pro" w:hAnsi="Source Serif Pro"/>
          <w:b w:val="false"/>
          <w:bCs w:val="false"/>
        </w:rPr>
        <w:t>*</w:t>
      </w:r>
      <w:r>
        <w:rPr>
          <w:rFonts w:ascii="Source Serif Pro" w:hAnsi="Source Serif Pro"/>
          <w:b w:val="false"/>
          <w:bCs w:val="false"/>
        </w:rPr>
        <w:t>Margins of error for all %s range from 0.1% to 1%</w:t>
      </w:r>
    </w:p>
    <w:p>
      <w:pPr>
        <w:pStyle w:val="Normal"/>
        <w:rPr>
          <w:rFonts w:ascii="Source Serif Pro" w:hAnsi="Source Serif Pro"/>
          <w:b/>
          <w:b/>
          <w:bCs/>
        </w:rPr>
      </w:pPr>
      <w:r>
        <w:rPr>
          <w:rFonts w:ascii="Source Serif Pro" w:hAnsi="Source Serif Pro"/>
          <w:b/>
          <w:bCs/>
        </w:rPr>
      </w:r>
    </w:p>
    <w:p>
      <w:pPr>
        <w:pStyle w:val="Normal"/>
        <w:rPr>
          <w:rFonts w:ascii="Source Serif Pro" w:hAnsi="Source Serif Pro"/>
          <w:b/>
          <w:b/>
          <w:bCs/>
        </w:rPr>
      </w:pPr>
      <w:r>
        <w:rPr>
          <w:rFonts w:ascii="Source Serif Pro" w:hAnsi="Source Serif Pro"/>
          <w:b/>
          <w:bCs/>
        </w:rPr>
      </w:r>
    </w:p>
    <w:p>
      <w:pPr>
        <w:pStyle w:val="Normal"/>
        <w:rPr>
          <w:rFonts w:ascii="Source Serif Pro" w:hAnsi="Source Serif Pro"/>
          <w:b/>
          <w:b/>
          <w:bCs/>
        </w:rPr>
      </w:pPr>
      <w:r>
        <w:rPr>
          <w:rFonts w:ascii="Source Serif Pro" w:hAnsi="Source Serif Pro"/>
          <w:b/>
          <w:bCs/>
        </w:rPr>
      </w:r>
    </w:p>
    <w:p>
      <w:pPr>
        <w:pStyle w:val="Normal"/>
        <w:rPr>
          <w:rFonts w:ascii="Source Serif Pro" w:hAnsi="Source Serif Pro"/>
          <w:b/>
          <w:b/>
          <w:bCs/>
        </w:rPr>
      </w:pPr>
      <w:r>
        <w:rPr>
          <w:rFonts w:ascii="Source Serif Pro" w:hAnsi="Source Serif Pro"/>
          <w:b/>
          <w:bCs/>
        </w:rPr>
      </w:r>
    </w:p>
    <w:p>
      <w:pPr>
        <w:pStyle w:val="Normal"/>
        <w:rPr>
          <w:rFonts w:ascii="TradeGothic LT Bold" w:hAnsi="TradeGothic LT Bold"/>
          <w:b/>
          <w:b/>
          <w:bCs/>
          <w:sz w:val="40"/>
          <w:szCs w:val="40"/>
        </w:rPr>
      </w:pPr>
      <w:r>
        <w:rPr>
          <w:rFonts w:ascii="TradeGothic LT Bold" w:hAnsi="TradeGothic LT Bold"/>
          <w:b/>
          <w:bCs/>
          <w:sz w:val="40"/>
          <w:szCs w:val="40"/>
        </w:rPr>
        <w:t>4. Residential mobility models</w:t>
      </w:r>
    </w:p>
    <w:p>
      <w:pPr>
        <w:pStyle w:val="Normal"/>
        <w:rPr>
          <w:rFonts w:ascii="TradeGothic LT Bold" w:hAnsi="TradeGothic LT Bold"/>
          <w:b/>
          <w:b/>
          <w:bCs/>
          <w:sz w:val="32"/>
          <w:szCs w:val="32"/>
        </w:rPr>
      </w:pPr>
      <w:r>
        <w:rPr>
          <w:rFonts w:ascii="TradeGothic LT Bold" w:hAnsi="TradeGothic LT Bold"/>
          <w:b/>
          <w:bCs/>
          <w:sz w:val="32"/>
          <w:szCs w:val="32"/>
        </w:rPr>
      </w:r>
    </w:p>
    <w:p>
      <w:pPr>
        <w:pStyle w:val="Normal"/>
        <w:rPr>
          <w:rFonts w:ascii="Source Serif Pro" w:hAnsi="Source Serif Pro"/>
        </w:rPr>
      </w:pPr>
      <w:r>
        <w:rPr>
          <w:rFonts w:ascii="Source Serif Pro" w:hAnsi="Source Serif Pro"/>
        </w:rPr>
        <w:t>To understand the determinants of residential mobility around transit stations, we estimated individual-level binary logistic regression models predicting the probability that a resident moves out of the station area within the 5-year after station opening, compared to remaining in place. The modeling strategy was designed to account simultaneously for </w:t>
      </w:r>
      <w:r>
        <w:rPr>
          <w:rFonts w:ascii="Source Serif Pro" w:hAnsi="Source Serif Pro"/>
        </w:rPr>
        <w:t xml:space="preserve">both </w:t>
      </w:r>
      <w:r>
        <w:rPr>
          <w:rFonts w:ascii="Source Serif Pro" w:hAnsi="Source Serif Pro"/>
        </w:rPr>
        <w:t>individual characteristics and built-environment changes associated with new development.</w:t>
      </w:r>
    </w:p>
    <w:p>
      <w:pPr>
        <w:pStyle w:val="Normal"/>
        <w:rPr>
          <w:rFonts w:ascii="Source Serif Pro" w:hAnsi="Source Serif Pro"/>
        </w:rPr>
      </w:pPr>
      <w:r>
        <w:rPr/>
      </w:r>
    </w:p>
    <w:p>
      <w:pPr>
        <w:pStyle w:val="Normal"/>
        <w:rPr>
          <w:rFonts w:ascii="Source Serif Pro" w:hAnsi="Source Serif Pro"/>
        </w:rPr>
      </w:pPr>
      <w:r>
        <w:rPr>
          <w:rFonts w:ascii="Source Serif Pro" w:hAnsi="Source Serif Pro"/>
        </w:rPr>
      </w:r>
    </w:p>
    <w:p>
      <w:pPr>
        <w:pStyle w:val="Heading2"/>
        <w:rPr>
          <w:rFonts w:ascii="TradeGothic LT Bold" w:hAnsi="TradeGothic LT Bold"/>
          <w:sz w:val="32"/>
          <w:szCs w:val="32"/>
        </w:rPr>
      </w:pPr>
      <w:r>
        <w:rPr>
          <w:rFonts w:eastAsia="Noto Serif CJK SC" w:cs="Lohit Devanagari" w:ascii="TradeGothic LT Bold" w:hAnsi="TradeGothic LT Bold"/>
          <w:color w:val="auto"/>
          <w:sz w:val="32"/>
          <w:szCs w:val="32"/>
        </w:rPr>
        <w:t>4.1 Model Selection and Specification</w:t>
      </w:r>
    </w:p>
    <w:p>
      <w:pPr>
        <w:pStyle w:val="Normal"/>
        <w:suppressAutoHyphens w:val="false"/>
        <w:spacing w:beforeAutospacing="1" w:afterAutospacing="1"/>
        <w:rPr>
          <w:rFonts w:ascii="Source Serif Pro" w:hAnsi="Source Serif Pro"/>
        </w:rPr>
      </w:pPr>
      <w:r>
        <w:rPr>
          <w:rFonts w:ascii="Source Serif Pro" w:hAnsi="Source Serif Pro"/>
        </w:rPr>
        <w:t>We estimated several model specifications and ultimately selected a fully saturated model that incorporates:</w:t>
      </w:r>
    </w:p>
    <w:p>
      <w:pPr>
        <w:pStyle w:val="Normal"/>
        <w:numPr>
          <w:ilvl w:val="0"/>
          <w:numId w:val="3"/>
        </w:numPr>
        <w:rPr>
          <w:rFonts w:ascii="Source Serif Pro" w:hAnsi="Source Serif Pro"/>
        </w:rPr>
      </w:pPr>
      <w:r>
        <w:rPr>
          <w:rFonts w:ascii="Source Serif Pro" w:hAnsi="Source Serif Pro"/>
        </w:rPr>
        <w:t xml:space="preserve">Baseline demographic model: including </w:t>
      </w:r>
      <w:r>
        <w:rPr>
          <w:rFonts w:ascii="Source Serif Pro" w:hAnsi="Source Serif Pro"/>
        </w:rPr>
        <w:t>individual-level data on</w:t>
      </w:r>
      <w:r>
        <w:rPr>
          <w:rFonts w:ascii="Source Serif Pro" w:hAnsi="Source Serif Pro"/>
        </w:rPr>
        <w:t xml:space="preserve"> age, sex, low-income status, marital status, and number of children.</w:t>
      </w:r>
    </w:p>
    <w:p>
      <w:pPr>
        <w:pStyle w:val="Normal"/>
        <w:numPr>
          <w:ilvl w:val="0"/>
          <w:numId w:val="3"/>
        </w:numPr>
        <w:rPr>
          <w:rFonts w:ascii="Source Serif Pro" w:hAnsi="Source Serif Pro"/>
        </w:rPr>
      </w:pPr>
      <w:r>
        <w:rPr>
          <w:rFonts w:ascii="Source Serif Pro" w:hAnsi="Source Serif Pro"/>
        </w:rPr>
        <w:t xml:space="preserve">Built-environment model: adding pre-development housing characteristics (dwelling type mix and average bedrooms) </w:t>
      </w:r>
      <w:r>
        <w:rPr>
          <w:rFonts w:ascii="Source Serif Pro" w:hAnsi="Source Serif Pro"/>
        </w:rPr>
        <w:t>and housing characteristics 10 years later (5 years before and after)</w:t>
      </w:r>
    </w:p>
    <w:p>
      <w:pPr>
        <w:pStyle w:val="Normal"/>
        <w:numPr>
          <w:ilvl w:val="0"/>
          <w:numId w:val="3"/>
        </w:numPr>
        <w:rPr>
          <w:rFonts w:ascii="Source Serif Pro" w:hAnsi="Source Serif Pro"/>
        </w:rPr>
      </w:pPr>
      <w:r>
        <w:rPr>
          <w:rFonts w:ascii="Source Serif Pro" w:hAnsi="Source Serif Pro"/>
        </w:rPr>
        <w:t>Change and interaction models: adding change variables (growth in apartment, non-detached, and single-detached dwellings, change in average bedrooms, and change in rental share) and interaction terms between intensification and bedroom mix.</w:t>
      </w:r>
    </w:p>
    <w:p>
      <w:pPr>
        <w:pStyle w:val="Normal"/>
        <w:numPr>
          <w:ilvl w:val="0"/>
          <w:numId w:val="3"/>
        </w:numPr>
        <w:rPr>
          <w:rFonts w:ascii="Source Serif Pro" w:hAnsi="Source Serif Pro"/>
        </w:rPr>
      </w:pPr>
      <w:r>
        <w:rPr>
          <w:rFonts w:ascii="Source Serif Pro" w:hAnsi="Source Serif Pro"/>
        </w:rPr>
        <w:t>Period effect: Opening year of station to control for period effects and broader differences in housing markets across decades.</w:t>
      </w:r>
    </w:p>
    <w:p>
      <w:pPr>
        <w:pStyle w:val="Normal"/>
        <w:suppressAutoHyphens w:val="false"/>
        <w:spacing w:beforeAutospacing="1" w:afterAutospacing="1"/>
        <w:rPr>
          <w:rFonts w:ascii="Source Serif Pro" w:hAnsi="Source Serif Pro"/>
        </w:rPr>
      </w:pPr>
      <w:r>
        <w:rPr>
          <w:rFonts w:ascii="Source Serif Pro" w:hAnsi="Source Serif Pro"/>
        </w:rPr>
        <w:t xml:space="preserve">We used Akaike Information Criterion (AIC) and Variance Inflation Factors (VIFs) to guide model selection. </w:t>
      </w:r>
    </w:p>
    <w:p>
      <w:pPr>
        <w:pStyle w:val="Normal"/>
        <w:suppressAutoHyphens w:val="false"/>
        <w:spacing w:beforeAutospacing="1" w:afterAutospacing="1"/>
        <w:rPr>
          <w:rFonts w:ascii="Source Serif Pro" w:hAnsi="Source Serif Pro"/>
        </w:rPr>
      </w:pPr>
      <w:r>
        <w:rPr/>
      </w:r>
    </w:p>
    <w:p>
      <w:pPr>
        <w:pStyle w:val="Heading3"/>
        <w:rPr>
          <w:rFonts w:ascii="Source Serif Pro" w:hAnsi="Source Serif Pro" w:eastAsia="Noto Serif CJK SC" w:cs="Lohit Devanagari"/>
          <w:color w:val="auto"/>
          <w:szCs w:val="24"/>
        </w:rPr>
      </w:pPr>
      <w:r>
        <w:rPr>
          <w:rFonts w:eastAsia="Noto Serif CJK SC" w:cs="Lohit Devanagari" w:ascii="TradeGothic LT Bold" w:hAnsi="TradeGothic LT Bold"/>
          <w:color w:val="auto"/>
          <w:sz w:val="32"/>
          <w:szCs w:val="32"/>
        </w:rPr>
        <w:t>4.2 Interpretation of results</w:t>
      </w:r>
      <w:r>
        <w:rPr>
          <w:rFonts w:eastAsia="Noto Serif CJK SC" w:cs="Lohit Devanagari" w:ascii="Source Serif Pro" w:hAnsi="Source Serif Pro"/>
          <w:color w:val="auto"/>
          <w:szCs w:val="24"/>
        </w:rPr>
        <w:t xml:space="preserve"> </w:t>
      </w:r>
    </w:p>
    <w:p>
      <w:pPr>
        <w:pStyle w:val="NormalWeb"/>
        <w:spacing w:before="280" w:after="280"/>
        <w:rPr>
          <w:rFonts w:ascii="Source Serif Pro" w:hAnsi="Source Serif Pro" w:eastAsia="Noto Serif CJK SC" w:cs="Lohit Devanagari"/>
          <w:kern w:val="2"/>
          <w:lang w:val="en-US" w:eastAsia="zh-CN" w:bidi="hi-IN"/>
        </w:rPr>
      </w:pPr>
      <w:r>
        <w:rPr>
          <w:rFonts w:eastAsia="Noto Serif CJK SC" w:cs="Lohit Devanagari" w:ascii="Source Serif Pro" w:hAnsi="Source Serif Pro"/>
          <w:kern w:val="2"/>
          <w:lang w:val="en-US" w:eastAsia="zh-CN" w:bidi="hi-IN"/>
        </w:rPr>
        <w:t xml:space="preserve">Table </w:t>
      </w:r>
      <w:r>
        <w:rPr>
          <w:rFonts w:eastAsia="Noto Serif CJK SC" w:cs="Lohit Devanagari" w:ascii="Source Serif Pro" w:hAnsi="Source Serif Pro"/>
          <w:kern w:val="2"/>
          <w:lang w:val="en-US" w:eastAsia="zh-CN" w:bidi="hi-IN"/>
        </w:rPr>
        <w:t>3</w:t>
      </w:r>
      <w:r>
        <w:rPr>
          <w:rFonts w:eastAsia="Noto Serif CJK SC" w:cs="Lohit Devanagari" w:ascii="Source Serif Pro" w:hAnsi="Source Serif Pro"/>
          <w:kern w:val="2"/>
          <w:lang w:val="en-US" w:eastAsia="zh-CN" w:bidi="hi-IN"/>
        </w:rPr>
        <w:t xml:space="preserve"> summarizes the coefficients, odds ratios, and </w:t>
      </w:r>
      <w:r>
        <w:rPr>
          <w:rFonts w:eastAsia="Noto Serif CJK SC" w:cs="Lohit Devanagari" w:ascii="Source Serif Pro" w:hAnsi="Source Serif Pro"/>
          <w:kern w:val="2"/>
          <w:lang w:val="en-US" w:eastAsia="zh-CN" w:bidi="hi-IN"/>
        </w:rPr>
        <w:t>p</w:t>
      </w:r>
      <w:r>
        <w:rPr>
          <w:rFonts w:eastAsia="Noto Serif CJK SC" w:cs="Lohit Devanagari" w:ascii="Source Serif Pro" w:hAnsi="Source Serif Pro"/>
          <w:kern w:val="2"/>
          <w:lang w:val="en-US" w:eastAsia="zh-CN" w:bidi="hi-IN"/>
        </w:rPr>
        <w:t>-</w:t>
      </w:r>
      <w:r>
        <w:rPr>
          <w:rFonts w:eastAsia="Noto Serif CJK SC" w:cs="Lohit Devanagari" w:ascii="Source Serif Pro" w:hAnsi="Source Serif Pro"/>
          <w:kern w:val="2"/>
          <w:lang w:val="en-US" w:eastAsia="zh-CN" w:bidi="hi-IN"/>
        </w:rPr>
        <w:t>v</w:t>
      </w:r>
      <w:r>
        <w:rPr>
          <w:rFonts w:eastAsia="Noto Serif CJK SC" w:cs="Lohit Devanagari" w:ascii="Source Serif Pro" w:hAnsi="Source Serif Pro"/>
          <w:kern w:val="2"/>
          <w:lang w:val="en-US" w:eastAsia="zh-CN" w:bidi="hi-IN"/>
        </w:rPr>
        <w:t>alue and VIF for the final model. Below we highlight the main patterns.</w:t>
      </w:r>
    </w:p>
    <w:p>
      <w:pPr>
        <w:pStyle w:val="Normal"/>
        <w:rPr>
          <w:rFonts w:ascii="Source Serif Pro" w:hAnsi="Source Serif Pro"/>
        </w:rPr>
      </w:pPr>
      <w:commentRangeStart w:id="4"/>
      <w:r>
        <w:rPr>
          <w:rFonts w:ascii="Source Serif Pro" w:hAnsi="Source Serif Pro"/>
        </w:rPr>
        <w:t xml:space="preserve">Table </w:t>
      </w:r>
      <w:r>
        <w:rPr>
          <w:rFonts w:ascii="Source Serif Pro" w:hAnsi="Source Serif Pro"/>
        </w:rPr>
        <w:t>3</w:t>
      </w:r>
      <w:r>
        <w:rPr>
          <w:rFonts w:ascii="Source Serif Pro" w:hAnsi="Source Serif Pro"/>
        </w:rPr>
        <w:t>. Logistic Regression Model Predicting Move-out Probability</w:t>
      </w:r>
      <w:commentRangeEnd w:id="4"/>
      <w:r>
        <w:commentReference w:id="4"/>
      </w:r>
      <w:r>
        <w:rPr>
          <w:rFonts w:ascii="Source Serif Pro" w:hAnsi="Source Serif Pro"/>
        </w:rPr>
      </w:r>
    </w:p>
    <w:p>
      <w:pPr>
        <w:pStyle w:val="Normal"/>
        <w:rPr>
          <w:rFonts w:ascii="Source Serif Pro" w:hAnsi="Source Serif Pro"/>
        </w:rPr>
      </w:pPr>
      <w:r>
        <w:rPr>
          <w:rFonts w:ascii="Source Serif Pro" w:hAnsi="Source Serif Pro"/>
        </w:rPr>
      </w:r>
    </w:p>
    <w:tbl>
      <w:tblPr>
        <w:tblStyle w:val="TableGrid"/>
        <w:tblW w:w="10188"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3226"/>
        <w:gridCol w:w="1337"/>
        <w:gridCol w:w="1498"/>
        <w:gridCol w:w="993"/>
        <w:gridCol w:w="1357"/>
        <w:gridCol w:w="900"/>
        <w:gridCol w:w="876"/>
      </w:tblGrid>
      <w:tr>
        <w:trPr/>
        <w:tc>
          <w:tcPr>
            <w:tcW w:w="3226" w:type="dxa"/>
            <w:tcBorders>
              <w:left w:val="nil"/>
              <w:right w:val="nil"/>
            </w:tcBorders>
          </w:tcPr>
          <w:p>
            <w:pPr>
              <w:pStyle w:val="Normal"/>
              <w:widowControl/>
              <w:suppressAutoHyphens w:val="false"/>
              <w:spacing w:before="0" w:after="0"/>
              <w:jc w:val="center"/>
              <w:rPr>
                <w:rFonts w:ascii="Times New Roman" w:hAnsi="Times New Roman" w:eastAsia="Times New Roman" w:cs="Times New Roman"/>
                <w:b/>
                <w:b/>
                <w:bCs/>
                <w:color w:val="000000"/>
                <w:kern w:val="0"/>
                <w:lang w:val="en-CA" w:eastAsia="en-US" w:bidi="ar-SA"/>
              </w:rPr>
            </w:pPr>
            <w:r>
              <w:rPr>
                <w:rFonts w:eastAsia="Times New Roman" w:cs="Times New Roman" w:ascii="Times New Roman" w:hAnsi="Times New Roman"/>
                <w:b/>
                <w:bCs/>
                <w:color w:val="000000"/>
                <w:kern w:val="0"/>
                <w:sz w:val="24"/>
                <w:szCs w:val="24"/>
                <w:lang w:val="en-CA" w:eastAsia="en-US" w:bidi="ar-SA"/>
              </w:rPr>
              <w:t>Variable</w:t>
            </w:r>
          </w:p>
        </w:tc>
        <w:tc>
          <w:tcPr>
            <w:tcW w:w="1337" w:type="dxa"/>
            <w:tcBorders>
              <w:left w:val="nil"/>
              <w:right w:val="nil"/>
            </w:tcBorders>
          </w:tcPr>
          <w:p>
            <w:pPr>
              <w:pStyle w:val="Normal"/>
              <w:widowControl/>
              <w:suppressAutoHyphens w:val="false"/>
              <w:spacing w:before="0" w:after="0"/>
              <w:jc w:val="center"/>
              <w:rPr>
                <w:rFonts w:ascii="Times New Roman" w:hAnsi="Times New Roman" w:eastAsia="Times New Roman" w:cs="Times New Roman"/>
                <w:b/>
                <w:b/>
                <w:bCs/>
                <w:color w:val="000000"/>
                <w:kern w:val="0"/>
                <w:lang w:val="en-CA" w:eastAsia="en-US" w:bidi="ar-SA"/>
              </w:rPr>
            </w:pPr>
            <w:r>
              <w:rPr>
                <w:rFonts w:eastAsia="Times New Roman" w:cs="Times New Roman" w:ascii="Times New Roman" w:hAnsi="Times New Roman"/>
                <w:b/>
                <w:bCs/>
                <w:color w:val="000000"/>
                <w:kern w:val="0"/>
                <w:sz w:val="24"/>
                <w:szCs w:val="24"/>
                <w:lang w:val="en-CA" w:eastAsia="en-US" w:bidi="ar-SA"/>
              </w:rPr>
              <w:t>Coefficient</w:t>
            </w:r>
          </w:p>
        </w:tc>
        <w:tc>
          <w:tcPr>
            <w:tcW w:w="1498" w:type="dxa"/>
            <w:tcBorders>
              <w:left w:val="nil"/>
              <w:right w:val="nil"/>
            </w:tcBorders>
          </w:tcPr>
          <w:p>
            <w:pPr>
              <w:pStyle w:val="Normal"/>
              <w:widowControl/>
              <w:suppressAutoHyphens w:val="false"/>
              <w:spacing w:before="0" w:after="0"/>
              <w:jc w:val="center"/>
              <w:rPr>
                <w:rFonts w:ascii="Times New Roman" w:hAnsi="Times New Roman" w:eastAsia="Times New Roman" w:cs="Times New Roman"/>
                <w:b/>
                <w:b/>
                <w:bCs/>
                <w:color w:val="000000"/>
                <w:kern w:val="0"/>
                <w:lang w:val="en-CA" w:eastAsia="en-US" w:bidi="ar-SA"/>
              </w:rPr>
            </w:pPr>
            <w:r>
              <w:rPr>
                <w:rFonts w:eastAsia="Times New Roman" w:cs="Times New Roman" w:ascii="Times New Roman" w:hAnsi="Times New Roman"/>
                <w:b/>
                <w:bCs/>
                <w:color w:val="000000"/>
                <w:kern w:val="0"/>
                <w:sz w:val="24"/>
                <w:szCs w:val="24"/>
                <w:lang w:val="en-CA" w:eastAsia="en-US" w:bidi="ar-SA"/>
              </w:rPr>
              <w:t>Odds Ratio</w:t>
            </w:r>
          </w:p>
        </w:tc>
        <w:tc>
          <w:tcPr>
            <w:tcW w:w="993" w:type="dxa"/>
            <w:tcBorders>
              <w:left w:val="nil"/>
              <w:right w:val="nil"/>
            </w:tcBorders>
          </w:tcPr>
          <w:p>
            <w:pPr>
              <w:pStyle w:val="Normal"/>
              <w:widowControl/>
              <w:suppressAutoHyphens w:val="false"/>
              <w:spacing w:before="0" w:after="0"/>
              <w:jc w:val="center"/>
              <w:rPr>
                <w:rFonts w:ascii="Times New Roman" w:hAnsi="Times New Roman" w:eastAsia="Times New Roman" w:cs="Times New Roman"/>
                <w:b/>
                <w:b/>
                <w:bCs/>
                <w:color w:val="000000"/>
                <w:kern w:val="0"/>
                <w:lang w:val="en-CA" w:eastAsia="en-US" w:bidi="ar-SA"/>
              </w:rPr>
            </w:pPr>
            <w:r>
              <w:rPr>
                <w:rFonts w:eastAsia="Times New Roman" w:cs="Times New Roman" w:ascii="Times New Roman" w:hAnsi="Times New Roman"/>
                <w:b/>
                <w:bCs/>
                <w:color w:val="000000"/>
                <w:kern w:val="0"/>
                <w:sz w:val="24"/>
                <w:szCs w:val="24"/>
                <w:lang w:val="en-CA" w:eastAsia="en-US" w:bidi="ar-SA"/>
              </w:rPr>
              <w:t>Std. Error</w:t>
            </w:r>
          </w:p>
        </w:tc>
        <w:tc>
          <w:tcPr>
            <w:tcW w:w="1357" w:type="dxa"/>
            <w:tcBorders>
              <w:left w:val="nil"/>
              <w:right w:val="nil"/>
            </w:tcBorders>
          </w:tcPr>
          <w:p>
            <w:pPr>
              <w:pStyle w:val="Normal"/>
              <w:widowControl/>
              <w:suppressAutoHyphens w:val="false"/>
              <w:spacing w:before="0" w:after="0"/>
              <w:jc w:val="center"/>
              <w:rPr>
                <w:rFonts w:ascii="Times New Roman" w:hAnsi="Times New Roman" w:eastAsia="Times New Roman" w:cs="Times New Roman"/>
                <w:b/>
                <w:b/>
                <w:bCs/>
                <w:color w:val="000000"/>
                <w:kern w:val="0"/>
                <w:lang w:val="en-CA" w:eastAsia="en-US" w:bidi="ar-SA"/>
              </w:rPr>
            </w:pPr>
            <w:r>
              <w:rPr>
                <w:rFonts w:eastAsia="Times New Roman" w:cs="Times New Roman" w:ascii="Times New Roman" w:hAnsi="Times New Roman"/>
                <w:b/>
                <w:bCs/>
                <w:color w:val="000000"/>
                <w:kern w:val="0"/>
                <w:sz w:val="24"/>
                <w:szCs w:val="24"/>
                <w:lang w:val="en-CA" w:eastAsia="en-US" w:bidi="ar-SA"/>
              </w:rPr>
              <w:t>z-value</w:t>
            </w:r>
          </w:p>
        </w:tc>
        <w:tc>
          <w:tcPr>
            <w:tcW w:w="900" w:type="dxa"/>
            <w:tcBorders>
              <w:left w:val="nil"/>
              <w:right w:val="nil"/>
            </w:tcBorders>
          </w:tcPr>
          <w:p>
            <w:pPr>
              <w:pStyle w:val="Normal"/>
              <w:widowControl/>
              <w:suppressAutoHyphens w:val="false"/>
              <w:spacing w:before="0" w:after="0"/>
              <w:jc w:val="center"/>
              <w:rPr>
                <w:rFonts w:ascii="Times New Roman" w:hAnsi="Times New Roman" w:eastAsia="Times New Roman" w:cs="Times New Roman"/>
                <w:b/>
                <w:b/>
                <w:bCs/>
                <w:color w:val="000000"/>
                <w:kern w:val="0"/>
                <w:lang w:val="en-CA" w:eastAsia="en-US" w:bidi="ar-SA"/>
              </w:rPr>
            </w:pPr>
            <w:r>
              <w:rPr>
                <w:rFonts w:eastAsia="Times New Roman" w:cs="Times New Roman" w:ascii="Times New Roman" w:hAnsi="Times New Roman"/>
                <w:b/>
                <w:bCs/>
                <w:color w:val="000000"/>
                <w:kern w:val="0"/>
                <w:sz w:val="24"/>
                <w:szCs w:val="24"/>
                <w:lang w:val="en-CA" w:eastAsia="en-US" w:bidi="ar-SA"/>
              </w:rPr>
              <w:t>p-value</w:t>
            </w:r>
          </w:p>
        </w:tc>
        <w:tc>
          <w:tcPr>
            <w:tcW w:w="876" w:type="dxa"/>
            <w:tcBorders>
              <w:left w:val="nil"/>
              <w:right w:val="nil"/>
            </w:tcBorders>
          </w:tcPr>
          <w:p>
            <w:pPr>
              <w:pStyle w:val="Normal"/>
              <w:widowControl/>
              <w:suppressAutoHyphens w:val="false"/>
              <w:spacing w:before="0" w:after="0"/>
              <w:jc w:val="center"/>
              <w:rPr>
                <w:rFonts w:ascii="Times New Roman" w:hAnsi="Times New Roman" w:eastAsia="Times New Roman" w:cs="Times New Roman"/>
                <w:b/>
                <w:b/>
                <w:bCs/>
                <w:color w:val="000000"/>
                <w:kern w:val="0"/>
                <w:lang w:val="en-CA" w:eastAsia="en-US" w:bidi="ar-SA"/>
              </w:rPr>
            </w:pPr>
            <w:r>
              <w:rPr>
                <w:rFonts w:eastAsia="Times New Roman" w:cs="Times New Roman" w:ascii="Times New Roman" w:hAnsi="Times New Roman"/>
                <w:b/>
                <w:bCs/>
                <w:color w:val="000000"/>
                <w:kern w:val="0"/>
                <w:sz w:val="24"/>
                <w:szCs w:val="24"/>
                <w:lang w:val="en-CA" w:eastAsia="en-US" w:bidi="ar-SA"/>
              </w:rPr>
              <w:t>VIF</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(Intercept)</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29.9305</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9.9693e12</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1.8479</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16.1975</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&lt;2e-16</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NA</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Age</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0.0267</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0.9736</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0.0002</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115.0342</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&lt;2e-16</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1.1680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Apartment &lt;5 storey % change</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0.0001</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1.0001</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0.0000</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8.0124</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0.0000</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1.4680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Apartment 5+ storey % change</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0.0001</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1.0001</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0.0000</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7.3453</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0.0000</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2.1630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Avg. bedrooms % change</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0.0282</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1.0286</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0.0019</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15.1019</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&lt;2e-16</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3.5110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Pre apt &lt;5 storey share</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0.0001</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1.0001</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0.0000</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28.9159</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&lt;2e-16</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2.4080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Pre apt 5+ storey share</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0.00003</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1.00003</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0.0000</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17.5946</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&lt;2e-16</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2.0730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Pre avg bedrooms</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0.0325</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0.9680</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0.0121</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2.6855</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0.0072</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6.0490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Pre non-detached share</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0.0001</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1.0001</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0.0000</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7.2240</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0.0000</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1.4780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Pre single-detached share</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0.0004</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1.0004</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0.0000</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30.7585</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&lt;2e-16</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2.7200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Dwellings % change × avg. bedrooms % change</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0.0006</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0.9994</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0.0000</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27.2283</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&lt;2e-16</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9.5160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low-income status</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0.2745</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1.3159</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0.0084</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32.8444</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&lt;2e-16</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1.0210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Marital status</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0.0342</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0.9664</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0.0077</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4.4202</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0.0000</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1.1690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Number of children</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0.2502</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0.7786</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0.0036</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69.5492</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&lt;2e-16</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1.1860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non-detached % change</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0.0001</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0.9999</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0.0000</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17.3831</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&lt;2e-16</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1.2740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Rented % change</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0.0023</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1.0023</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0.0001</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42.0453</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&lt;2e-16</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1.6990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Sex</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0.0248</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0.9755</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0.0072</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3.4557</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0.0005</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1.0050</w:t>
            </w:r>
          </w:p>
        </w:tc>
      </w:tr>
      <w:tr>
        <w:trPr/>
        <w:tc>
          <w:tcPr>
            <w:tcW w:w="322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Single-detached % change</w:t>
            </w:r>
          </w:p>
        </w:tc>
        <w:tc>
          <w:tcPr>
            <w:tcW w:w="133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0.0009</w:t>
            </w:r>
          </w:p>
        </w:tc>
        <w:tc>
          <w:tcPr>
            <w:tcW w:w="1498"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0.9991</w:t>
            </w:r>
          </w:p>
        </w:tc>
        <w:tc>
          <w:tcPr>
            <w:tcW w:w="993"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0.0001</w:t>
            </w:r>
          </w:p>
        </w:tc>
        <w:tc>
          <w:tcPr>
            <w:tcW w:w="1357"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7.5798</w:t>
            </w:r>
          </w:p>
        </w:tc>
        <w:tc>
          <w:tcPr>
            <w:tcW w:w="900"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0.0000</w:t>
            </w:r>
          </w:p>
        </w:tc>
        <w:tc>
          <w:tcPr>
            <w:tcW w:w="876" w:type="dxa"/>
            <w:tcBorders>
              <w:top w:val="nil"/>
              <w:left w:val="nil"/>
              <w:bottom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9.8040</w:t>
            </w:r>
          </w:p>
        </w:tc>
      </w:tr>
      <w:tr>
        <w:trPr/>
        <w:tc>
          <w:tcPr>
            <w:tcW w:w="3226" w:type="dxa"/>
            <w:tcBorders>
              <w:top w:val="nil"/>
              <w:left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Opening year</w:t>
            </w:r>
          </w:p>
        </w:tc>
        <w:tc>
          <w:tcPr>
            <w:tcW w:w="1337" w:type="dxa"/>
            <w:tcBorders>
              <w:top w:val="nil"/>
              <w:left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0.0142</w:t>
            </w:r>
          </w:p>
        </w:tc>
        <w:tc>
          <w:tcPr>
            <w:tcW w:w="1498" w:type="dxa"/>
            <w:tcBorders>
              <w:top w:val="nil"/>
              <w:left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0.9859</w:t>
            </w:r>
          </w:p>
        </w:tc>
        <w:tc>
          <w:tcPr>
            <w:tcW w:w="993" w:type="dxa"/>
            <w:tcBorders>
              <w:top w:val="nil"/>
              <w:left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0.0009</w:t>
            </w:r>
          </w:p>
        </w:tc>
        <w:tc>
          <w:tcPr>
            <w:tcW w:w="1357" w:type="dxa"/>
            <w:tcBorders>
              <w:top w:val="nil"/>
              <w:left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w:t>
            </w:r>
            <w:r>
              <w:rPr>
                <w:rFonts w:eastAsia="Times New Roman" w:cs="Times New Roman" w:ascii="Times New Roman" w:hAnsi="Times New Roman"/>
                <w:color w:val="000000"/>
                <w:kern w:val="0"/>
                <w:sz w:val="24"/>
                <w:szCs w:val="24"/>
                <w:lang w:val="en-CA" w:eastAsia="en-US" w:bidi="ar-SA"/>
              </w:rPr>
              <w:t>15.4909</w:t>
            </w:r>
          </w:p>
        </w:tc>
        <w:tc>
          <w:tcPr>
            <w:tcW w:w="900" w:type="dxa"/>
            <w:tcBorders>
              <w:top w:val="nil"/>
              <w:left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&lt;2e-16</w:t>
            </w:r>
          </w:p>
        </w:tc>
        <w:tc>
          <w:tcPr>
            <w:tcW w:w="876" w:type="dxa"/>
            <w:tcBorders>
              <w:top w:val="nil"/>
              <w:left w:val="nil"/>
              <w:right w:val="nil"/>
            </w:tcBorders>
            <w:vAlign w:val="center"/>
          </w:tcPr>
          <w:p>
            <w:pPr>
              <w:pStyle w:val="Normal"/>
              <w:widowControl/>
              <w:suppressAutoHyphens w:val="false"/>
              <w:spacing w:before="0" w:after="0"/>
              <w:jc w:val="left"/>
              <w:rPr>
                <w:rFonts w:ascii="Times New Roman" w:hAnsi="Times New Roman" w:eastAsia="Times New Roman" w:cs="Times New Roman"/>
                <w:color w:val="000000"/>
                <w:kern w:val="0"/>
                <w:lang w:val="en-CA" w:eastAsia="en-US" w:bidi="ar-SA"/>
              </w:rPr>
            </w:pPr>
            <w:r>
              <w:rPr>
                <w:rFonts w:eastAsia="Times New Roman" w:cs="Times New Roman" w:ascii="Times New Roman" w:hAnsi="Times New Roman"/>
                <w:color w:val="000000"/>
                <w:kern w:val="0"/>
                <w:sz w:val="24"/>
                <w:szCs w:val="24"/>
                <w:lang w:val="en-CA" w:eastAsia="en-US" w:bidi="ar-SA"/>
              </w:rPr>
              <w:t>1.6910</w:t>
            </w:r>
          </w:p>
        </w:tc>
      </w:tr>
    </w:tbl>
    <w:p>
      <w:pPr>
        <w:pStyle w:val="Heading4"/>
        <w:rPr>
          <w:rFonts w:ascii="Source Serif Pro" w:hAnsi="Source Serif Pro" w:eastAsia="Noto Serif CJK SC" w:cs="Lohit Devanagari"/>
          <w:i w:val="false"/>
          <w:i w:val="false"/>
          <w:iCs w:val="false"/>
          <w:color w:val="auto"/>
          <w:szCs w:val="24"/>
        </w:rPr>
      </w:pPr>
      <w:r>
        <w:rPr>
          <w:rFonts w:eastAsia="Noto Serif CJK SC" w:cs="Lohit Devanagari" w:ascii="Source Serif Pro" w:hAnsi="Source Serif Pro"/>
          <w:i w:val="false"/>
          <w:iCs w:val="false"/>
          <w:color w:val="auto"/>
          <w:szCs w:val="24"/>
        </w:rPr>
      </w:r>
    </w:p>
    <w:p>
      <w:pPr>
        <w:pStyle w:val="Heading4"/>
        <w:rPr>
          <w:rFonts w:ascii="Source Serif Pro" w:hAnsi="Source Serif Pro" w:eastAsia="Noto Serif CJK SC" w:cs="Lohit Devanagari"/>
          <w:i w:val="false"/>
          <w:i w:val="false"/>
          <w:iCs w:val="false"/>
          <w:color w:val="auto"/>
          <w:szCs w:val="24"/>
        </w:rPr>
      </w:pPr>
      <w:r>
        <w:rPr>
          <w:rFonts w:eastAsia="Noto Serif CJK SC" w:cs="Lohit Devanagari" w:ascii="Source Serif Pro" w:hAnsi="Source Serif Pro"/>
          <w:i w:val="false"/>
          <w:iCs w:val="false"/>
          <w:color w:val="auto"/>
          <w:szCs w:val="24"/>
        </w:rPr>
        <w:t>Individual and household characteristics</w:t>
      </w:r>
    </w:p>
    <w:p>
      <w:pPr>
        <w:pStyle w:val="NormalWeb"/>
        <w:numPr>
          <w:ilvl w:val="0"/>
          <w:numId w:val="4"/>
        </w:numPr>
        <w:spacing w:before="280" w:after="0"/>
        <w:rPr>
          <w:rFonts w:ascii="Source Serif Pro" w:hAnsi="Source Serif Pro" w:eastAsia="Noto Serif CJK SC" w:cs="Lohit Devanagari"/>
          <w:kern w:val="2"/>
          <w:lang w:val="en-US" w:eastAsia="zh-CN" w:bidi="hi-IN"/>
        </w:rPr>
      </w:pPr>
      <w:r>
        <w:rPr>
          <w:rFonts w:eastAsia="Noto Serif CJK SC" w:cs="Lohit Devanagari" w:ascii="Source Serif Pro" w:hAnsi="Source Serif Pro"/>
          <w:kern w:val="2"/>
          <w:lang w:val="en-US" w:eastAsia="zh-CN" w:bidi="hi-IN"/>
        </w:rPr>
        <w:t>Age (β = –0.0267, OR = 0.9736): Older residents are less likely to move out. Each additional year of age reduces the odds of moving out by about 2.6%, holding other factors constant.</w:t>
      </w:r>
    </w:p>
    <w:p>
      <w:pPr>
        <w:pStyle w:val="NormalWeb"/>
        <w:numPr>
          <w:ilvl w:val="0"/>
          <w:numId w:val="4"/>
        </w:numPr>
        <w:spacing w:before="0" w:after="0"/>
        <w:rPr>
          <w:rFonts w:ascii="Source Serif Pro" w:hAnsi="Source Serif Pro" w:eastAsia="Noto Serif CJK SC" w:cs="Lohit Devanagari"/>
          <w:kern w:val="2"/>
          <w:lang w:val="en-US" w:eastAsia="zh-CN" w:bidi="hi-IN"/>
        </w:rPr>
      </w:pPr>
      <w:r>
        <w:rPr>
          <w:rFonts w:eastAsia="Noto Serif CJK SC" w:cs="Lohit Devanagari" w:ascii="Source Serif Pro" w:hAnsi="Source Serif Pro"/>
          <w:kern w:val="2"/>
          <w:lang w:val="en-US" w:eastAsia="zh-CN" w:bidi="hi-IN"/>
        </w:rPr>
        <w:t>Low-income status (β = 0.2745, OR = 1.316): Low-income residents have about 32% higher odds of moving out compared to non-low-income residents, all else equal. This result is highly significant and central to our concern about potential displacement pressures around new stations.</w:t>
      </w:r>
    </w:p>
    <w:p>
      <w:pPr>
        <w:pStyle w:val="NormalWeb"/>
        <w:numPr>
          <w:ilvl w:val="0"/>
          <w:numId w:val="4"/>
        </w:numPr>
        <w:spacing w:before="0" w:afterAutospacing="0" w:after="0"/>
        <w:rPr>
          <w:rFonts w:ascii="Source Serif Pro" w:hAnsi="Source Serif Pro" w:eastAsia="Noto Serif CJK SC" w:cs="Lohit Devanagari"/>
          <w:kern w:val="2"/>
          <w:lang w:val="en-US" w:eastAsia="zh-CN" w:bidi="hi-IN"/>
        </w:rPr>
      </w:pPr>
      <w:r>
        <w:rPr>
          <w:rFonts w:eastAsia="Noto Serif CJK SC" w:cs="Lohit Devanagari" w:ascii="Source Serif Pro" w:hAnsi="Source Serif Pro"/>
          <w:kern w:val="2"/>
          <w:lang w:val="en-US" w:eastAsia="zh-CN" w:bidi="hi-IN"/>
        </w:rPr>
        <w:t xml:space="preserve">Household composition: </w:t>
      </w:r>
    </w:p>
    <w:p>
      <w:pPr>
        <w:pStyle w:val="NormalWeb"/>
        <w:numPr>
          <w:ilvl w:val="1"/>
          <w:numId w:val="6"/>
        </w:numPr>
        <w:spacing w:beforeAutospacing="0" w:before="0" w:after="280"/>
        <w:rPr>
          <w:rFonts w:ascii="Source Serif Pro" w:hAnsi="Source Serif Pro" w:eastAsia="Noto Serif CJK SC" w:cs="Lohit Devanagari"/>
          <w:kern w:val="2"/>
          <w:lang w:val="en-US" w:eastAsia="zh-CN" w:bidi="hi-IN"/>
        </w:rPr>
      </w:pPr>
      <w:r>
        <w:rPr>
          <w:rFonts w:eastAsia="Noto Serif CJK SC" w:cs="Lohit Devanagari" w:ascii="Source Serif Pro" w:hAnsi="Source Serif Pro"/>
          <w:kern w:val="2"/>
          <w:lang w:val="en-US" w:eastAsia="zh-CN" w:bidi="hi-IN"/>
        </w:rPr>
        <w:t>Number of children (β = –0.2502, OR = 0.779): households with more children are substantially less likely to move, consistent with greater residential stability needs.</w:t>
      </w:r>
    </w:p>
    <w:p>
      <w:pPr>
        <w:pStyle w:val="NormalWeb"/>
        <w:numPr>
          <w:ilvl w:val="1"/>
          <w:numId w:val="6"/>
        </w:numPr>
        <w:spacing w:before="0" w:after="0"/>
        <w:rPr>
          <w:rFonts w:ascii="Source Serif Pro" w:hAnsi="Source Serif Pro" w:eastAsia="Noto Serif CJK SC" w:cs="Lohit Devanagari"/>
          <w:kern w:val="2"/>
          <w:lang w:val="en-US" w:eastAsia="zh-CN" w:bidi="hi-IN"/>
        </w:rPr>
      </w:pPr>
      <w:r>
        <w:rPr>
          <w:rFonts w:eastAsia="Noto Serif CJK SC" w:cs="Lohit Devanagari" w:ascii="Source Serif Pro" w:hAnsi="Source Serif Pro"/>
          <w:kern w:val="2"/>
          <w:lang w:val="en-US" w:eastAsia="zh-CN" w:bidi="hi-IN"/>
        </w:rPr>
        <w:t>Marital status (β = –0.0342, OR = 0.966): married individuals have slightly lower odds of moving out.</w:t>
      </w:r>
    </w:p>
    <w:p>
      <w:pPr>
        <w:pStyle w:val="NormalWeb"/>
        <w:numPr>
          <w:ilvl w:val="1"/>
          <w:numId w:val="6"/>
        </w:numPr>
        <w:spacing w:before="0" w:after="280"/>
        <w:rPr>
          <w:rFonts w:ascii="Source Serif Pro" w:hAnsi="Source Serif Pro" w:eastAsia="Noto Serif CJK SC" w:cs="Lohit Devanagari"/>
          <w:kern w:val="2"/>
          <w:lang w:val="en-US" w:eastAsia="zh-CN" w:bidi="hi-IN"/>
        </w:rPr>
      </w:pPr>
      <w:r>
        <w:rPr>
          <w:rFonts w:eastAsia="Noto Serif CJK SC" w:cs="Lohit Devanagari" w:ascii="Source Serif Pro" w:hAnsi="Source Serif Pro"/>
          <w:kern w:val="2"/>
          <w:lang w:val="en-US" w:eastAsia="zh-CN" w:bidi="hi-IN"/>
        </w:rPr>
        <w:t>Sex (β = –0.0248, OR = 0.9755): women are marginally less likely to move out than men.</w:t>
      </w:r>
    </w:p>
    <w:p>
      <w:pPr>
        <w:pStyle w:val="Heading4"/>
        <w:rPr>
          <w:rFonts w:ascii="Source Serif Pro" w:hAnsi="Source Serif Pro" w:eastAsia="Noto Serif CJK SC" w:cs="Lohit Devanagari"/>
          <w:i w:val="false"/>
          <w:i w:val="false"/>
          <w:iCs w:val="false"/>
          <w:color w:val="auto"/>
          <w:szCs w:val="24"/>
        </w:rPr>
      </w:pPr>
      <w:r>
        <w:rPr>
          <w:rFonts w:eastAsia="Noto Serif CJK SC" w:cs="Lohit Devanagari" w:ascii="Source Serif Pro" w:hAnsi="Source Serif Pro"/>
          <w:i w:val="false"/>
          <w:iCs w:val="false"/>
          <w:color w:val="auto"/>
          <w:szCs w:val="24"/>
        </w:rPr>
        <w:t>Pre-development built environment</w:t>
      </w:r>
    </w:p>
    <w:p>
      <w:pPr>
        <w:pStyle w:val="NormalWeb"/>
        <w:numPr>
          <w:ilvl w:val="0"/>
          <w:numId w:val="5"/>
        </w:numPr>
        <w:spacing w:before="0" w:after="0"/>
        <w:rPr>
          <w:rFonts w:ascii="Source Serif Pro" w:hAnsi="Source Serif Pro" w:eastAsia="Noto Serif CJK SC" w:cs="Lohit Devanagari"/>
          <w:kern w:val="2"/>
          <w:lang w:val="en-US" w:eastAsia="zh-CN" w:bidi="hi-IN"/>
        </w:rPr>
      </w:pPr>
      <w:commentRangeStart w:id="5"/>
      <w:r>
        <w:rPr>
          <w:rFonts w:eastAsia="Noto Serif CJK SC" w:cs="Lohit Devanagari" w:ascii="Source Serif Pro" w:hAnsi="Source Serif Pro"/>
          <w:kern w:val="2"/>
          <w:lang w:val="en-US" w:eastAsia="zh-CN" w:bidi="hi-IN"/>
        </w:rPr>
        <w:t>Pre-existing housing stocks positively associated with out-mobility, although effects per percentage point are very small.</w:t>
      </w:r>
      <w:commentRangeEnd w:id="5"/>
      <w:r>
        <w:commentReference w:id="5"/>
      </w:r>
      <w:r>
        <w:rPr>
          <w:rFonts w:eastAsia="Noto Serif CJK SC" w:cs="Lohit Devanagari" w:ascii="Source Serif Pro" w:hAnsi="Source Serif Pro"/>
          <w:kern w:val="2"/>
          <w:lang w:val="en-US" w:eastAsia="zh-CN" w:bidi="hi-IN"/>
        </w:rPr>
      </w:r>
    </w:p>
    <w:p>
      <w:pPr>
        <w:pStyle w:val="NormalWeb"/>
        <w:numPr>
          <w:ilvl w:val="0"/>
          <w:numId w:val="5"/>
        </w:numPr>
        <w:spacing w:before="0" w:after="280"/>
        <w:rPr>
          <w:rFonts w:ascii="Source Serif Pro" w:hAnsi="Source Serif Pro" w:eastAsia="Noto Serif CJK SC" w:cs="Lohit Devanagari"/>
          <w:kern w:val="2"/>
          <w:lang w:val="en-US" w:eastAsia="zh-CN" w:bidi="hi-IN"/>
        </w:rPr>
      </w:pPr>
      <w:r>
        <w:rPr>
          <w:rFonts w:eastAsia="Noto Serif CJK SC" w:cs="Lohit Devanagari" w:ascii="Source Serif Pro" w:hAnsi="Source Serif Pro"/>
          <w:kern w:val="2"/>
          <w:lang w:val="en-US" w:eastAsia="zh-CN" w:bidi="hi-IN"/>
        </w:rPr>
        <w:t>Pre-existing average number of bedrooms (β = –0.0325, OR = 0.968): station areas with larger dwellings before the station opened tend to have lower out-mobility, likely reflecting more stable, better-sized housing stock.</w:t>
      </w:r>
    </w:p>
    <w:p>
      <w:pPr>
        <w:pStyle w:val="Heading4"/>
        <w:rPr>
          <w:rFonts w:ascii="Source Serif Pro" w:hAnsi="Source Serif Pro" w:eastAsia="Noto Serif CJK SC" w:cs="Lohit Devanagari"/>
          <w:i w:val="false"/>
          <w:i w:val="false"/>
          <w:iCs w:val="false"/>
          <w:color w:val="auto"/>
          <w:szCs w:val="24"/>
        </w:rPr>
      </w:pPr>
      <w:r>
        <w:rPr>
          <w:rFonts w:eastAsia="Noto Serif CJK SC" w:cs="Lohit Devanagari" w:ascii="Source Serif Pro" w:hAnsi="Source Serif Pro"/>
          <w:i w:val="false"/>
          <w:iCs w:val="false"/>
          <w:color w:val="auto"/>
          <w:szCs w:val="24"/>
        </w:rPr>
        <w:t>Post-opening housing change</w:t>
      </w:r>
    </w:p>
    <w:p>
      <w:pPr>
        <w:pStyle w:val="NormalWeb"/>
        <w:spacing w:before="280" w:after="280"/>
        <w:rPr>
          <w:rFonts w:ascii="Source Serif Pro" w:hAnsi="Source Serif Pro" w:eastAsia="Noto Serif CJK SC" w:cs="Lohit Devanagari"/>
          <w:kern w:val="2"/>
          <w:lang w:val="en-US" w:eastAsia="zh-CN" w:bidi="hi-IN"/>
        </w:rPr>
      </w:pPr>
      <w:r>
        <w:rPr>
          <w:rFonts w:eastAsia="Noto Serif CJK SC" w:cs="Lohit Devanagari" w:ascii="Source Serif Pro" w:hAnsi="Source Serif Pro"/>
          <w:kern w:val="2"/>
          <w:lang w:val="en-US" w:eastAsia="zh-CN" w:bidi="hi-IN"/>
        </w:rPr>
        <w:t>The change variables capture how redevelopment and intensification around stations are associated with mobility:</w:t>
      </w:r>
    </w:p>
    <w:p>
      <w:pPr>
        <w:pStyle w:val="NormalWeb"/>
        <w:numPr>
          <w:ilvl w:val="0"/>
          <w:numId w:val="6"/>
        </w:numPr>
        <w:spacing w:before="0" w:after="0"/>
        <w:rPr>
          <w:rFonts w:ascii="Source Serif Pro" w:hAnsi="Source Serif Pro" w:eastAsia="Noto Serif CJK SC" w:cs="Lohit Devanagari"/>
          <w:kern w:val="2"/>
          <w:lang w:val="en-US" w:eastAsia="zh-CN" w:bidi="hi-IN"/>
        </w:rPr>
      </w:pPr>
      <w:commentRangeStart w:id="6"/>
      <w:r>
        <w:rPr>
          <w:rFonts w:eastAsia="Noto Serif CJK SC" w:cs="Lohit Devanagari" w:ascii="Source Serif Pro" w:hAnsi="Source Serif Pro"/>
          <w:kern w:val="2"/>
          <w:lang w:val="en-US" w:eastAsia="zh-CN" w:bidi="hi-IN"/>
        </w:rPr>
        <w:t>Change in average number of bedrooms (β = 0.0282, OR = 1.029): Increases in average bedrooms are associated with higher odds of moving out.</w:t>
      </w:r>
      <w:r>
        <w:rPr>
          <w:rFonts w:eastAsia="Noto Serif CJK SC" w:cs="Lohit Devanagari" w:ascii="Source Serif Pro" w:hAnsi="Source Serif Pro"/>
          <w:kern w:val="2"/>
          <w:lang w:val="en-US" w:eastAsia="zh-CN" w:bidi="hi-IN"/>
        </w:rPr>
      </w:r>
      <w:commentRangeEnd w:id="6"/>
      <w:r>
        <w:commentReference w:id="6"/>
      </w:r>
      <w:r>
        <w:rPr>
          <w:rFonts w:eastAsia="Noto Serif CJK SC" w:cs="Lohit Devanagari" w:ascii="Source Serif Pro" w:hAnsi="Source Serif Pro"/>
          <w:kern w:val="2"/>
          <w:lang w:val="en-US" w:eastAsia="zh-CN" w:bidi="hi-IN"/>
        </w:rPr>
        <w:commentReference w:id="7"/>
      </w:r>
    </w:p>
    <w:p>
      <w:pPr>
        <w:pStyle w:val="NormalWeb"/>
        <w:numPr>
          <w:ilvl w:val="0"/>
          <w:numId w:val="6"/>
        </w:numPr>
        <w:spacing w:before="0" w:after="0"/>
        <w:rPr>
          <w:rFonts w:ascii="Source Serif Pro" w:hAnsi="Source Serif Pro" w:eastAsia="Noto Serif CJK SC" w:cs="Lohit Devanagari"/>
          <w:kern w:val="2"/>
          <w:lang w:val="en-US" w:eastAsia="zh-CN" w:bidi="hi-IN"/>
        </w:rPr>
      </w:pPr>
      <w:commentRangeStart w:id="8"/>
      <w:r>
        <w:rPr>
          <w:rFonts w:eastAsia="Noto Serif CJK SC" w:cs="Lohit Devanagari" w:ascii="Source Serif Pro" w:hAnsi="Source Serif Pro"/>
          <w:kern w:val="2"/>
          <w:lang w:val="en-US" w:eastAsia="zh-CN" w:bidi="hi-IN"/>
        </w:rPr>
        <w:t>Change in apartment shares:</w:t>
      </w:r>
    </w:p>
    <w:p>
      <w:pPr>
        <w:pStyle w:val="NormalWeb"/>
        <w:numPr>
          <w:ilvl w:val="1"/>
          <w:numId w:val="6"/>
        </w:numPr>
        <w:spacing w:before="0" w:after="0"/>
        <w:rPr>
          <w:rFonts w:ascii="Source Serif Pro" w:hAnsi="Source Serif Pro" w:eastAsia="Noto Serif CJK SC" w:cs="Lohit Devanagari"/>
          <w:kern w:val="2"/>
          <w:lang w:val="en-US" w:eastAsia="zh-CN" w:bidi="hi-IN"/>
        </w:rPr>
      </w:pPr>
      <w:r>
        <w:rPr>
          <w:rFonts w:eastAsia="Noto Serif CJK SC" w:cs="Lohit Devanagari" w:ascii="Source Serif Pro" w:hAnsi="Source Serif Pro"/>
          <w:kern w:val="2"/>
          <w:lang w:val="en-US" w:eastAsia="zh-CN" w:bidi="hi-IN"/>
        </w:rPr>
        <w:t>Apartments &lt;5 storeys (β = 0.0001, OR = 1.0001)</w:t>
      </w:r>
    </w:p>
    <w:p>
      <w:pPr>
        <w:pStyle w:val="NormalWeb"/>
        <w:numPr>
          <w:ilvl w:val="1"/>
          <w:numId w:val="6"/>
        </w:numPr>
        <w:spacing w:before="0" w:after="0"/>
        <w:rPr>
          <w:rFonts w:ascii="Source Serif Pro" w:hAnsi="Source Serif Pro" w:eastAsia="Noto Serif CJK SC" w:cs="Lohit Devanagari"/>
          <w:kern w:val="2"/>
          <w:lang w:val="en-US" w:eastAsia="zh-CN" w:bidi="hi-IN"/>
        </w:rPr>
      </w:pPr>
      <w:r>
        <w:rPr>
          <w:rFonts w:eastAsia="Noto Serif CJK SC" w:cs="Lohit Devanagari" w:ascii="Source Serif Pro" w:hAnsi="Source Serif Pro"/>
          <w:kern w:val="2"/>
          <w:lang w:val="en-US" w:eastAsia="zh-CN" w:bidi="hi-IN"/>
        </w:rPr>
        <w:t>Apartments 5+ storeys (β = 0.0001, OR = 1.0001)</w:t>
        <w:br/>
        <w:t>Although the per-unit effects are small, growth in both low-rise and high-rise apartments is associated with slightly higher out-mobility.</w:t>
      </w:r>
      <w:r>
        <w:rPr>
          <w:rFonts w:eastAsia="Noto Serif CJK SC" w:cs="Lohit Devanagari" w:ascii="Source Serif Pro" w:hAnsi="Source Serif Pro"/>
          <w:kern w:val="2"/>
          <w:lang w:val="en-US" w:eastAsia="zh-CN" w:bidi="hi-IN"/>
        </w:rPr>
      </w:r>
      <w:commentRangeEnd w:id="8"/>
      <w:r>
        <w:commentReference w:id="8"/>
      </w:r>
      <w:r>
        <w:rPr>
          <w:rFonts w:eastAsia="Noto Serif CJK SC" w:cs="Lohit Devanagari" w:ascii="Source Serif Pro" w:hAnsi="Source Serif Pro"/>
          <w:kern w:val="2"/>
          <w:lang w:val="en-US" w:eastAsia="zh-CN" w:bidi="hi-IN"/>
        </w:rPr>
        <w:commentReference w:id="9"/>
      </w:r>
    </w:p>
    <w:p>
      <w:pPr>
        <w:pStyle w:val="NormalWeb"/>
        <w:numPr>
          <w:ilvl w:val="0"/>
          <w:numId w:val="6"/>
        </w:numPr>
        <w:spacing w:before="0" w:after="0"/>
        <w:rPr>
          <w:rFonts w:ascii="Source Serif Pro" w:hAnsi="Source Serif Pro" w:eastAsia="Noto Serif CJK SC" w:cs="Lohit Devanagari"/>
          <w:kern w:val="2"/>
          <w:lang w:val="en-US" w:eastAsia="zh-CN" w:bidi="hi-IN"/>
        </w:rPr>
      </w:pPr>
      <w:r>
        <w:rPr>
          <w:rFonts w:eastAsia="Noto Serif CJK SC" w:cs="Lohit Devanagari" w:ascii="Source Serif Pro" w:hAnsi="Source Serif Pro"/>
          <w:kern w:val="2"/>
          <w:lang w:val="en-US" w:eastAsia="zh-CN" w:bidi="hi-IN"/>
        </w:rPr>
        <w:t xml:space="preserve">Change in non-detached dwellings (β </w:t>
      </w:r>
      <w:bookmarkStart w:id="0" w:name="OLE_LINK1"/>
      <w:r>
        <w:rPr>
          <w:rFonts w:eastAsia="Noto Serif CJK SC" w:cs="Lohit Devanagari" w:ascii="Source Serif Pro" w:hAnsi="Source Serif Pro"/>
          <w:kern w:val="2"/>
          <w:lang w:val="en-US" w:eastAsia="zh-CN" w:bidi="hi-IN"/>
        </w:rPr>
        <w:t>=</w:t>
      </w:r>
      <w:bookmarkEnd w:id="0"/>
      <w:r>
        <w:rPr>
          <w:rFonts w:eastAsia="Noto Serif CJK SC" w:cs="Lohit Devanagari" w:ascii="Source Serif Pro" w:hAnsi="Source Serif Pro"/>
          <w:kern w:val="2"/>
          <w:lang w:val="en-US" w:eastAsia="zh-CN" w:bidi="hi-IN"/>
        </w:rPr>
        <w:t xml:space="preserve"> –0.0001, OR = 0.9999): Growth in semi-detached, row, and townhouse units is linked to slightly lower odds of moving out, suggesting that moderate-density forms may better support residential stability.</w:t>
      </w:r>
    </w:p>
    <w:p>
      <w:pPr>
        <w:pStyle w:val="NormalWeb"/>
        <w:numPr>
          <w:ilvl w:val="0"/>
          <w:numId w:val="6"/>
        </w:numPr>
        <w:spacing w:before="0" w:afterAutospacing="0" w:after="0"/>
        <w:rPr>
          <w:rFonts w:ascii="Source Serif Pro" w:hAnsi="Source Serif Pro" w:eastAsia="Noto Serif CJK SC" w:cs="Lohit Devanagari"/>
          <w:kern w:val="2"/>
          <w:lang w:val="en-US" w:eastAsia="zh-CN" w:bidi="hi-IN"/>
        </w:rPr>
      </w:pPr>
      <w:commentRangeStart w:id="10"/>
      <w:r>
        <w:rPr>
          <w:rFonts w:eastAsia="Noto Serif CJK SC" w:cs="Lohit Devanagari" w:ascii="Source Serif Pro" w:hAnsi="Source Serif Pro"/>
          <w:kern w:val="2"/>
          <w:lang w:val="en-US" w:eastAsia="zh-CN" w:bidi="hi-IN"/>
        </w:rPr>
        <w:t>Change in single-detached dwellings (β = –0.0009, OR = 0.9991): Increases in single-detached dwellings also slightly reduce out-mobility.</w:t>
      </w:r>
      <w:r>
        <w:rPr>
          <w:rFonts w:eastAsia="Noto Serif CJK SC" w:cs="Lohit Devanagari" w:ascii="Source Serif Pro" w:hAnsi="Source Serif Pro"/>
          <w:kern w:val="2"/>
          <w:lang w:val="en-US" w:eastAsia="zh-CN" w:bidi="hi-IN"/>
        </w:rPr>
      </w:r>
      <w:commentRangeEnd w:id="10"/>
      <w:r>
        <w:commentReference w:id="10"/>
      </w:r>
      <w:r>
        <w:rPr>
          <w:rFonts w:eastAsia="Noto Serif CJK SC" w:cs="Lohit Devanagari" w:ascii="Source Serif Pro" w:hAnsi="Source Serif Pro"/>
          <w:kern w:val="2"/>
          <w:lang w:val="en-US" w:eastAsia="zh-CN" w:bidi="hi-IN"/>
        </w:rPr>
        <w:commentReference w:id="11"/>
      </w:r>
    </w:p>
    <w:p>
      <w:pPr>
        <w:pStyle w:val="NormalWeb"/>
        <w:numPr>
          <w:ilvl w:val="0"/>
          <w:numId w:val="7"/>
        </w:numPr>
        <w:spacing w:before="0" w:after="0"/>
        <w:rPr>
          <w:rFonts w:ascii="Source Serif Pro" w:hAnsi="Source Serif Pro" w:eastAsia="Noto Serif CJK SC" w:cs="Lohit Devanagari"/>
          <w:kern w:val="2"/>
          <w:lang w:val="en-US" w:eastAsia="zh-CN" w:bidi="hi-IN"/>
        </w:rPr>
      </w:pPr>
      <w:commentRangeStart w:id="12"/>
      <w:r>
        <w:rPr>
          <w:rFonts w:eastAsia="Noto Serif CJK SC" w:cs="Lohit Devanagari" w:ascii="Source Serif Pro" w:hAnsi="Source Serif Pro"/>
          <w:kern w:val="2"/>
          <w:lang w:val="en-US" w:eastAsia="zh-CN" w:bidi="hi-IN"/>
        </w:rPr>
        <w:t xml:space="preserve">Change in rental share (β = 0.0023, OR = 1.0023): An increase in the proportion of rental units raises the odds of moving out. </w:t>
      </w:r>
      <w:r>
        <w:rPr>
          <w:rFonts w:eastAsia="Noto Serif CJK SC" w:cs="Lohit Devanagari" w:ascii="Source Serif Pro" w:hAnsi="Source Serif Pro"/>
          <w:kern w:val="2"/>
          <w:lang w:val="en-US" w:eastAsia="zh-CN" w:bidi="hi-IN"/>
        </w:rPr>
      </w:r>
      <w:commentRangeEnd w:id="12"/>
      <w:r>
        <w:commentReference w:id="12"/>
      </w:r>
      <w:r>
        <w:rPr>
          <w:rFonts w:eastAsia="Noto Serif CJK SC" w:cs="Lohit Devanagari" w:ascii="Source Serif Pro" w:hAnsi="Source Serif Pro"/>
          <w:kern w:val="2"/>
          <w:lang w:val="en-US" w:eastAsia="zh-CN" w:bidi="hi-IN"/>
        </w:rPr>
        <w:commentReference w:id="13"/>
      </w:r>
    </w:p>
    <w:p>
      <w:pPr>
        <w:pStyle w:val="NormalWeb"/>
        <w:numPr>
          <w:ilvl w:val="0"/>
          <w:numId w:val="7"/>
        </w:numPr>
        <w:spacing w:before="0" w:after="280"/>
        <w:rPr>
          <w:rFonts w:ascii="Source Serif Pro" w:hAnsi="Source Serif Pro" w:eastAsia="Noto Serif CJK SC" w:cs="Lohit Devanagari"/>
          <w:kern w:val="2"/>
          <w:lang w:val="en-US" w:eastAsia="zh-CN" w:bidi="hi-IN"/>
        </w:rPr>
      </w:pPr>
      <w:r>
        <w:rPr>
          <w:rFonts w:eastAsia="Noto Serif CJK SC" w:cs="Lohit Devanagari" w:ascii="Source Serif Pro" w:hAnsi="Source Serif Pro"/>
          <w:kern w:val="2"/>
          <w:lang w:val="en-US" w:eastAsia="zh-CN" w:bidi="hi-IN"/>
        </w:rPr>
        <w:t>Dwelling growth × change in average bedrooms (β = –0.0006, OR = 0.9994)</w:t>
        <w:br/>
        <w:t>The negative interaction suggests that when overall dwelling counts increase together with more bedrooms per dwelling, the combined effect slightly reduces out-mobility compared with adding bedrooms in areas with little dwelling growth. One interpretation is that when intensification delivers both more units and more adequate unit sizes, residents may have more opportunities to remain in or near the station area rather than being pushed out.</w:t>
      </w:r>
    </w:p>
    <w:p>
      <w:pPr>
        <w:pStyle w:val="Heading4"/>
        <w:rPr>
          <w:rFonts w:ascii="Source Serif Pro" w:hAnsi="Source Serif Pro" w:eastAsia="Noto Serif CJK SC" w:cs="Lohit Devanagari"/>
          <w:i w:val="false"/>
          <w:i w:val="false"/>
          <w:iCs w:val="false"/>
          <w:color w:val="auto"/>
          <w:szCs w:val="24"/>
        </w:rPr>
      </w:pPr>
      <w:r>
        <w:rPr>
          <w:rFonts w:eastAsia="Noto Serif CJK SC" w:cs="Lohit Devanagari" w:ascii="Source Serif Pro" w:hAnsi="Source Serif Pro"/>
          <w:i w:val="false"/>
          <w:iCs w:val="false"/>
          <w:color w:val="auto"/>
          <w:szCs w:val="24"/>
        </w:rPr>
        <w:t>Period effects</w:t>
      </w:r>
    </w:p>
    <w:p>
      <w:pPr>
        <w:pStyle w:val="NormalWeb"/>
        <w:numPr>
          <w:ilvl w:val="0"/>
          <w:numId w:val="8"/>
        </w:numPr>
        <w:spacing w:before="280" w:after="280"/>
        <w:rPr>
          <w:rFonts w:ascii="Source Serif Pro" w:hAnsi="Source Serif Pro" w:eastAsia="Noto Serif CJK SC" w:cs="Lohit Devanagari"/>
          <w:kern w:val="2"/>
          <w:lang w:val="en-US" w:eastAsia="zh-CN" w:bidi="hi-IN"/>
        </w:rPr>
      </w:pPr>
      <w:r>
        <w:rPr>
          <w:rFonts w:eastAsia="Noto Serif CJK SC" w:cs="Lohit Devanagari" w:ascii="Source Serif Pro" w:hAnsi="Source Serif Pro"/>
          <w:kern w:val="2"/>
          <w:lang w:val="en-US" w:eastAsia="zh-CN" w:bidi="hi-IN"/>
        </w:rPr>
        <w:t xml:space="preserve">Year of station opening (β = –0.0142, OR = 0.9859): Residents near more recently opened stations are less likely to move out, even after controlling for other factors. </w:t>
      </w:r>
    </w:p>
    <w:p>
      <w:pPr>
        <w:pStyle w:val="Normal"/>
        <w:rPr>
          <w:rFonts w:ascii="Source Serif Pro" w:hAnsi="Source Serif Pro"/>
        </w:rPr>
      </w:pPr>
      <w:r>
        <w:rPr>
          <w:rFonts w:ascii="Source Serif Pro" w:hAnsi="Source Serif Pro"/>
        </w:rPr>
      </w:r>
    </w:p>
    <w:p>
      <w:pPr>
        <w:pStyle w:val="Normal"/>
        <w:rPr>
          <w:rFonts w:ascii="TradeGothic LT Bold" w:hAnsi="TradeGothic LT Bold"/>
          <w:b/>
          <w:b/>
          <w:bCs/>
          <w:sz w:val="32"/>
          <w:szCs w:val="32"/>
        </w:rPr>
      </w:pPr>
      <w:r>
        <w:rPr>
          <w:rFonts w:ascii="TradeGothic LT Bold" w:hAnsi="TradeGothic LT Bold"/>
          <w:b/>
          <w:bCs/>
          <w:sz w:val="32"/>
          <w:szCs w:val="32"/>
        </w:rPr>
      </w:r>
    </w:p>
    <w:p>
      <w:pPr>
        <w:pStyle w:val="Normal"/>
        <w:rPr>
          <w:rFonts w:ascii="TradeGothic LT Bold" w:hAnsi="TradeGothic LT Bold"/>
          <w:b/>
          <w:b/>
          <w:bCs/>
          <w:sz w:val="32"/>
          <w:szCs w:val="32"/>
        </w:rPr>
      </w:pPr>
      <w:r>
        <w:rPr>
          <w:rFonts w:ascii="TradeGothic LT Bold" w:hAnsi="TradeGothic LT Bold"/>
          <w:b/>
          <w:bCs/>
          <w:sz w:val="32"/>
          <w:szCs w:val="32"/>
        </w:rPr>
      </w:r>
    </w:p>
    <w:p>
      <w:pPr>
        <w:pStyle w:val="Normal"/>
        <w:rPr>
          <w:rFonts w:ascii="TradeGothic LT Bold" w:hAnsi="TradeGothic LT Bold"/>
          <w:b/>
          <w:b/>
          <w:bCs/>
          <w:sz w:val="32"/>
          <w:szCs w:val="32"/>
        </w:rPr>
      </w:pPr>
      <w:r>
        <w:rPr>
          <w:rFonts w:ascii="TradeGothic LT Bold" w:hAnsi="TradeGothic LT Bold"/>
          <w:b/>
          <w:bCs/>
          <w:sz w:val="32"/>
          <w:szCs w:val="32"/>
        </w:rPr>
      </w:r>
    </w:p>
    <w:p>
      <w:pPr>
        <w:pStyle w:val="Normal"/>
        <w:rPr>
          <w:rFonts w:ascii="TradeGothic LT Bold" w:hAnsi="TradeGothic LT Bold"/>
          <w:b/>
          <w:b/>
          <w:bCs/>
          <w:sz w:val="40"/>
          <w:szCs w:val="40"/>
        </w:rPr>
      </w:pPr>
      <w:r>
        <w:rPr>
          <w:rFonts w:ascii="TradeGothic LT Bold" w:hAnsi="TradeGothic LT Bold"/>
          <w:b/>
          <w:bCs/>
          <w:sz w:val="40"/>
          <w:szCs w:val="40"/>
        </w:rPr>
        <w:t>5. Case study scenario analysis</w:t>
      </w:r>
    </w:p>
    <w:p>
      <w:pPr>
        <w:pStyle w:val="Normal"/>
        <w:rPr>
          <w:rFonts w:ascii="Source Serif Pro" w:hAnsi="Source Serif Pro"/>
        </w:rPr>
      </w:pPr>
      <w:r>
        <w:rPr>
          <w:rFonts w:ascii="Source Serif Pro" w:hAnsi="Source Serif Pro"/>
        </w:rPr>
      </w:r>
    </w:p>
    <w:p>
      <w:pPr>
        <w:pStyle w:val="Normal"/>
        <w:rPr>
          <w:rFonts w:ascii="Source Serif Pro" w:hAnsi="Source Serif Pro"/>
        </w:rPr>
      </w:pPr>
      <w:commentRangeStart w:id="14"/>
      <w:r>
        <w:rPr>
          <w:rFonts w:ascii="Source Serif Pro" w:hAnsi="Source Serif Pro"/>
        </w:rPr>
        <w:t>The Infrastructure Institute looked at 5 case study station areas</w:t>
      </w:r>
      <w:r>
        <w:rPr>
          <w:rFonts w:ascii="Source Serif Pro" w:hAnsi="Source Serif Pro"/>
        </w:rPr>
      </w:r>
      <w:commentRangeEnd w:id="14"/>
      <w:r>
        <w:commentReference w:id="14"/>
      </w:r>
      <w:r>
        <w:rPr>
          <w:rFonts w:ascii="Source Serif Pro" w:hAnsi="Source Serif Pro"/>
        </w:rPr>
        <w:t xml:space="preserve"> and designed 2 future development scenarios for each (i.e. 10 scenarios in total). For each of these, we used the model above to estimate probability and total number of low-income residents who would move away from these station areas based on our model and scenario characteristics.</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 xml:space="preserve">We did this via a Monte Carlo simulation process, where we randomly sampled individuals, weighted by census data, and then used our residential mobility model to estimate their probability to move based on their sampled individual characteristics (age, gender, low-income status, etc.).  Data on the built environment change came from the Infrastructure Institute. The result for each simulation is an output probability (a number ranging from 0 to 1). This probability was further used to randomly sample whether or not someone moved. For example, if the probability to move was 0.7, we used a random number generator that would return 70% of the time that that person moved, 30% they would not. The simulation was run for </w:t>
      </w:r>
      <w:r>
        <w:rPr>
          <w:rFonts w:ascii="Source Serif Pro" w:hAnsi="Source Serif Pro"/>
          <w:i/>
          <w:iCs/>
        </w:rPr>
        <w:t>P</w:t>
      </w:r>
      <w:r>
        <w:rPr>
          <w:rFonts w:ascii="Source Serif Pro" w:hAnsi="Source Serif Pro"/>
        </w:rPr>
        <w:t xml:space="preserve"> times, where </w:t>
      </w:r>
      <w:r>
        <w:rPr>
          <w:rFonts w:ascii="Source Serif Pro" w:hAnsi="Source Serif Pro"/>
          <w:i/>
          <w:iCs/>
        </w:rPr>
        <w:t>P</w:t>
      </w:r>
      <w:r>
        <w:rPr>
          <w:rFonts w:ascii="Source Serif Pro" w:hAnsi="Source Serif Pro"/>
        </w:rPr>
        <w:t xml:space="preserve"> is the population within 800m of the station in 2024. Results for </w:t>
      </w:r>
    </w:p>
    <w:p>
      <w:pPr>
        <w:pStyle w:val="Normal"/>
        <w:rPr>
          <w:rFonts w:ascii="Source Serif Pro" w:hAnsi="Source Serif Pro"/>
        </w:rPr>
      </w:pPr>
      <w:r>
        <w:rPr>
          <w:rFonts w:ascii="Source Serif Pro" w:hAnsi="Source Serif Pro"/>
        </w:rPr>
        <w:t>each case study area are in the following sub-sections:</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Key findings</w:t>
      </w:r>
    </w:p>
    <w:p>
      <w:pPr>
        <w:pStyle w:val="Normal"/>
        <w:numPr>
          <w:ilvl w:val="0"/>
          <w:numId w:val="2"/>
        </w:numPr>
        <w:rPr>
          <w:rFonts w:ascii="Source Serif Pro" w:hAnsi="Source Serif Pro"/>
        </w:rPr>
      </w:pPr>
      <w:r>
        <w:rPr>
          <w:rFonts w:ascii="Source Serif Pro" w:hAnsi="Source Serif Pro"/>
        </w:rPr>
        <w:t>The moving rate for low-income households is ~5% higher than non-low-income households across all</w:t>
      </w:r>
    </w:p>
    <w:p>
      <w:pPr>
        <w:pStyle w:val="Normal"/>
        <w:numPr>
          <w:ilvl w:val="0"/>
          <w:numId w:val="2"/>
        </w:numPr>
        <w:rPr>
          <w:rFonts w:ascii="Source Serif Pro" w:hAnsi="Source Serif Pro"/>
        </w:rPr>
      </w:pPr>
      <w:r>
        <w:rPr>
          <w:rFonts w:ascii="Source Serif Pro" w:hAnsi="Source Serif Pro"/>
        </w:rPr>
        <w:t>The overall moving rates for low-income households may seem high, but this is the propensity to move over a 10 year-period.</w:t>
      </w:r>
    </w:p>
    <w:p>
      <w:pPr>
        <w:pStyle w:val="Normal"/>
        <w:numPr>
          <w:ilvl w:val="0"/>
          <w:numId w:val="2"/>
        </w:numPr>
        <w:rPr/>
      </w:pPr>
      <w:r>
        <w:rPr>
          <w:rFonts w:ascii="Source Serif Pro" w:hAnsi="Source Serif Pro"/>
        </w:rPr>
        <w:t>Scenario B, which for each case study is has a greater mix of dwelling types, has lower moving rates for low-income residents across almost every case study, indicating that providing a range of dwelling options would reduce out-mobility of low-income households. However, these differences are relatively small, indicating that regardless of what type of dwellings are built (# of bedrooms, # of stories, etc.), policy intervention is likely needed to maintain housing affordability so that households can stay in place.</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TradeGothic LT Bold" w:hAnsi="TradeGothic LT Bold"/>
          <w:sz w:val="32"/>
          <w:szCs w:val="32"/>
        </w:rPr>
      </w:pPr>
      <w:r>
        <w:rPr>
          <w:rFonts w:ascii="TradeGothic LT Bold" w:hAnsi="TradeGothic LT Bold"/>
          <w:sz w:val="32"/>
          <w:szCs w:val="32"/>
        </w:rPr>
        <w:t>5.1. Cooksville, Mississauga</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tbl>
      <w:tblPr>
        <w:tblW w:w="6565" w:type="dxa"/>
        <w:jc w:val="left"/>
        <w:tblInd w:w="28" w:type="dxa"/>
        <w:tblLayout w:type="fixed"/>
        <w:tblCellMar>
          <w:top w:w="28" w:type="dxa"/>
          <w:left w:w="28" w:type="dxa"/>
          <w:bottom w:w="28" w:type="dxa"/>
          <w:right w:w="28" w:type="dxa"/>
        </w:tblCellMar>
        <w:tblLook w:val="04a0" w:noHBand="0" w:noVBand="1" w:firstColumn="1" w:lastRow="0" w:lastColumn="0" w:firstRow="1"/>
      </w:tblPr>
      <w:tblGrid>
        <w:gridCol w:w="3958"/>
        <w:gridCol w:w="1349"/>
        <w:gridCol w:w="1258"/>
      </w:tblGrid>
      <w:tr>
        <w:trPr>
          <w:trHeight w:val="311" w:hRule="atLeast"/>
        </w:trPr>
        <w:tc>
          <w:tcPr>
            <w:tcW w:w="3958" w:type="dxa"/>
            <w:tcBorders/>
            <w:vAlign w:val="bottom"/>
          </w:tcPr>
          <w:p>
            <w:pPr>
              <w:pStyle w:val="TableContents"/>
              <w:widowControl w:val="false"/>
              <w:rPr/>
            </w:pPr>
            <w:r>
              <w:rPr/>
              <w:t>2024 population</w:t>
            </w:r>
          </w:p>
        </w:tc>
        <w:tc>
          <w:tcPr>
            <w:tcW w:w="1349" w:type="dxa"/>
            <w:tcBorders/>
            <w:vAlign w:val="bottom"/>
          </w:tcPr>
          <w:p>
            <w:pPr>
              <w:pStyle w:val="TableContents"/>
              <w:widowControl w:val="false"/>
              <w:rPr/>
            </w:pPr>
            <w:r>
              <w:rPr/>
              <w:t>19610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2024 low-income population</w:t>
            </w:r>
          </w:p>
        </w:tc>
        <w:tc>
          <w:tcPr>
            <w:tcW w:w="1349" w:type="dxa"/>
            <w:tcBorders/>
            <w:vAlign w:val="bottom"/>
          </w:tcPr>
          <w:p>
            <w:pPr>
              <w:pStyle w:val="TableContents"/>
              <w:widowControl w:val="false"/>
              <w:rPr/>
            </w:pPr>
            <w:r>
              <w:rPr/>
              <w:t>2530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Scenario A low-income out movers</w:t>
            </w:r>
          </w:p>
        </w:tc>
        <w:tc>
          <w:tcPr>
            <w:tcW w:w="1349" w:type="dxa"/>
            <w:tcBorders/>
            <w:vAlign w:val="bottom"/>
          </w:tcPr>
          <w:p>
            <w:pPr>
              <w:pStyle w:val="TableContents"/>
              <w:widowControl w:val="false"/>
              <w:rPr/>
            </w:pPr>
            <w:r>
              <w:rPr/>
              <w:t>1810</w:t>
            </w:r>
          </w:p>
        </w:tc>
        <w:tc>
          <w:tcPr>
            <w:tcW w:w="1258" w:type="dxa"/>
            <w:tcBorders/>
            <w:vAlign w:val="bottom"/>
          </w:tcPr>
          <w:p>
            <w:pPr>
              <w:pStyle w:val="TableContents"/>
              <w:widowControl w:val="false"/>
              <w:rPr/>
            </w:pPr>
            <w:r>
              <w:rPr/>
              <w:t>71.5%</w:t>
            </w:r>
          </w:p>
        </w:tc>
      </w:tr>
      <w:tr>
        <w:trPr>
          <w:trHeight w:val="311" w:hRule="atLeast"/>
        </w:trPr>
        <w:tc>
          <w:tcPr>
            <w:tcW w:w="3958" w:type="dxa"/>
            <w:tcBorders/>
            <w:vAlign w:val="bottom"/>
          </w:tcPr>
          <w:p>
            <w:pPr>
              <w:pStyle w:val="TableContents"/>
              <w:widowControl w:val="false"/>
              <w:rPr/>
            </w:pPr>
            <w:r>
              <w:rPr/>
              <w:t>Scenario B low-Income out movers</w:t>
            </w:r>
          </w:p>
        </w:tc>
        <w:tc>
          <w:tcPr>
            <w:tcW w:w="1349" w:type="dxa"/>
            <w:tcBorders/>
            <w:vAlign w:val="bottom"/>
          </w:tcPr>
          <w:p>
            <w:pPr>
              <w:pStyle w:val="TableContents"/>
              <w:widowControl w:val="false"/>
              <w:rPr/>
            </w:pPr>
            <w:r>
              <w:rPr/>
              <w:t>1760</w:t>
            </w:r>
          </w:p>
        </w:tc>
        <w:tc>
          <w:tcPr>
            <w:tcW w:w="1258" w:type="dxa"/>
            <w:tcBorders/>
            <w:vAlign w:val="bottom"/>
          </w:tcPr>
          <w:p>
            <w:pPr>
              <w:pStyle w:val="TableContents"/>
              <w:widowControl w:val="false"/>
              <w:rPr/>
            </w:pPr>
            <w:r>
              <w:rPr/>
              <w:t>69.6%</w:t>
            </w:r>
          </w:p>
        </w:tc>
      </w:tr>
      <w:tr>
        <w:trPr>
          <w:trHeight w:val="311" w:hRule="atLeast"/>
        </w:trPr>
        <w:tc>
          <w:tcPr>
            <w:tcW w:w="3958" w:type="dxa"/>
            <w:tcBorders/>
            <w:vAlign w:val="bottom"/>
          </w:tcPr>
          <w:p>
            <w:pPr>
              <w:pStyle w:val="TableContents"/>
              <w:widowControl w:val="false"/>
              <w:rPr/>
            </w:pPr>
            <w:r>
              <w:rPr/>
              <w:t>Scenario C (no change) low-income out movers</w:t>
            </w:r>
          </w:p>
        </w:tc>
        <w:tc>
          <w:tcPr>
            <w:tcW w:w="1349" w:type="dxa"/>
            <w:tcBorders/>
            <w:vAlign w:val="bottom"/>
          </w:tcPr>
          <w:p>
            <w:pPr>
              <w:pStyle w:val="TableContents"/>
              <w:widowControl w:val="false"/>
              <w:rPr/>
            </w:pPr>
            <w:r>
              <w:rPr/>
              <w:t>1670</w:t>
            </w:r>
          </w:p>
        </w:tc>
        <w:tc>
          <w:tcPr>
            <w:tcW w:w="1258" w:type="dxa"/>
            <w:tcBorders/>
            <w:vAlign w:val="bottom"/>
          </w:tcPr>
          <w:p>
            <w:pPr>
              <w:pStyle w:val="TableContents"/>
              <w:widowControl w:val="false"/>
              <w:rPr/>
            </w:pPr>
            <w:r>
              <w:rPr/>
              <w:t>66.4%</w:t>
            </w:r>
          </w:p>
        </w:tc>
      </w:tr>
    </w:tbl>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TradeGothic LT Bold" w:hAnsi="TradeGothic LT Bold"/>
          <w:sz w:val="32"/>
          <w:szCs w:val="32"/>
        </w:rPr>
      </w:pPr>
      <w:r>
        <w:rPr>
          <w:rFonts w:ascii="TradeGothic LT Bold" w:hAnsi="TradeGothic LT Bold"/>
          <w:sz w:val="32"/>
          <w:szCs w:val="32"/>
        </w:rPr>
        <w:t>5.2. Panama, Brossard</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tbl>
      <w:tblPr>
        <w:tblW w:w="6565" w:type="dxa"/>
        <w:jc w:val="left"/>
        <w:tblInd w:w="28" w:type="dxa"/>
        <w:tblLayout w:type="fixed"/>
        <w:tblCellMar>
          <w:top w:w="28" w:type="dxa"/>
          <w:left w:w="28" w:type="dxa"/>
          <w:bottom w:w="28" w:type="dxa"/>
          <w:right w:w="28" w:type="dxa"/>
        </w:tblCellMar>
        <w:tblLook w:val="04a0" w:noHBand="0" w:noVBand="1" w:firstColumn="1" w:lastRow="0" w:lastColumn="0" w:firstRow="1"/>
      </w:tblPr>
      <w:tblGrid>
        <w:gridCol w:w="3958"/>
        <w:gridCol w:w="1349"/>
        <w:gridCol w:w="1258"/>
      </w:tblGrid>
      <w:tr>
        <w:trPr>
          <w:trHeight w:val="311" w:hRule="atLeast"/>
        </w:trPr>
        <w:tc>
          <w:tcPr>
            <w:tcW w:w="3958" w:type="dxa"/>
            <w:tcBorders/>
            <w:vAlign w:val="bottom"/>
          </w:tcPr>
          <w:p>
            <w:pPr>
              <w:pStyle w:val="TableContents"/>
              <w:widowControl w:val="false"/>
              <w:rPr/>
            </w:pPr>
            <w:r>
              <w:rPr/>
              <w:t>2024 population</w:t>
            </w:r>
          </w:p>
        </w:tc>
        <w:tc>
          <w:tcPr>
            <w:tcW w:w="1349" w:type="dxa"/>
            <w:tcBorders/>
            <w:vAlign w:val="bottom"/>
          </w:tcPr>
          <w:p>
            <w:pPr>
              <w:pStyle w:val="TableContents"/>
              <w:widowControl w:val="false"/>
              <w:rPr/>
            </w:pPr>
            <w:r>
              <w:rPr/>
              <w:t>5280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2024 low-income population</w:t>
            </w:r>
          </w:p>
        </w:tc>
        <w:tc>
          <w:tcPr>
            <w:tcW w:w="1349" w:type="dxa"/>
            <w:tcBorders/>
            <w:vAlign w:val="bottom"/>
          </w:tcPr>
          <w:p>
            <w:pPr>
              <w:pStyle w:val="TableContents"/>
              <w:widowControl w:val="false"/>
              <w:rPr/>
            </w:pPr>
            <w:r>
              <w:rPr/>
              <w:t>750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Scenario A low-income out movers</w:t>
            </w:r>
          </w:p>
        </w:tc>
        <w:tc>
          <w:tcPr>
            <w:tcW w:w="1349" w:type="dxa"/>
            <w:tcBorders/>
            <w:vAlign w:val="bottom"/>
          </w:tcPr>
          <w:p>
            <w:pPr>
              <w:pStyle w:val="TableContents"/>
              <w:widowControl w:val="false"/>
              <w:rPr/>
            </w:pPr>
            <w:r>
              <w:rPr/>
              <w:t>540</w:t>
            </w:r>
          </w:p>
        </w:tc>
        <w:tc>
          <w:tcPr>
            <w:tcW w:w="1258" w:type="dxa"/>
            <w:tcBorders/>
            <w:vAlign w:val="bottom"/>
          </w:tcPr>
          <w:p>
            <w:pPr>
              <w:pStyle w:val="TableContents"/>
              <w:widowControl w:val="false"/>
              <w:rPr/>
            </w:pPr>
            <w:r>
              <w:rPr/>
              <w:t>72.0%</w:t>
            </w:r>
          </w:p>
        </w:tc>
      </w:tr>
      <w:tr>
        <w:trPr>
          <w:trHeight w:val="311" w:hRule="atLeast"/>
        </w:trPr>
        <w:tc>
          <w:tcPr>
            <w:tcW w:w="3958" w:type="dxa"/>
            <w:tcBorders/>
            <w:vAlign w:val="bottom"/>
          </w:tcPr>
          <w:p>
            <w:pPr>
              <w:pStyle w:val="TableContents"/>
              <w:widowControl w:val="false"/>
              <w:rPr/>
            </w:pPr>
            <w:r>
              <w:rPr/>
              <w:t>Scenario B low-Income out movers</w:t>
            </w:r>
          </w:p>
        </w:tc>
        <w:tc>
          <w:tcPr>
            <w:tcW w:w="1349" w:type="dxa"/>
            <w:tcBorders/>
            <w:vAlign w:val="bottom"/>
          </w:tcPr>
          <w:p>
            <w:pPr>
              <w:pStyle w:val="TableContents"/>
              <w:widowControl w:val="false"/>
              <w:rPr/>
            </w:pPr>
            <w:r>
              <w:rPr/>
              <w:t>520</w:t>
            </w:r>
          </w:p>
        </w:tc>
        <w:tc>
          <w:tcPr>
            <w:tcW w:w="1258" w:type="dxa"/>
            <w:tcBorders/>
            <w:vAlign w:val="bottom"/>
          </w:tcPr>
          <w:p>
            <w:pPr>
              <w:pStyle w:val="TableContents"/>
              <w:widowControl w:val="false"/>
              <w:rPr/>
            </w:pPr>
            <w:r>
              <w:rPr/>
              <w:t>69.3%</w:t>
            </w:r>
          </w:p>
        </w:tc>
      </w:tr>
      <w:tr>
        <w:trPr>
          <w:trHeight w:val="311" w:hRule="atLeast"/>
        </w:trPr>
        <w:tc>
          <w:tcPr>
            <w:tcW w:w="3958" w:type="dxa"/>
            <w:tcBorders/>
            <w:vAlign w:val="bottom"/>
          </w:tcPr>
          <w:p>
            <w:pPr>
              <w:pStyle w:val="TableContents"/>
              <w:widowControl w:val="false"/>
              <w:rPr/>
            </w:pPr>
            <w:r>
              <w:rPr/>
              <w:t>Scenario C (no change) low-income out movers</w:t>
            </w:r>
          </w:p>
        </w:tc>
        <w:tc>
          <w:tcPr>
            <w:tcW w:w="1349" w:type="dxa"/>
            <w:tcBorders/>
            <w:vAlign w:val="bottom"/>
          </w:tcPr>
          <w:p>
            <w:pPr>
              <w:pStyle w:val="TableContents"/>
              <w:widowControl w:val="false"/>
              <w:rPr/>
            </w:pPr>
            <w:r>
              <w:rPr/>
              <w:t>490</w:t>
            </w:r>
          </w:p>
        </w:tc>
        <w:tc>
          <w:tcPr>
            <w:tcW w:w="1258" w:type="dxa"/>
            <w:tcBorders/>
            <w:vAlign w:val="bottom"/>
          </w:tcPr>
          <w:p>
            <w:pPr>
              <w:pStyle w:val="TableContents"/>
              <w:widowControl w:val="false"/>
              <w:rPr/>
            </w:pPr>
            <w:r>
              <w:rPr/>
              <w:t>65.3%</w:t>
            </w:r>
          </w:p>
        </w:tc>
      </w:tr>
    </w:tbl>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TradeGothic LT Bold" w:hAnsi="TradeGothic LT Bold"/>
          <w:sz w:val="32"/>
          <w:szCs w:val="32"/>
        </w:rPr>
      </w:pPr>
      <w:r>
        <w:rPr>
          <w:rFonts w:ascii="TradeGothic LT Bold" w:hAnsi="TradeGothic LT Bold"/>
          <w:sz w:val="32"/>
          <w:szCs w:val="32"/>
        </w:rPr>
        <w:t>5.3. McKernan-Belgravia, Edmonton</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tbl>
      <w:tblPr>
        <w:tblW w:w="6565" w:type="dxa"/>
        <w:jc w:val="left"/>
        <w:tblInd w:w="28" w:type="dxa"/>
        <w:tblLayout w:type="fixed"/>
        <w:tblCellMar>
          <w:top w:w="28" w:type="dxa"/>
          <w:left w:w="28" w:type="dxa"/>
          <w:bottom w:w="28" w:type="dxa"/>
          <w:right w:w="28" w:type="dxa"/>
        </w:tblCellMar>
        <w:tblLook w:val="04a0" w:noHBand="0" w:noVBand="1" w:firstColumn="1" w:lastRow="0" w:lastColumn="0" w:firstRow="1"/>
      </w:tblPr>
      <w:tblGrid>
        <w:gridCol w:w="3958"/>
        <w:gridCol w:w="1349"/>
        <w:gridCol w:w="1258"/>
      </w:tblGrid>
      <w:tr>
        <w:trPr>
          <w:trHeight w:val="311" w:hRule="atLeast"/>
        </w:trPr>
        <w:tc>
          <w:tcPr>
            <w:tcW w:w="3958" w:type="dxa"/>
            <w:tcBorders/>
            <w:vAlign w:val="bottom"/>
          </w:tcPr>
          <w:p>
            <w:pPr>
              <w:pStyle w:val="TableContents"/>
              <w:widowControl w:val="false"/>
              <w:rPr/>
            </w:pPr>
            <w:r>
              <w:rPr/>
              <w:t>2024 population</w:t>
            </w:r>
          </w:p>
        </w:tc>
        <w:tc>
          <w:tcPr>
            <w:tcW w:w="1349" w:type="dxa"/>
            <w:tcBorders/>
            <w:vAlign w:val="bottom"/>
          </w:tcPr>
          <w:p>
            <w:pPr>
              <w:pStyle w:val="TableContents"/>
              <w:widowControl w:val="false"/>
              <w:rPr/>
            </w:pPr>
            <w:r>
              <w:rPr/>
              <w:t>5710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2024 low-income population</w:t>
            </w:r>
          </w:p>
        </w:tc>
        <w:tc>
          <w:tcPr>
            <w:tcW w:w="1349" w:type="dxa"/>
            <w:tcBorders/>
            <w:vAlign w:val="bottom"/>
          </w:tcPr>
          <w:p>
            <w:pPr>
              <w:pStyle w:val="TableContents"/>
              <w:widowControl w:val="false"/>
              <w:rPr/>
            </w:pPr>
            <w:r>
              <w:rPr/>
              <w:t>660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Scenario A low-income out movers</w:t>
            </w:r>
          </w:p>
        </w:tc>
        <w:tc>
          <w:tcPr>
            <w:tcW w:w="1349" w:type="dxa"/>
            <w:tcBorders/>
            <w:vAlign w:val="bottom"/>
          </w:tcPr>
          <w:p>
            <w:pPr>
              <w:pStyle w:val="TableContents"/>
              <w:widowControl w:val="false"/>
              <w:rPr/>
            </w:pPr>
            <w:r>
              <w:rPr/>
              <w:t>450</w:t>
            </w:r>
          </w:p>
        </w:tc>
        <w:tc>
          <w:tcPr>
            <w:tcW w:w="1258" w:type="dxa"/>
            <w:tcBorders/>
            <w:vAlign w:val="bottom"/>
          </w:tcPr>
          <w:p>
            <w:pPr>
              <w:pStyle w:val="TableContents"/>
              <w:widowControl w:val="false"/>
              <w:rPr/>
            </w:pPr>
            <w:r>
              <w:rPr/>
              <w:t>68.2%</w:t>
            </w:r>
          </w:p>
        </w:tc>
      </w:tr>
      <w:tr>
        <w:trPr>
          <w:trHeight w:val="311" w:hRule="atLeast"/>
        </w:trPr>
        <w:tc>
          <w:tcPr>
            <w:tcW w:w="3958" w:type="dxa"/>
            <w:tcBorders/>
            <w:vAlign w:val="bottom"/>
          </w:tcPr>
          <w:p>
            <w:pPr>
              <w:pStyle w:val="TableContents"/>
              <w:widowControl w:val="false"/>
              <w:rPr/>
            </w:pPr>
            <w:r>
              <w:rPr/>
              <w:t>Scenario B low-Income out movers</w:t>
            </w:r>
          </w:p>
        </w:tc>
        <w:tc>
          <w:tcPr>
            <w:tcW w:w="1349" w:type="dxa"/>
            <w:tcBorders/>
            <w:vAlign w:val="bottom"/>
          </w:tcPr>
          <w:p>
            <w:pPr>
              <w:pStyle w:val="TableContents"/>
              <w:widowControl w:val="false"/>
              <w:rPr/>
            </w:pPr>
            <w:r>
              <w:rPr/>
              <w:t>450</w:t>
            </w:r>
          </w:p>
        </w:tc>
        <w:tc>
          <w:tcPr>
            <w:tcW w:w="1258" w:type="dxa"/>
            <w:tcBorders/>
            <w:vAlign w:val="bottom"/>
          </w:tcPr>
          <w:p>
            <w:pPr>
              <w:pStyle w:val="TableContents"/>
              <w:widowControl w:val="false"/>
              <w:rPr/>
            </w:pPr>
            <w:r>
              <w:rPr/>
              <w:t>68.2%</w:t>
            </w:r>
          </w:p>
        </w:tc>
      </w:tr>
      <w:tr>
        <w:trPr>
          <w:trHeight w:val="311" w:hRule="atLeast"/>
        </w:trPr>
        <w:tc>
          <w:tcPr>
            <w:tcW w:w="3958" w:type="dxa"/>
            <w:tcBorders/>
            <w:vAlign w:val="bottom"/>
          </w:tcPr>
          <w:p>
            <w:pPr>
              <w:pStyle w:val="TableContents"/>
              <w:widowControl w:val="false"/>
              <w:rPr/>
            </w:pPr>
            <w:r>
              <w:rPr/>
              <w:t>Scenario C (no change) low-income out movers</w:t>
            </w:r>
          </w:p>
        </w:tc>
        <w:tc>
          <w:tcPr>
            <w:tcW w:w="1349" w:type="dxa"/>
            <w:tcBorders/>
            <w:vAlign w:val="bottom"/>
          </w:tcPr>
          <w:p>
            <w:pPr>
              <w:pStyle w:val="TableContents"/>
              <w:widowControl w:val="false"/>
              <w:rPr/>
            </w:pPr>
            <w:r>
              <w:rPr/>
              <w:t>460</w:t>
            </w:r>
          </w:p>
        </w:tc>
        <w:tc>
          <w:tcPr>
            <w:tcW w:w="1258" w:type="dxa"/>
            <w:tcBorders/>
            <w:vAlign w:val="bottom"/>
          </w:tcPr>
          <w:p>
            <w:pPr>
              <w:pStyle w:val="TableContents"/>
              <w:widowControl w:val="false"/>
              <w:rPr/>
            </w:pPr>
            <w:r>
              <w:rPr/>
              <w:t>69.7%</w:t>
            </w:r>
          </w:p>
        </w:tc>
      </w:tr>
    </w:tbl>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TradeGothic LT Bold" w:hAnsi="TradeGothic LT Bold"/>
          <w:sz w:val="32"/>
          <w:szCs w:val="32"/>
        </w:rPr>
      </w:pPr>
      <w:r>
        <w:rPr>
          <w:rFonts w:ascii="TradeGothic LT Bold" w:hAnsi="TradeGothic LT Bold"/>
          <w:sz w:val="32"/>
          <w:szCs w:val="32"/>
        </w:rPr>
        <w:t>5.4. Arbutus, Vancouver</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tbl>
      <w:tblPr>
        <w:tblW w:w="6565" w:type="dxa"/>
        <w:jc w:val="left"/>
        <w:tblInd w:w="28" w:type="dxa"/>
        <w:tblLayout w:type="fixed"/>
        <w:tblCellMar>
          <w:top w:w="28" w:type="dxa"/>
          <w:left w:w="28" w:type="dxa"/>
          <w:bottom w:w="28" w:type="dxa"/>
          <w:right w:w="28" w:type="dxa"/>
        </w:tblCellMar>
        <w:tblLook w:val="04a0" w:noHBand="0" w:noVBand="1" w:firstColumn="1" w:lastRow="0" w:lastColumn="0" w:firstRow="1"/>
      </w:tblPr>
      <w:tblGrid>
        <w:gridCol w:w="3958"/>
        <w:gridCol w:w="1349"/>
        <w:gridCol w:w="1258"/>
      </w:tblGrid>
      <w:tr>
        <w:trPr>
          <w:trHeight w:val="311" w:hRule="atLeast"/>
        </w:trPr>
        <w:tc>
          <w:tcPr>
            <w:tcW w:w="3958" w:type="dxa"/>
            <w:tcBorders/>
            <w:vAlign w:val="bottom"/>
          </w:tcPr>
          <w:p>
            <w:pPr>
              <w:pStyle w:val="TableContents"/>
              <w:widowControl w:val="false"/>
              <w:rPr/>
            </w:pPr>
            <w:r>
              <w:rPr/>
              <w:t>2024 population</w:t>
            </w:r>
          </w:p>
        </w:tc>
        <w:tc>
          <w:tcPr>
            <w:tcW w:w="1349" w:type="dxa"/>
            <w:tcBorders/>
            <w:vAlign w:val="bottom"/>
          </w:tcPr>
          <w:p>
            <w:pPr>
              <w:pStyle w:val="TableContents"/>
              <w:widowControl w:val="false"/>
              <w:rPr/>
            </w:pPr>
            <w:r>
              <w:rPr/>
              <w:t>25250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2024 low-income population</w:t>
            </w:r>
          </w:p>
        </w:tc>
        <w:tc>
          <w:tcPr>
            <w:tcW w:w="1349" w:type="dxa"/>
            <w:tcBorders/>
            <w:vAlign w:val="bottom"/>
          </w:tcPr>
          <w:p>
            <w:pPr>
              <w:pStyle w:val="TableContents"/>
              <w:widowControl w:val="false"/>
              <w:rPr/>
            </w:pPr>
            <w:r>
              <w:rPr/>
              <w:t>3140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Scenario A low-income out movers</w:t>
            </w:r>
          </w:p>
        </w:tc>
        <w:tc>
          <w:tcPr>
            <w:tcW w:w="1349" w:type="dxa"/>
            <w:tcBorders/>
            <w:vAlign w:val="bottom"/>
          </w:tcPr>
          <w:p>
            <w:pPr>
              <w:pStyle w:val="TableContents"/>
              <w:widowControl w:val="false"/>
              <w:rPr/>
            </w:pPr>
            <w:r>
              <w:rPr/>
              <w:t>2600</w:t>
            </w:r>
          </w:p>
        </w:tc>
        <w:tc>
          <w:tcPr>
            <w:tcW w:w="1258" w:type="dxa"/>
            <w:tcBorders/>
            <w:vAlign w:val="bottom"/>
          </w:tcPr>
          <w:p>
            <w:pPr>
              <w:pStyle w:val="TableContents"/>
              <w:widowControl w:val="false"/>
              <w:rPr/>
            </w:pPr>
            <w:r>
              <w:rPr/>
              <w:t>82.8%</w:t>
            </w:r>
          </w:p>
        </w:tc>
      </w:tr>
      <w:tr>
        <w:trPr>
          <w:trHeight w:val="311" w:hRule="atLeast"/>
        </w:trPr>
        <w:tc>
          <w:tcPr>
            <w:tcW w:w="3958" w:type="dxa"/>
            <w:tcBorders/>
            <w:vAlign w:val="bottom"/>
          </w:tcPr>
          <w:p>
            <w:pPr>
              <w:pStyle w:val="TableContents"/>
              <w:widowControl w:val="false"/>
              <w:rPr/>
            </w:pPr>
            <w:r>
              <w:rPr/>
              <w:t>Scenario B low-Income out movers</w:t>
            </w:r>
          </w:p>
        </w:tc>
        <w:tc>
          <w:tcPr>
            <w:tcW w:w="1349" w:type="dxa"/>
            <w:tcBorders/>
            <w:vAlign w:val="bottom"/>
          </w:tcPr>
          <w:p>
            <w:pPr>
              <w:pStyle w:val="TableContents"/>
              <w:widowControl w:val="false"/>
              <w:rPr/>
            </w:pPr>
            <w:r>
              <w:rPr/>
              <w:t>2520</w:t>
            </w:r>
          </w:p>
        </w:tc>
        <w:tc>
          <w:tcPr>
            <w:tcW w:w="1258" w:type="dxa"/>
            <w:tcBorders/>
            <w:vAlign w:val="bottom"/>
          </w:tcPr>
          <w:p>
            <w:pPr>
              <w:pStyle w:val="TableContents"/>
              <w:widowControl w:val="false"/>
              <w:rPr/>
            </w:pPr>
            <w:r>
              <w:rPr/>
              <w:t>80.2%</w:t>
            </w:r>
          </w:p>
        </w:tc>
      </w:tr>
      <w:tr>
        <w:trPr>
          <w:trHeight w:val="311" w:hRule="atLeast"/>
        </w:trPr>
        <w:tc>
          <w:tcPr>
            <w:tcW w:w="3958" w:type="dxa"/>
            <w:tcBorders/>
            <w:vAlign w:val="bottom"/>
          </w:tcPr>
          <w:p>
            <w:pPr>
              <w:pStyle w:val="TableContents"/>
              <w:widowControl w:val="false"/>
              <w:rPr/>
            </w:pPr>
            <w:r>
              <w:rPr/>
              <w:t>Scenario C (no change) low-income out movers</w:t>
            </w:r>
          </w:p>
        </w:tc>
        <w:tc>
          <w:tcPr>
            <w:tcW w:w="1349" w:type="dxa"/>
            <w:tcBorders/>
            <w:vAlign w:val="bottom"/>
          </w:tcPr>
          <w:p>
            <w:pPr>
              <w:pStyle w:val="TableContents"/>
              <w:widowControl w:val="false"/>
              <w:rPr/>
            </w:pPr>
            <w:r>
              <w:rPr/>
              <w:t>2560</w:t>
            </w:r>
          </w:p>
        </w:tc>
        <w:tc>
          <w:tcPr>
            <w:tcW w:w="1258" w:type="dxa"/>
            <w:tcBorders/>
            <w:vAlign w:val="bottom"/>
          </w:tcPr>
          <w:p>
            <w:pPr>
              <w:pStyle w:val="TableContents"/>
              <w:widowControl w:val="false"/>
              <w:rPr/>
            </w:pPr>
            <w:r>
              <w:rPr/>
              <w:t>81.5%</w:t>
            </w:r>
          </w:p>
        </w:tc>
      </w:tr>
    </w:tbl>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TradeGothic LT Bold" w:hAnsi="TradeGothic LT Bold"/>
          <w:sz w:val="32"/>
          <w:szCs w:val="32"/>
        </w:rPr>
      </w:pPr>
      <w:r>
        <w:rPr>
          <w:rFonts w:ascii="TradeGothic LT Bold" w:hAnsi="TradeGothic LT Bold"/>
          <w:sz w:val="32"/>
          <w:szCs w:val="32"/>
        </w:rPr>
        <w:t>5.5. Northfield, Waterloo</w:t>
      </w:r>
    </w:p>
    <w:p>
      <w:pPr>
        <w:pStyle w:val="Normal"/>
        <w:rPr>
          <w:rFonts w:ascii="TradeGothic LT Bold" w:hAnsi="TradeGothic LT Bold"/>
          <w:sz w:val="32"/>
          <w:szCs w:val="32"/>
        </w:rPr>
      </w:pPr>
      <w:r>
        <w:rPr>
          <w:rFonts w:ascii="TradeGothic LT Bold" w:hAnsi="TradeGothic LT Bold"/>
          <w:sz w:val="32"/>
          <w:szCs w:val="32"/>
        </w:rPr>
      </w:r>
    </w:p>
    <w:p>
      <w:pPr>
        <w:pStyle w:val="Normal"/>
        <w:rPr>
          <w:rFonts w:ascii="Source Serif Pro" w:hAnsi="Source Serif Pro"/>
        </w:rPr>
      </w:pPr>
      <w:r>
        <w:rPr>
          <w:rFonts w:ascii="Source Serif Pro" w:hAnsi="Source Serif Pro"/>
        </w:rPr>
      </w:r>
    </w:p>
    <w:tbl>
      <w:tblPr>
        <w:tblW w:w="6565" w:type="dxa"/>
        <w:jc w:val="left"/>
        <w:tblInd w:w="28" w:type="dxa"/>
        <w:tblLayout w:type="fixed"/>
        <w:tblCellMar>
          <w:top w:w="28" w:type="dxa"/>
          <w:left w:w="28" w:type="dxa"/>
          <w:bottom w:w="28" w:type="dxa"/>
          <w:right w:w="28" w:type="dxa"/>
        </w:tblCellMar>
        <w:tblLook w:val="04a0" w:noHBand="0" w:noVBand="1" w:firstColumn="1" w:lastRow="0" w:lastColumn="0" w:firstRow="1"/>
      </w:tblPr>
      <w:tblGrid>
        <w:gridCol w:w="3958"/>
        <w:gridCol w:w="1349"/>
        <w:gridCol w:w="1258"/>
      </w:tblGrid>
      <w:tr>
        <w:trPr>
          <w:trHeight w:val="311" w:hRule="atLeast"/>
        </w:trPr>
        <w:tc>
          <w:tcPr>
            <w:tcW w:w="3958" w:type="dxa"/>
            <w:tcBorders/>
            <w:vAlign w:val="bottom"/>
          </w:tcPr>
          <w:p>
            <w:pPr>
              <w:pStyle w:val="TableContents"/>
              <w:widowControl w:val="false"/>
              <w:rPr/>
            </w:pPr>
            <w:r>
              <w:rPr/>
              <w:t>2024 population</w:t>
            </w:r>
          </w:p>
        </w:tc>
        <w:tc>
          <w:tcPr>
            <w:tcW w:w="1349" w:type="dxa"/>
            <w:tcBorders/>
            <w:vAlign w:val="bottom"/>
          </w:tcPr>
          <w:p>
            <w:pPr>
              <w:pStyle w:val="TableContents"/>
              <w:widowControl w:val="false"/>
              <w:rPr/>
            </w:pPr>
            <w:r>
              <w:rPr/>
              <w:t>2720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2024 low-income population</w:t>
            </w:r>
          </w:p>
        </w:tc>
        <w:tc>
          <w:tcPr>
            <w:tcW w:w="1349" w:type="dxa"/>
            <w:tcBorders/>
            <w:vAlign w:val="bottom"/>
          </w:tcPr>
          <w:p>
            <w:pPr>
              <w:pStyle w:val="TableContents"/>
              <w:widowControl w:val="false"/>
              <w:rPr/>
            </w:pPr>
            <w:r>
              <w:rPr/>
              <w:t>420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Scenario A low-income out movers</w:t>
            </w:r>
          </w:p>
        </w:tc>
        <w:tc>
          <w:tcPr>
            <w:tcW w:w="1349" w:type="dxa"/>
            <w:tcBorders/>
            <w:vAlign w:val="bottom"/>
          </w:tcPr>
          <w:p>
            <w:pPr>
              <w:pStyle w:val="TableContents"/>
              <w:widowControl w:val="false"/>
              <w:rPr/>
            </w:pPr>
            <w:r>
              <w:rPr/>
              <w:t>380</w:t>
            </w:r>
          </w:p>
        </w:tc>
        <w:tc>
          <w:tcPr>
            <w:tcW w:w="1258" w:type="dxa"/>
            <w:tcBorders/>
            <w:vAlign w:val="bottom"/>
          </w:tcPr>
          <w:p>
            <w:pPr>
              <w:pStyle w:val="TableContents"/>
              <w:widowControl w:val="false"/>
              <w:rPr/>
            </w:pPr>
            <w:r>
              <w:rPr/>
              <w:t>90.5%</w:t>
            </w:r>
          </w:p>
        </w:tc>
      </w:tr>
      <w:tr>
        <w:trPr>
          <w:trHeight w:val="311" w:hRule="atLeast"/>
        </w:trPr>
        <w:tc>
          <w:tcPr>
            <w:tcW w:w="3958" w:type="dxa"/>
            <w:tcBorders/>
            <w:vAlign w:val="bottom"/>
          </w:tcPr>
          <w:p>
            <w:pPr>
              <w:pStyle w:val="TableContents"/>
              <w:widowControl w:val="false"/>
              <w:rPr/>
            </w:pPr>
            <w:r>
              <w:rPr/>
              <w:t>Scenario B low-Income out movers</w:t>
            </w:r>
          </w:p>
        </w:tc>
        <w:tc>
          <w:tcPr>
            <w:tcW w:w="1349" w:type="dxa"/>
            <w:tcBorders/>
            <w:vAlign w:val="bottom"/>
          </w:tcPr>
          <w:p>
            <w:pPr>
              <w:pStyle w:val="TableContents"/>
              <w:widowControl w:val="false"/>
              <w:rPr/>
            </w:pPr>
            <w:r>
              <w:rPr/>
              <w:t>350</w:t>
            </w:r>
          </w:p>
        </w:tc>
        <w:tc>
          <w:tcPr>
            <w:tcW w:w="1258" w:type="dxa"/>
            <w:tcBorders/>
            <w:vAlign w:val="bottom"/>
          </w:tcPr>
          <w:p>
            <w:pPr>
              <w:pStyle w:val="TableContents"/>
              <w:widowControl w:val="false"/>
              <w:rPr/>
            </w:pPr>
            <w:r>
              <w:rPr/>
              <w:t>83.3%</w:t>
            </w:r>
          </w:p>
        </w:tc>
      </w:tr>
      <w:tr>
        <w:trPr>
          <w:trHeight w:val="311" w:hRule="atLeast"/>
        </w:trPr>
        <w:tc>
          <w:tcPr>
            <w:tcW w:w="3958" w:type="dxa"/>
            <w:tcBorders/>
            <w:vAlign w:val="bottom"/>
          </w:tcPr>
          <w:p>
            <w:pPr>
              <w:pStyle w:val="TableContents"/>
              <w:widowControl w:val="false"/>
              <w:rPr/>
            </w:pPr>
            <w:r>
              <w:rPr/>
              <w:t>Scenario C (no change) low-income out movers</w:t>
            </w:r>
          </w:p>
        </w:tc>
        <w:tc>
          <w:tcPr>
            <w:tcW w:w="1349" w:type="dxa"/>
            <w:tcBorders/>
            <w:vAlign w:val="bottom"/>
          </w:tcPr>
          <w:p>
            <w:pPr>
              <w:pStyle w:val="TableContents"/>
              <w:widowControl w:val="false"/>
              <w:rPr/>
            </w:pPr>
            <w:r>
              <w:rPr/>
              <w:t>260</w:t>
            </w:r>
          </w:p>
        </w:tc>
        <w:tc>
          <w:tcPr>
            <w:tcW w:w="1258" w:type="dxa"/>
            <w:tcBorders/>
            <w:vAlign w:val="bottom"/>
          </w:tcPr>
          <w:p>
            <w:pPr>
              <w:pStyle w:val="TableContents"/>
              <w:widowControl w:val="false"/>
              <w:rPr/>
            </w:pPr>
            <w:r>
              <w:rPr/>
              <w:t>61.9%</w:t>
            </w:r>
          </w:p>
        </w:tc>
      </w:tr>
    </w:tbl>
    <w:p>
      <w:pPr>
        <w:pStyle w:val="Normal"/>
        <w:rPr>
          <w:rFonts w:ascii="Source Serif Pro" w:hAnsi="Source Serif Pro"/>
        </w:rPr>
      </w:pPr>
      <w:r>
        <w:rPr>
          <w:rFonts w:ascii="Source Serif Pro" w:hAnsi="Source Serif Pro"/>
        </w:rPr>
      </w:r>
    </w:p>
    <w:p>
      <w:pPr>
        <w:pStyle w:val="Normal"/>
        <w:rPr>
          <w:rFonts w:ascii="TradeGothic LT Bold" w:hAnsi="TradeGothic LT Bold"/>
          <w:sz w:val="32"/>
          <w:szCs w:val="32"/>
        </w:rPr>
      </w:pPr>
      <w:r>
        <w:rPr/>
      </w:r>
    </w:p>
    <w:p>
      <w:pPr>
        <w:pStyle w:val="Normal"/>
        <w:rPr>
          <w:rFonts w:ascii="TradeGothic LT Bold" w:hAnsi="TradeGothic LT Bold"/>
          <w:sz w:val="32"/>
          <w:szCs w:val="32"/>
        </w:rPr>
      </w:pPr>
      <w:r>
        <w:rPr/>
      </w:r>
    </w:p>
    <w:p>
      <w:pPr>
        <w:pStyle w:val="Normal"/>
        <w:rPr>
          <w:rFonts w:ascii="TradeGothic LT Bold" w:hAnsi="TradeGothic LT Bold"/>
          <w:sz w:val="32"/>
          <w:szCs w:val="32"/>
        </w:rPr>
      </w:pPr>
      <w:r>
        <w:rPr/>
      </w:r>
    </w:p>
    <w:p>
      <w:pPr>
        <w:pStyle w:val="Normal"/>
        <w:rPr>
          <w:rFonts w:ascii="TradeGothic LT Bold" w:hAnsi="TradeGothic LT Bold"/>
          <w:sz w:val="32"/>
          <w:szCs w:val="32"/>
        </w:rPr>
      </w:pPr>
      <w:r>
        <w:rPr/>
      </w:r>
    </w:p>
    <w:p>
      <w:pPr>
        <w:pStyle w:val="Normal"/>
        <w:rPr>
          <w:rFonts w:ascii="TradeGothic LT Bold" w:hAnsi="TradeGothic LT Bold"/>
          <w:sz w:val="40"/>
          <w:szCs w:val="40"/>
        </w:rPr>
      </w:pPr>
      <w:r>
        <w:rPr>
          <w:rFonts w:ascii="TradeGothic LT Bold" w:hAnsi="TradeGothic LT Bold"/>
          <w:sz w:val="40"/>
          <w:szCs w:val="40"/>
        </w:rPr>
        <w:t>Conclusions</w:t>
      </w:r>
    </w:p>
    <w:p>
      <w:pPr>
        <w:pStyle w:val="Normal"/>
        <w:rPr>
          <w:rFonts w:ascii="TradeGothic LT Bold" w:hAnsi="TradeGothic LT Bold"/>
          <w:sz w:val="32"/>
          <w:szCs w:val="32"/>
        </w:rPr>
      </w:pPr>
      <w:r>
        <w:rPr/>
      </w:r>
    </w:p>
    <w:p>
      <w:pPr>
        <w:pStyle w:val="Normal"/>
        <w:rPr>
          <w:rFonts w:ascii="TradeGothic LT Bold" w:hAnsi="TradeGothic LT Bold"/>
          <w:sz w:val="32"/>
          <w:szCs w:val="32"/>
        </w:rPr>
      </w:pPr>
      <w:r>
        <w:rPr/>
      </w:r>
    </w:p>
    <w:p>
      <w:pPr>
        <w:pStyle w:val="Normal"/>
        <w:rPr>
          <w:rFonts w:ascii="TradeGothic LT Bold" w:hAnsi="TradeGothic LT Bold"/>
          <w:sz w:val="32"/>
          <w:szCs w:val="32"/>
        </w:rPr>
      </w:pPr>
      <w:r>
        <w:rPr/>
        <w:t>Future work</w:t>
      </w:r>
    </w:p>
    <w:p>
      <w:pPr>
        <w:pStyle w:val="Normal"/>
        <w:rPr>
          <w:rFonts w:ascii="TradeGothic LT Bold" w:hAnsi="TradeGothic LT Bold"/>
          <w:sz w:val="32"/>
          <w:szCs w:val="32"/>
        </w:rPr>
      </w:pPr>
      <w:r>
        <w:rPr/>
        <w:t>- Look at the in- out- movers in more detail by where are they moving to/from (e.g. are they moving to/from elsewhere in the CMA, other parts of Canada, or migrating internationally)</w:t>
      </w:r>
    </w:p>
    <w:p>
      <w:pPr>
        <w:pStyle w:val="Normal"/>
        <w:rPr>
          <w:rFonts w:ascii="TradeGothic LT Bold" w:hAnsi="TradeGothic LT Bold"/>
          <w:sz w:val="32"/>
          <w:szCs w:val="32"/>
        </w:rPr>
      </w:pPr>
      <w:r>
        <w:rPr/>
        <w:t>- If moving within the CMA, where are residents moving to/from relative to transit and other neighbourhood amenities</w:t>
      </w:r>
    </w:p>
    <w:p>
      <w:pPr>
        <w:pStyle w:val="Normal"/>
        <w:rPr>
          <w:rFonts w:ascii="TradeGothic LT Bold" w:hAnsi="TradeGothic LT Bold"/>
          <w:sz w:val="32"/>
          <w:szCs w:val="32"/>
        </w:rPr>
      </w:pPr>
      <w:r>
        <w:rPr/>
        <w:t>- Use historical land-use data or satellite imagery to look at effects beyond changes in dwelling type that could be sensed or derived from such as greenery or open space amenity changes, etc.</w:t>
      </w:r>
    </w:p>
    <w:p>
      <w:pPr>
        <w:pStyle w:val="Normal"/>
        <w:rPr>
          <w:rFonts w:ascii="TradeGothic LT Bold" w:hAnsi="TradeGothic LT Bold"/>
          <w:sz w:val="32"/>
          <w:szCs w:val="32"/>
        </w:rPr>
      </w:pPr>
      <w:r>
        <w:rPr/>
      </w:r>
    </w:p>
    <w:p>
      <w:pPr>
        <w:pStyle w:val="Normal"/>
        <w:rPr>
          <w:rFonts w:ascii="TradeGothic LT Bold" w:hAnsi="TradeGothic LT Bold"/>
          <w:sz w:val="32"/>
          <w:szCs w:val="32"/>
        </w:rPr>
      </w:pPr>
      <w:r>
        <w:rPr/>
      </w:r>
    </w:p>
    <w:p>
      <w:pPr>
        <w:pStyle w:val="Normal"/>
        <w:rPr>
          <w:rFonts w:ascii="TradeGothic LT Bold" w:hAnsi="TradeGothic LT Bold"/>
          <w:sz w:val="32"/>
          <w:szCs w:val="32"/>
        </w:rPr>
      </w:pPr>
      <w:r>
        <w:rPr/>
      </w:r>
    </w:p>
    <w:p>
      <w:pPr>
        <w:pStyle w:val="Normal"/>
        <w:rPr>
          <w:rFonts w:ascii="TradeGothic LT Bold" w:hAnsi="TradeGothic LT Bold"/>
          <w:sz w:val="40"/>
          <w:szCs w:val="40"/>
        </w:rPr>
      </w:pPr>
      <w:r>
        <w:rPr>
          <w:rFonts w:ascii="TradeGothic LT Bold" w:hAnsi="TradeGothic LT Bold"/>
          <w:sz w:val="40"/>
          <w:szCs w:val="40"/>
        </w:rPr>
        <w:t>Appendix</w:t>
      </w:r>
    </w:p>
    <w:p>
      <w:pPr>
        <w:pStyle w:val="Normal"/>
        <w:rPr>
          <w:rFonts w:ascii="Source Serif Pro" w:hAnsi="Source Serif Pro"/>
        </w:rPr>
      </w:pPr>
      <w:r>
        <w:rPr>
          <w:rFonts w:ascii="Source Serif Pro" w:hAnsi="Source Serif Pro"/>
        </w:rPr>
        <w:t>Table of station-by-station historical results</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Add in the other models?</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sectPr>
      <w:footerReference w:type="even" r:id="rId3"/>
      <w:footerReference w:type="default" r:id="rId4"/>
      <w:footerReference w:type="first" r:id="rId5"/>
      <w:type w:val="nextPage"/>
      <w:pgSz w:w="12240" w:h="15840"/>
      <w:pgMar w:left="1134" w:right="1134" w:gutter="0" w:header="0" w:top="1134" w:footer="0" w:bottom="1134"/>
      <w:pgNumType w:fmt="decimal"/>
      <w:formProt w:val="false"/>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eff Allen" w:date="2026-01-07T10:28:50Z" w:initials="JA">
    <w:p>
      <w:r>
        <w:rPr>
          <w:rFonts w:eastAsia="Noto Serif CJK SC" w:cs="Lohit Devanagari" w:ascii="Liberation Serif" w:hAnsi="Liberation Serif"/>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hi-IN" w:eastAsia="zh-CN" w:val="en-US"/>
        </w:rPr>
        <w:t>trying to think of a better title - this is okay but feels a bit long I dunno</w:t>
      </w:r>
    </w:p>
  </w:comment>
  <w:comment w:id="1" w:author="Jeff Allen" w:date="2026-01-07T10:29:14Z" w:initials="JA">
    <w:p>
      <w:r>
        <w:rPr>
          <w:rFonts w:eastAsia="Noto Serif CJK SC" w:cs="Lohit Devanagari" w:ascii="Liberation Serif" w:hAnsi="Liberation Serif"/>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hi-IN" w:eastAsia="zh-CN" w:val="en-US"/>
        </w:rPr>
        <w:t>key model results</w:t>
      </w:r>
    </w:p>
  </w:comment>
  <w:comment w:id="2" w:author="Jeff Allen" w:date="2026-01-07T10:10:02Z" w:initials="JA">
    <w:p>
      <w:r>
        <w:rPr>
          <w:rFonts w:eastAsia="Noto Serif CJK SC" w:cs="Lohit Devanagari" w:ascii="Liberation Serif" w:hAnsi="Liberation Serif"/>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hi-IN" w:eastAsia="zh-CN" w:val="en-US"/>
        </w:rPr>
        <w:t>need bit more background specifically on TOD-&gt;mobilty/displacement</w:t>
      </w:r>
    </w:p>
  </w:comment>
  <w:comment w:id="3" w:author="Jeff Allen" w:date="2026-01-06T15:52:20Z" w:initials="JA">
    <w:p>
      <w:r>
        <w:rPr>
          <w:rFonts w:eastAsia="Noto Serif CJK SC" w:cs="Lohit Devanagari" w:ascii="Liberation Serif" w:hAnsi="Liberation Serif"/>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hi-IN" w:eastAsia="zh-CN" w:val="en-US"/>
        </w:rPr>
        <w:t>question for Amir, I forget this number</w:t>
      </w:r>
    </w:p>
  </w:comment>
  <w:comment w:id="4" w:author="Jeff Allen" w:date="2026-01-07T10:12:41Z" w:initials="JA">
    <w:p>
      <w:r>
        <w:rPr>
          <w:rFonts w:eastAsia="Noto Serif CJK SC" w:cs="Lohit Devanagari" w:ascii="Liberation Serif" w:hAnsi="Liberation Serif"/>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hi-IN" w:eastAsia="zh-CN" w:val="en-US"/>
        </w:rPr>
        <w:t>I think the variables should be grouped by category</w:t>
      </w:r>
    </w:p>
    <w:p>
      <w:r>
        <w:rPr>
          <w:rFonts w:ascii="Liberation Serif" w:hAnsi="Liberation Serif" w:eastAsia="Noto Serif CJK SC" w:cs="Lohit Devanaga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US" w:eastAsia="zh-CN" w:bidi="hi-IN"/>
        </w:rPr>
        <w:t>1) individual/household characteristics</w:t>
      </w:r>
    </w:p>
    <w:p>
      <w:r>
        <w:rPr>
          <w:rFonts w:eastAsia="Noto Serif CJK SC" w:cs="Lohit Devanagari" w:ascii="Liberation Serif" w:hAnsi="Liberation Serif"/>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hi-IN" w:eastAsia="zh-CN" w:val="en-US"/>
        </w:rPr>
        <w:t>2) pre built env</w:t>
      </w:r>
    </w:p>
    <w:p>
      <w:r>
        <w:rPr>
          <w:rFonts w:ascii="Liberation Serif" w:hAnsi="Liberation Serif" w:eastAsia="Noto Serif CJK SC" w:cs="Lohit Devanaga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US" w:eastAsia="zh-CN" w:bidi="hi-IN"/>
        </w:rPr>
        <w:t>3) change in built env</w:t>
      </w:r>
    </w:p>
    <w:p>
      <w:r>
        <w:rPr>
          <w:rFonts w:eastAsia="Noto Serif CJK SC" w:cs="Lohit Devanagari" w:ascii="Liberation Serif" w:hAnsi="Liberation Serif"/>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hi-IN" w:eastAsia="zh-CN" w:val="en-US"/>
        </w:rPr>
        <w:t>4) year station opened</w:t>
      </w:r>
    </w:p>
  </w:comment>
  <w:comment w:id="5" w:author="Amir Forouhar" w:date="2025-12-02T12:35:00Z" w:initials="AF">
    <w:p>
      <w:r>
        <w:rPr>
          <w:rFonts w:eastAsia="DejaVu Sans" w:cs="Mangal"/>
          <w:kern w:val="0"/>
          <w:sz w:val="20"/>
          <w:szCs w:val="18"/>
          <w:lang w:val="en-US" w:eastAsia="en-US" w:bidi="en-US"/>
        </w:rPr>
        <w:t>Since all dwelling types before has a very slight positive effect, how we should interpret it?</w:t>
      </w:r>
    </w:p>
  </w:comment>
  <w:comment w:id="6" w:author="Amir Forouhar" w:date="2025-12-02T12:40:00Z" w:initials="AF">
    <w:p>
      <w:r>
        <w:rPr>
          <w:rFonts w:eastAsia="DejaVu Sans" w:cs="Mangal"/>
          <w:kern w:val="0"/>
          <w:sz w:val="20"/>
          <w:szCs w:val="18"/>
          <w:lang w:val="en-US" w:eastAsia="en-US" w:bidi="en-US"/>
        </w:rPr>
        <w:t>I think this could be interpreted as increasing the average number of bedrooms on its own without adding more units increases the likelihood of movers out. However, when dwelling growth and the number of bedrooms increase together, their combined effect actually reduces out-migration.</w:t>
      </w:r>
    </w:p>
  </w:comment>
  <w:comment w:id="7" w:author="Jeff Allen" w:date="2026-01-07T10:31:22Z" w:initials="JA">
    <w:p>
      <w:r>
        <w:rPr>
          <w:rFonts w:eastAsia="Noto Serif CJK SC" w:cs="Lohit Devanagari" w:ascii="Liberation Serif" w:hAnsi="Liberation Serif"/>
          <w:b w:val="false"/>
          <w:bCs w:val="false"/>
          <w:i/>
          <w:iCs w:val="false"/>
          <w:caps w:val="false"/>
          <w:smallCaps w:val="false"/>
          <w:strike w:val="false"/>
          <w:dstrike w:val="false"/>
          <w:outline w:val="false"/>
          <w:shadow w:val="false"/>
          <w:emboss w:val="false"/>
          <w:imprint w:val="false"/>
          <w:color w:val="auto"/>
          <w:spacing w:val="0"/>
          <w:w w:val="100"/>
          <w:kern w:val="2"/>
          <w:position w:val="0"/>
          <w:sz w:val="16"/>
          <w:sz w:val="16"/>
          <w:szCs w:val="24"/>
          <w:u w:val="none"/>
          <w:vertAlign w:val="baseline"/>
          <w:em w:val="none"/>
          <w:lang w:bidi="hi-IN" w:eastAsia="zh-CN" w:val="en-US"/>
        </w:rPr>
        <w:t>Reply to Amir Forouhar (12/02/2025, 12:40): "..."</w:t>
      </w:r>
    </w:p>
    <w:p>
      <w:r>
        <w:rPr>
          <w:rFonts w:eastAsia="DejaVu Sans" w:cs="DejaVu Sans"/>
          <w:kern w:val="0"/>
          <w:sz w:val="20"/>
          <w:lang w:bidi="hi-IN" w:eastAsia="zh-CN" w:val="en-US"/>
        </w:rPr>
        <w:t>makes sense</w:t>
      </w:r>
    </w:p>
  </w:comment>
  <w:comment w:id="8" w:author="Amir Forouhar" w:date="2025-12-02T12:44:00Z" w:initials="AF">
    <w:p>
      <w:r>
        <w:rPr>
          <w:rFonts w:eastAsia="DejaVu Sans" w:cs="Mangal"/>
          <w:kern w:val="0"/>
          <w:sz w:val="20"/>
          <w:szCs w:val="18"/>
          <w:lang w:val="en-US" w:eastAsia="en-US" w:bidi="en-US"/>
        </w:rPr>
        <w:t>Maybe it is consistent with redevelopment near intensifying station areas?</w:t>
      </w:r>
    </w:p>
    <w:p>
      <w:r>
        <w:rPr>
          <w:rFonts w:eastAsia="DejaVu Sans" w:cs="DejaVu Sans"/>
          <w:kern w:val="0"/>
          <w:lang w:val="en-US" w:eastAsia="en-US" w:bidi="en-US"/>
        </w:rPr>
      </w:r>
    </w:p>
  </w:comment>
  <w:comment w:id="9" w:author="Jeff Allen" w:date="2026-01-07T10:31:47Z" w:initials="JA">
    <w:p>
      <w:r>
        <w:rPr>
          <w:rFonts w:eastAsia="Noto Serif CJK SC" w:cs="Lohit Devanagari" w:ascii="Liberation Serif" w:hAnsi="Liberation Serif"/>
          <w:b w:val="false"/>
          <w:bCs w:val="false"/>
          <w:i/>
          <w:iCs w:val="false"/>
          <w:caps w:val="false"/>
          <w:smallCaps w:val="false"/>
          <w:strike w:val="false"/>
          <w:dstrike w:val="false"/>
          <w:outline w:val="false"/>
          <w:shadow w:val="false"/>
          <w:emboss w:val="false"/>
          <w:imprint w:val="false"/>
          <w:color w:val="auto"/>
          <w:spacing w:val="0"/>
          <w:w w:val="100"/>
          <w:kern w:val="2"/>
          <w:position w:val="0"/>
          <w:sz w:val="16"/>
          <w:sz w:val="16"/>
          <w:szCs w:val="24"/>
          <w:u w:val="none"/>
          <w:vertAlign w:val="baseline"/>
          <w:em w:val="none"/>
          <w:lang w:bidi="hi-IN" w:eastAsia="zh-CN" w:val="en-US"/>
        </w:rPr>
        <w:t>Reply to Amir Forouhar (12/02/2025, 12:44): "..."</w:t>
      </w:r>
    </w:p>
    <w:p>
      <w:r>
        <w:rPr>
          <w:rFonts w:eastAsia="DejaVu Sans" w:cs="DejaVu Sans"/>
          <w:kern w:val="0"/>
          <w:sz w:val="20"/>
          <w:lang w:bidi="hi-IN" w:eastAsia="zh-CN" w:val="en-US"/>
        </w:rPr>
        <w:t>maybe there is something as well that large apartments are a signal more development activity overall, more land-value change etc</w:t>
      </w:r>
    </w:p>
  </w:comment>
  <w:comment w:id="10" w:author="Amir Forouhar" w:date="2025-12-02T12:46:00Z" w:initials="AF">
    <w:p>
      <w:r>
        <w:rPr>
          <w:rFonts w:eastAsia="DejaVu Sans" w:cs="Mangal"/>
          <w:kern w:val="0"/>
          <w:sz w:val="20"/>
          <w:szCs w:val="18"/>
          <w:lang w:val="en-US" w:eastAsia="en-US" w:bidi="en-US"/>
        </w:rPr>
        <w:t>Any thoughts on this?</w:t>
      </w:r>
    </w:p>
  </w:comment>
  <w:comment w:id="11" w:author="Jeff Allen" w:date="2026-01-07T10:33:28Z" w:initials="JA">
    <w:p>
      <w:r>
        <w:rPr>
          <w:rFonts w:eastAsia="Noto Serif CJK SC" w:cs="Lohit Devanagari" w:ascii="Liberation Serif" w:hAnsi="Liberation Serif"/>
          <w:b w:val="false"/>
          <w:bCs w:val="false"/>
          <w:i/>
          <w:iCs w:val="false"/>
          <w:caps w:val="false"/>
          <w:smallCaps w:val="false"/>
          <w:strike w:val="false"/>
          <w:dstrike w:val="false"/>
          <w:outline w:val="false"/>
          <w:shadow w:val="false"/>
          <w:emboss w:val="false"/>
          <w:imprint w:val="false"/>
          <w:color w:val="auto"/>
          <w:spacing w:val="0"/>
          <w:w w:val="100"/>
          <w:kern w:val="2"/>
          <w:position w:val="0"/>
          <w:sz w:val="16"/>
          <w:sz w:val="16"/>
          <w:szCs w:val="24"/>
          <w:u w:val="none"/>
          <w:vertAlign w:val="baseline"/>
          <w:em w:val="none"/>
          <w:lang w:bidi="hi-IN" w:eastAsia="zh-CN" w:val="en-US"/>
        </w:rPr>
        <w:t>Reply to Amir Forouhar (12/02/2025, 12:46): "..."</w:t>
      </w:r>
    </w:p>
    <w:p>
      <w:r>
        <w:rPr>
          <w:rFonts w:eastAsia="DejaVu Sans" w:cs="DejaVu Sans"/>
          <w:kern w:val="0"/>
          <w:sz w:val="20"/>
          <w:lang w:bidi="hi-IN" w:eastAsia="zh-CN" w:val="en-US"/>
        </w:rPr>
        <w:t>Speculating, but maybe part of this is more that a decrease in detached homes increases out mobility - a decent number of detached homes are rentals, subdivided as rooming houses, etc. - so if they get torn down for development residents get displaced?</w:t>
      </w:r>
    </w:p>
  </w:comment>
  <w:comment w:id="12" w:author="Amir Forouhar" w:date="2025-12-02T12:43:00Z" w:initials="AF">
    <w:p>
      <w:r>
        <w:rPr>
          <w:rFonts w:eastAsia="DejaVu Sans" w:cs="Mangal"/>
          <w:kern w:val="0"/>
          <w:sz w:val="20"/>
          <w:szCs w:val="18"/>
          <w:lang w:val="en-US" w:eastAsia="en-US" w:bidi="en-US"/>
        </w:rPr>
        <w:t>Does this make sense? maybe in markets facing rising rents?</w:t>
      </w:r>
    </w:p>
  </w:comment>
  <w:comment w:id="13" w:author="Jeff Allen" w:date="2026-01-07T10:30:28Z" w:initials="JA">
    <w:p>
      <w:r>
        <w:rPr>
          <w:rFonts w:eastAsia="Noto Serif CJK SC" w:cs="Lohit Devanagari" w:ascii="Liberation Serif" w:hAnsi="Liberation Serif"/>
          <w:b w:val="false"/>
          <w:bCs w:val="false"/>
          <w:i/>
          <w:iCs w:val="false"/>
          <w:caps w:val="false"/>
          <w:smallCaps w:val="false"/>
          <w:strike w:val="false"/>
          <w:dstrike w:val="false"/>
          <w:outline w:val="false"/>
          <w:shadow w:val="false"/>
          <w:emboss w:val="false"/>
          <w:imprint w:val="false"/>
          <w:color w:val="auto"/>
          <w:spacing w:val="0"/>
          <w:w w:val="100"/>
          <w:kern w:val="2"/>
          <w:position w:val="0"/>
          <w:sz w:val="16"/>
          <w:sz w:val="16"/>
          <w:szCs w:val="24"/>
          <w:u w:val="none"/>
          <w:vertAlign w:val="baseline"/>
          <w:em w:val="none"/>
          <w:lang w:bidi="hi-IN" w:eastAsia="zh-CN" w:val="en-US"/>
        </w:rPr>
        <w:t>Reply to Amir Forouhar (12/02/2025, 12:43): "..."</w:t>
      </w:r>
    </w:p>
    <w:p>
      <w:r>
        <w:rPr>
          <w:rFonts w:eastAsia="DejaVu Sans" w:cs="DejaVu Sans"/>
          <w:kern w:val="0"/>
          <w:sz w:val="20"/>
          <w:lang w:bidi="hi-IN" w:eastAsia="zh-CN" w:val="en-US"/>
        </w:rPr>
        <w:t>generally I think the more rentals the more churn - since both housing and households are less stable, regardless of income</w:t>
      </w:r>
    </w:p>
  </w:comment>
  <w:comment w:id="14" w:author="Jeff Allen" w:date="2026-01-06T09:50:32Z" w:initials="JA">
    <w:p>
      <w:r>
        <w:rPr>
          <w:rFonts w:eastAsia="Noto Serif CJK SC" w:cs="Lohit Devanagari" w:ascii="Liberation Serif" w:hAnsi="Liberation Serif"/>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hi-IN" w:eastAsia="zh-CN" w:val="en-US"/>
        </w:rPr>
        <w:t>need to describe further for a journal submission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TradeGothic LT Bold">
    <w:charset w:val="01"/>
    <w:family w:val="roman"/>
    <w:pitch w:val="variable"/>
  </w:font>
  <w:font w:name="Source Serif Pro">
    <w:charset w:val="01"/>
    <w:family w:val="roman"/>
    <w:pitch w:val="variable"/>
  </w:font>
  <w:font w:name="TradeGothic LT Bold">
    <w:charset w:val="01"/>
    <w:family w:val="swiss"/>
    <w:pitch w:val="variable"/>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3579935"/>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ind w:right="360" w:hanging="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63609974"/>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sdtContent>
  </w:sdt>
  <w:p>
    <w:pPr>
      <w:pStyle w:val="Footer"/>
      <w:ind w:right="360" w:hanging="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48804878"/>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sdtContent>
  </w:sdt>
  <w:p>
    <w:pPr>
      <w:pStyle w:val="Footer"/>
      <w:ind w:right="360" w:hanging="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Normal"/>
    <w:next w:val="Normal"/>
    <w:link w:val="Heading2Char"/>
    <w:uiPriority w:val="9"/>
    <w:unhideWhenUsed/>
    <w:qFormat/>
    <w:rsid w:val="002a143e"/>
    <w:pPr>
      <w:keepNext w:val="true"/>
      <w:keepLines/>
      <w:spacing w:before="40" w:after="0"/>
      <w:outlineLvl w:val="1"/>
    </w:pPr>
    <w:rPr>
      <w:rFonts w:ascii="Aptos Display" w:hAnsi="Aptos Display" w:eastAsia="" w:cs="Mangal" w:asciiTheme="majorHAnsi" w:eastAsiaTheme="majorEastAsia" w:hAnsiTheme="majorHAnsi"/>
      <w:color w:val="0F4761" w:themeColor="accent1" w:themeShade="bf"/>
      <w:sz w:val="26"/>
      <w:szCs w:val="23"/>
    </w:rPr>
  </w:style>
  <w:style w:type="paragraph" w:styleId="Heading3">
    <w:name w:val="Heading 3"/>
    <w:basedOn w:val="Normal"/>
    <w:next w:val="Normal"/>
    <w:link w:val="Heading3Char"/>
    <w:uiPriority w:val="9"/>
    <w:semiHidden/>
    <w:unhideWhenUsed/>
    <w:qFormat/>
    <w:rsid w:val="002a143e"/>
    <w:pPr>
      <w:keepNext w:val="true"/>
      <w:keepLines/>
      <w:spacing w:before="40" w:after="0"/>
      <w:outlineLvl w:val="2"/>
    </w:pPr>
    <w:rPr>
      <w:rFonts w:ascii="Aptos Display" w:hAnsi="Aptos Display" w:eastAsia="" w:cs="Mangal" w:asciiTheme="majorHAnsi" w:eastAsiaTheme="majorEastAsia" w:hAnsiTheme="majorHAnsi"/>
      <w:color w:val="0A2F40" w:themeColor="accent1" w:themeShade="7f"/>
      <w:szCs w:val="21"/>
    </w:rPr>
  </w:style>
  <w:style w:type="paragraph" w:styleId="Heading4">
    <w:name w:val="Heading 4"/>
    <w:basedOn w:val="Normal"/>
    <w:next w:val="Normal"/>
    <w:link w:val="Heading4Char"/>
    <w:uiPriority w:val="9"/>
    <w:semiHidden/>
    <w:unhideWhenUsed/>
    <w:qFormat/>
    <w:rsid w:val="002a143e"/>
    <w:pPr>
      <w:keepNext w:val="true"/>
      <w:keepLines/>
      <w:spacing w:before="40" w:after="0"/>
      <w:outlineLvl w:val="3"/>
    </w:pPr>
    <w:rPr>
      <w:rFonts w:ascii="Aptos Display" w:hAnsi="Aptos Display" w:eastAsia="" w:cs="Mangal" w:asciiTheme="majorHAnsi" w:eastAsiaTheme="majorEastAsia" w:hAnsiTheme="majorHAnsi"/>
      <w:i/>
      <w:iCs/>
      <w:color w:val="0F4761" w:themeColor="accent1" w:themeShade="bf"/>
      <w:szCs w:val="21"/>
    </w:rPr>
  </w:style>
  <w:style w:type="character" w:styleId="DefaultParagraphFont" w:default="1">
    <w:name w:val="Default Paragraph Font"/>
    <w:uiPriority w:val="1"/>
    <w:semiHidden/>
    <w:unhideWhenUsed/>
    <w:qFormat/>
    <w:rPr/>
  </w:style>
  <w:style w:type="character" w:styleId="NumberingSymbols" w:customStyle="1">
    <w:name w:val="Numbering Symbols"/>
    <w:qFormat/>
    <w:rPr/>
  </w:style>
  <w:style w:type="character" w:styleId="InternetLink">
    <w:name w:val="Hyperlink"/>
    <w:rPr>
      <w:color w:val="000080"/>
      <w:u w:val="single"/>
    </w:rPr>
  </w:style>
  <w:style w:type="character" w:styleId="Bullets" w:customStyle="1">
    <w:name w:val="Bullets"/>
    <w:qFormat/>
    <w:rPr>
      <w:rFonts w:ascii="OpenSymbol" w:hAnsi="OpenSymbol" w:eastAsia="OpenSymbol" w:cs="OpenSymbol"/>
    </w:rPr>
  </w:style>
  <w:style w:type="character" w:styleId="CommentTextChar" w:customStyle="1">
    <w:name w:val="Comment Text Char"/>
    <w:basedOn w:val="DefaultParagraphFont"/>
    <w:link w:val="Annotationtext"/>
    <w:uiPriority w:val="99"/>
    <w:semiHidden/>
    <w:qFormat/>
    <w:rPr>
      <w:rFonts w:cs="Mangal"/>
      <w:sz w:val="20"/>
      <w:szCs w:val="18"/>
    </w:rPr>
  </w:style>
  <w:style w:type="character" w:styleId="Annotationreference">
    <w:name w:val="annotation reference"/>
    <w:basedOn w:val="DefaultParagraphFont"/>
    <w:uiPriority w:val="99"/>
    <w:semiHidden/>
    <w:unhideWhenUsed/>
    <w:qFormat/>
    <w:rPr>
      <w:sz w:val="16"/>
      <w:szCs w:val="16"/>
    </w:rPr>
  </w:style>
  <w:style w:type="character" w:styleId="FooterChar" w:customStyle="1">
    <w:name w:val="Footer Char"/>
    <w:basedOn w:val="DefaultParagraphFont"/>
    <w:link w:val="Footer"/>
    <w:uiPriority w:val="99"/>
    <w:qFormat/>
    <w:rsid w:val="008170da"/>
    <w:rPr>
      <w:rFonts w:cs="Mangal"/>
      <w:szCs w:val="21"/>
    </w:rPr>
  </w:style>
  <w:style w:type="character" w:styleId="Pagenumber">
    <w:name w:val="page number"/>
    <w:basedOn w:val="DefaultParagraphFont"/>
    <w:uiPriority w:val="99"/>
    <w:semiHidden/>
    <w:unhideWhenUsed/>
    <w:qFormat/>
    <w:rsid w:val="008170da"/>
    <w:rPr/>
  </w:style>
  <w:style w:type="character" w:styleId="LineNumbering" w:customStyle="1">
    <w:name w:val="Line Numbering"/>
    <w:rPr/>
  </w:style>
  <w:style w:type="character" w:styleId="Heading3Char" w:customStyle="1">
    <w:name w:val="Heading 3 Char"/>
    <w:basedOn w:val="DefaultParagraphFont"/>
    <w:link w:val="Heading3"/>
    <w:uiPriority w:val="9"/>
    <w:semiHidden/>
    <w:qFormat/>
    <w:rsid w:val="002a143e"/>
    <w:rPr>
      <w:rFonts w:ascii="Aptos Display" w:hAnsi="Aptos Display" w:eastAsia="" w:cs="Mangal" w:asciiTheme="majorHAnsi" w:eastAsiaTheme="majorEastAsia" w:hAnsiTheme="majorHAnsi"/>
      <w:color w:val="0A2F40" w:themeColor="accent1" w:themeShade="7f"/>
      <w:szCs w:val="21"/>
    </w:rPr>
  </w:style>
  <w:style w:type="character" w:styleId="Heading4Char" w:customStyle="1">
    <w:name w:val="Heading 4 Char"/>
    <w:basedOn w:val="DefaultParagraphFont"/>
    <w:link w:val="Heading4"/>
    <w:uiPriority w:val="9"/>
    <w:semiHidden/>
    <w:qFormat/>
    <w:rsid w:val="002a143e"/>
    <w:rPr>
      <w:rFonts w:ascii="Aptos Display" w:hAnsi="Aptos Display" w:eastAsia="" w:cs="Mangal" w:asciiTheme="majorHAnsi" w:eastAsiaTheme="majorEastAsia" w:hAnsiTheme="majorHAnsi"/>
      <w:i/>
      <w:iCs/>
      <w:color w:val="0F4761" w:themeColor="accent1" w:themeShade="bf"/>
      <w:szCs w:val="21"/>
    </w:rPr>
  </w:style>
  <w:style w:type="character" w:styleId="Heading2Char" w:customStyle="1">
    <w:name w:val="Heading 2 Char"/>
    <w:basedOn w:val="DefaultParagraphFont"/>
    <w:link w:val="Heading2"/>
    <w:uiPriority w:val="9"/>
    <w:qFormat/>
    <w:rsid w:val="002a143e"/>
    <w:rPr>
      <w:rFonts w:ascii="Aptos Display" w:hAnsi="Aptos Display" w:eastAsia="" w:cs="Mangal" w:asciiTheme="majorHAnsi" w:eastAsiaTheme="majorEastAsia" w:hAnsiTheme="majorHAnsi"/>
      <w:color w:val="0F4761" w:themeColor="accent1" w:themeShade="bf"/>
      <w:sz w:val="26"/>
      <w:szCs w:val="23"/>
    </w:rPr>
  </w:style>
  <w:style w:type="character" w:styleId="CommentSubjectChar" w:customStyle="1">
    <w:name w:val="Comment Subject Char"/>
    <w:basedOn w:val="CommentTextChar"/>
    <w:link w:val="Annotationsubject"/>
    <w:uiPriority w:val="99"/>
    <w:semiHidden/>
    <w:qFormat/>
    <w:rsid w:val="00c82d20"/>
    <w:rPr>
      <w:rFonts w:cs="Mangal"/>
      <w:b/>
      <w:bCs/>
      <w:sz w:val="20"/>
      <w:szCs w:val="18"/>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Annotationtext">
    <w:name w:val="annotation text"/>
    <w:basedOn w:val="Normal"/>
    <w:link w:val="CommentTextChar"/>
    <w:uiPriority w:val="99"/>
    <w:semiHidden/>
    <w:unhideWhenUsed/>
    <w:qFormat/>
    <w:pPr/>
    <w:rPr>
      <w:rFonts w:cs="Mangal"/>
      <w:sz w:val="20"/>
      <w:szCs w:val="18"/>
    </w:rPr>
  </w:style>
  <w:style w:type="paragraph" w:styleId="Revision">
    <w:name w:val="Revision"/>
    <w:uiPriority w:val="99"/>
    <w:semiHidden/>
    <w:qFormat/>
    <w:rsid w:val="00632f6e"/>
    <w:pPr>
      <w:widowControl/>
      <w:suppressAutoHyphens w:val="false"/>
      <w:bidi w:val="0"/>
      <w:spacing w:before="0" w:after="0"/>
      <w:jc w:val="left"/>
    </w:pPr>
    <w:rPr>
      <w:rFonts w:cs="Mangal" w:ascii="Liberation Serif" w:hAnsi="Liberation Serif" w:eastAsia="Noto Serif CJK SC"/>
      <w:color w:val="auto"/>
      <w:kern w:val="2"/>
      <w:sz w:val="24"/>
      <w:szCs w:val="21"/>
      <w:lang w:val="en-US" w:eastAsia="zh-CN" w:bidi="hi-IN"/>
    </w:rPr>
  </w:style>
  <w:style w:type="paragraph" w:styleId="HeaderandFooter" w:customStyle="1">
    <w:name w:val="Header and Footer"/>
    <w:basedOn w:val="Normal"/>
    <w:qFormat/>
    <w:pPr/>
    <w:rPr/>
  </w:style>
  <w:style w:type="paragraph" w:styleId="Footer">
    <w:name w:val="Footer"/>
    <w:basedOn w:val="Normal"/>
    <w:link w:val="FooterChar"/>
    <w:uiPriority w:val="99"/>
    <w:unhideWhenUsed/>
    <w:rsid w:val="008170da"/>
    <w:pPr>
      <w:tabs>
        <w:tab w:val="clear" w:pos="709"/>
        <w:tab w:val="center" w:pos="4680" w:leader="none"/>
        <w:tab w:val="right" w:pos="9360" w:leader="none"/>
      </w:tabs>
    </w:pPr>
    <w:rPr>
      <w:rFonts w:cs="Mangal"/>
      <w:szCs w:val="21"/>
    </w:rPr>
  </w:style>
  <w:style w:type="paragraph" w:styleId="NormalWeb">
    <w:name w:val="Normal (Web)"/>
    <w:basedOn w:val="Normal"/>
    <w:uiPriority w:val="99"/>
    <w:unhideWhenUsed/>
    <w:qFormat/>
    <w:rsid w:val="002a143e"/>
    <w:pPr>
      <w:suppressAutoHyphens w:val="false"/>
      <w:spacing w:beforeAutospacing="1" w:afterAutospacing="1"/>
    </w:pPr>
    <w:rPr>
      <w:rFonts w:ascii="Times New Roman" w:hAnsi="Times New Roman" w:eastAsia="Times New Roman" w:cs="Times New Roman"/>
      <w:kern w:val="0"/>
      <w:lang w:val="en-CA" w:eastAsia="en-US" w:bidi="ar-SA"/>
    </w:rPr>
  </w:style>
  <w:style w:type="paragraph" w:styleId="Annotationsubject">
    <w:name w:val="annotation subject"/>
    <w:basedOn w:val="Annotationtext"/>
    <w:next w:val="Annotationtext"/>
    <w:link w:val="CommentSubjectChar"/>
    <w:uiPriority w:val="99"/>
    <w:semiHidden/>
    <w:unhideWhenUsed/>
    <w:qFormat/>
    <w:rsid w:val="00c82d20"/>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a143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23.statcan.gc.ca/imdb/p2SV.pl?Function=getSurvey&amp;SDDS=4107"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378</TotalTime>
  <Application>LibreOffice/7.3.7.2$Linux_X86_64 LibreOffice_project/30$Build-2</Application>
  <AppVersion>15.0000</AppVersion>
  <Pages>14</Pages>
  <Words>4245</Words>
  <Characters>23215</Characters>
  <CharactersWithSpaces>27034</CharactersWithSpaces>
  <Paragraphs>417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2025-11-23T18:09:00Z</dcterms:created>
  <dc:creator>Jeff Allen</dc:creator>
  <dc:description/>
  <dc:language>en-US</dc:language>
  <cp:lastModifiedBy>Jeff Allen</cp:lastModifiedBy>
  <dcterms:modified xsi:type="dcterms:W3CDTF">2026-01-07T10:35:45Z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